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2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4.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FE29F" w14:textId="77777777" w:rsidR="005D1A61" w:rsidRDefault="0045737E">
      <w:pPr>
        <w:pBdr>
          <w:top w:val="nil"/>
          <w:left w:val="nil"/>
          <w:bottom w:val="nil"/>
          <w:right w:val="nil"/>
          <w:between w:val="nil"/>
        </w:pBdr>
        <w:spacing w:after="0" w:line="240" w:lineRule="auto"/>
        <w:jc w:val="center"/>
        <w:rPr>
          <w:color w:val="000000"/>
          <w:sz w:val="24"/>
          <w:szCs w:val="24"/>
        </w:rPr>
      </w:pPr>
      <w:r>
        <w:rPr>
          <w:color w:val="000000"/>
          <w:sz w:val="24"/>
          <w:szCs w:val="24"/>
        </w:rPr>
        <w:t>Санкт-Петербургский государственный университет</w:t>
      </w:r>
    </w:p>
    <w:p w14:paraId="0A35DDB5" w14:textId="77777777" w:rsidR="005D1A61" w:rsidRDefault="005D1A61">
      <w:pPr>
        <w:pBdr>
          <w:top w:val="nil"/>
          <w:left w:val="nil"/>
          <w:bottom w:val="nil"/>
          <w:right w:val="nil"/>
          <w:between w:val="nil"/>
        </w:pBdr>
        <w:spacing w:after="0" w:line="240" w:lineRule="auto"/>
        <w:jc w:val="center"/>
        <w:rPr>
          <w:color w:val="000000"/>
          <w:sz w:val="23"/>
          <w:szCs w:val="23"/>
        </w:rPr>
      </w:pPr>
    </w:p>
    <w:p w14:paraId="4F872A77" w14:textId="77777777" w:rsidR="005D1A61" w:rsidRDefault="005D1A61">
      <w:pPr>
        <w:pBdr>
          <w:top w:val="nil"/>
          <w:left w:val="nil"/>
          <w:bottom w:val="nil"/>
          <w:right w:val="nil"/>
          <w:between w:val="nil"/>
        </w:pBdr>
        <w:spacing w:after="0" w:line="240" w:lineRule="auto"/>
        <w:jc w:val="center"/>
        <w:rPr>
          <w:color w:val="000000"/>
          <w:sz w:val="23"/>
          <w:szCs w:val="23"/>
        </w:rPr>
      </w:pPr>
    </w:p>
    <w:p w14:paraId="0F74FC89" w14:textId="77777777" w:rsidR="005D1A61" w:rsidRDefault="005D1A61">
      <w:pPr>
        <w:pBdr>
          <w:top w:val="nil"/>
          <w:left w:val="nil"/>
          <w:bottom w:val="nil"/>
          <w:right w:val="nil"/>
          <w:between w:val="nil"/>
        </w:pBdr>
        <w:spacing w:after="0" w:line="240" w:lineRule="auto"/>
        <w:jc w:val="center"/>
        <w:rPr>
          <w:sz w:val="23"/>
          <w:szCs w:val="23"/>
        </w:rPr>
      </w:pPr>
    </w:p>
    <w:p w14:paraId="1608DD6D" w14:textId="77777777" w:rsidR="005D1A61" w:rsidRDefault="005D1A61">
      <w:pPr>
        <w:pBdr>
          <w:top w:val="nil"/>
          <w:left w:val="nil"/>
          <w:bottom w:val="nil"/>
          <w:right w:val="nil"/>
          <w:between w:val="nil"/>
        </w:pBdr>
        <w:spacing w:after="0" w:line="240" w:lineRule="auto"/>
        <w:jc w:val="center"/>
        <w:rPr>
          <w:sz w:val="23"/>
          <w:szCs w:val="23"/>
        </w:rPr>
      </w:pPr>
    </w:p>
    <w:p w14:paraId="6D236747" w14:textId="77777777" w:rsidR="005D1A61" w:rsidRDefault="005D1A61">
      <w:pPr>
        <w:pBdr>
          <w:top w:val="nil"/>
          <w:left w:val="nil"/>
          <w:bottom w:val="nil"/>
          <w:right w:val="nil"/>
          <w:between w:val="nil"/>
        </w:pBdr>
        <w:spacing w:after="0" w:line="240" w:lineRule="auto"/>
        <w:jc w:val="center"/>
        <w:rPr>
          <w:sz w:val="23"/>
          <w:szCs w:val="23"/>
        </w:rPr>
      </w:pPr>
    </w:p>
    <w:p w14:paraId="023DEFFB" w14:textId="77777777" w:rsidR="005D1A61" w:rsidRPr="007A0A25" w:rsidRDefault="005D1A61">
      <w:pPr>
        <w:pBdr>
          <w:top w:val="nil"/>
          <w:left w:val="nil"/>
          <w:bottom w:val="nil"/>
          <w:right w:val="nil"/>
          <w:between w:val="nil"/>
        </w:pBdr>
        <w:spacing w:after="0" w:line="240" w:lineRule="auto"/>
        <w:jc w:val="center"/>
        <w:rPr>
          <w:color w:val="000000"/>
        </w:rPr>
      </w:pPr>
    </w:p>
    <w:p w14:paraId="1D2C13ED" w14:textId="77777777" w:rsidR="005D1A61" w:rsidRPr="007A0A25" w:rsidRDefault="0045737E">
      <w:pPr>
        <w:pBdr>
          <w:top w:val="nil"/>
          <w:left w:val="nil"/>
          <w:bottom w:val="nil"/>
          <w:right w:val="nil"/>
          <w:between w:val="nil"/>
        </w:pBdr>
        <w:spacing w:after="0" w:line="240" w:lineRule="auto"/>
        <w:jc w:val="center"/>
        <w:rPr>
          <w:b/>
          <w:i/>
          <w:color w:val="000000"/>
          <w:sz w:val="24"/>
        </w:rPr>
      </w:pPr>
      <w:r w:rsidRPr="007A0A25">
        <w:rPr>
          <w:b/>
          <w:i/>
          <w:color w:val="000000"/>
          <w:sz w:val="24"/>
        </w:rPr>
        <w:t xml:space="preserve">НУРЕЕВ Тимур </w:t>
      </w:r>
      <w:proofErr w:type="spellStart"/>
      <w:r w:rsidRPr="007A0A25">
        <w:rPr>
          <w:b/>
          <w:i/>
          <w:color w:val="000000"/>
          <w:sz w:val="24"/>
        </w:rPr>
        <w:t>Ринатович</w:t>
      </w:r>
      <w:proofErr w:type="spellEnd"/>
    </w:p>
    <w:p w14:paraId="3F05373A" w14:textId="77777777" w:rsidR="005D1A61" w:rsidRPr="007A0A25" w:rsidRDefault="005D1A61">
      <w:pPr>
        <w:pBdr>
          <w:top w:val="nil"/>
          <w:left w:val="nil"/>
          <w:bottom w:val="nil"/>
          <w:right w:val="nil"/>
          <w:between w:val="nil"/>
        </w:pBdr>
        <w:spacing w:after="0" w:line="240" w:lineRule="auto"/>
        <w:jc w:val="center"/>
        <w:rPr>
          <w:color w:val="000000"/>
          <w:sz w:val="24"/>
        </w:rPr>
      </w:pPr>
    </w:p>
    <w:p w14:paraId="46248B87" w14:textId="77777777" w:rsidR="005D1A61" w:rsidRPr="007A0A25" w:rsidRDefault="0045737E">
      <w:pPr>
        <w:pBdr>
          <w:top w:val="nil"/>
          <w:left w:val="nil"/>
          <w:bottom w:val="nil"/>
          <w:right w:val="nil"/>
          <w:between w:val="nil"/>
        </w:pBdr>
        <w:spacing w:after="0" w:line="240" w:lineRule="auto"/>
        <w:jc w:val="center"/>
        <w:rPr>
          <w:b/>
          <w:color w:val="000000"/>
          <w:sz w:val="24"/>
        </w:rPr>
      </w:pPr>
      <w:r w:rsidRPr="007A0A25">
        <w:rPr>
          <w:b/>
          <w:color w:val="000000"/>
          <w:sz w:val="24"/>
        </w:rPr>
        <w:t>Выпускная квалификационная работа</w:t>
      </w:r>
    </w:p>
    <w:p w14:paraId="0309A39F" w14:textId="77777777" w:rsidR="005D1A61" w:rsidRPr="007A0A25" w:rsidRDefault="005D1A61">
      <w:pPr>
        <w:pBdr>
          <w:top w:val="nil"/>
          <w:left w:val="nil"/>
          <w:bottom w:val="nil"/>
          <w:right w:val="nil"/>
          <w:between w:val="nil"/>
        </w:pBdr>
        <w:spacing w:after="0" w:line="240" w:lineRule="auto"/>
        <w:jc w:val="center"/>
        <w:rPr>
          <w:color w:val="000000"/>
          <w:sz w:val="24"/>
        </w:rPr>
      </w:pPr>
    </w:p>
    <w:p w14:paraId="23D6BB9E" w14:textId="77777777" w:rsidR="005D1A61" w:rsidRPr="007A0A25" w:rsidRDefault="0045737E">
      <w:pPr>
        <w:pBdr>
          <w:top w:val="nil"/>
          <w:left w:val="nil"/>
          <w:bottom w:val="nil"/>
          <w:right w:val="nil"/>
          <w:between w:val="nil"/>
        </w:pBdr>
        <w:spacing w:after="0" w:line="240" w:lineRule="auto"/>
        <w:jc w:val="center"/>
        <w:rPr>
          <w:b/>
          <w:i/>
          <w:color w:val="000000"/>
          <w:sz w:val="24"/>
        </w:rPr>
      </w:pPr>
      <w:r w:rsidRPr="007A0A25">
        <w:rPr>
          <w:b/>
          <w:i/>
          <w:color w:val="000000"/>
          <w:sz w:val="24"/>
        </w:rPr>
        <w:t>Территориальная дифференциация уровней социально-экономического развития в Уральском федеральном округе</w:t>
      </w:r>
    </w:p>
    <w:p w14:paraId="7FE8605B" w14:textId="77777777" w:rsidR="005D1A61" w:rsidRPr="007A0A25" w:rsidRDefault="005D1A61">
      <w:pPr>
        <w:pBdr>
          <w:top w:val="nil"/>
          <w:left w:val="nil"/>
          <w:bottom w:val="nil"/>
          <w:right w:val="nil"/>
          <w:between w:val="nil"/>
        </w:pBdr>
        <w:spacing w:after="0" w:line="240" w:lineRule="auto"/>
        <w:jc w:val="center"/>
        <w:rPr>
          <w:color w:val="000000"/>
          <w:sz w:val="24"/>
        </w:rPr>
      </w:pPr>
    </w:p>
    <w:p w14:paraId="10C5909A" w14:textId="77777777" w:rsidR="005D1A61" w:rsidRPr="007A0A25" w:rsidRDefault="0045737E">
      <w:pPr>
        <w:pBdr>
          <w:top w:val="nil"/>
          <w:left w:val="nil"/>
          <w:bottom w:val="nil"/>
          <w:right w:val="nil"/>
          <w:between w:val="nil"/>
        </w:pBdr>
        <w:spacing w:after="0" w:line="240" w:lineRule="auto"/>
        <w:jc w:val="center"/>
        <w:rPr>
          <w:color w:val="000000"/>
          <w:sz w:val="24"/>
        </w:rPr>
      </w:pPr>
      <w:r w:rsidRPr="007A0A25">
        <w:rPr>
          <w:color w:val="000000"/>
          <w:sz w:val="24"/>
        </w:rPr>
        <w:t xml:space="preserve">Уровень образования: </w:t>
      </w:r>
      <w:r w:rsidRPr="007A0A25">
        <w:rPr>
          <w:i/>
          <w:color w:val="000000"/>
          <w:sz w:val="24"/>
        </w:rPr>
        <w:t>бакалавриат</w:t>
      </w:r>
    </w:p>
    <w:p w14:paraId="06491C12" w14:textId="77777777" w:rsidR="005D1A61" w:rsidRPr="007A0A25" w:rsidRDefault="0045737E">
      <w:pPr>
        <w:pBdr>
          <w:top w:val="nil"/>
          <w:left w:val="nil"/>
          <w:bottom w:val="nil"/>
          <w:right w:val="nil"/>
          <w:between w:val="nil"/>
        </w:pBdr>
        <w:spacing w:after="0" w:line="240" w:lineRule="auto"/>
        <w:jc w:val="center"/>
        <w:rPr>
          <w:color w:val="000000"/>
          <w:sz w:val="24"/>
        </w:rPr>
      </w:pPr>
      <w:r w:rsidRPr="007A0A25">
        <w:rPr>
          <w:color w:val="000000"/>
          <w:sz w:val="24"/>
        </w:rPr>
        <w:t xml:space="preserve">Направление: 05.03.02 </w:t>
      </w:r>
      <w:r w:rsidRPr="007A0A25">
        <w:rPr>
          <w:i/>
          <w:color w:val="000000"/>
          <w:sz w:val="24"/>
        </w:rPr>
        <w:t>«География»</w:t>
      </w:r>
    </w:p>
    <w:p w14:paraId="3DC693E3" w14:textId="77777777" w:rsidR="005D1A61" w:rsidRPr="007A0A25" w:rsidRDefault="0045737E">
      <w:pPr>
        <w:pBdr>
          <w:top w:val="nil"/>
          <w:left w:val="nil"/>
          <w:bottom w:val="nil"/>
          <w:right w:val="nil"/>
          <w:between w:val="nil"/>
        </w:pBdr>
        <w:spacing w:after="0" w:line="240" w:lineRule="auto"/>
        <w:jc w:val="center"/>
        <w:rPr>
          <w:color w:val="000000"/>
          <w:sz w:val="24"/>
        </w:rPr>
      </w:pPr>
      <w:r w:rsidRPr="00C02501">
        <w:rPr>
          <w:color w:val="000000"/>
          <w:sz w:val="24"/>
        </w:rPr>
        <w:t xml:space="preserve">Основная образовательная программа: СВ.5019.2017 </w:t>
      </w:r>
      <w:r w:rsidRPr="00C02501">
        <w:rPr>
          <w:i/>
          <w:color w:val="000000"/>
          <w:sz w:val="24"/>
        </w:rPr>
        <w:t>«География»</w:t>
      </w:r>
    </w:p>
    <w:p w14:paraId="062451E5" w14:textId="77777777" w:rsidR="005D1A61" w:rsidRPr="007A0A25" w:rsidRDefault="0045737E">
      <w:pPr>
        <w:pBdr>
          <w:top w:val="nil"/>
          <w:left w:val="nil"/>
          <w:bottom w:val="nil"/>
          <w:right w:val="nil"/>
          <w:between w:val="nil"/>
        </w:pBdr>
        <w:spacing w:after="0" w:line="240" w:lineRule="auto"/>
        <w:jc w:val="center"/>
        <w:rPr>
          <w:color w:val="000000"/>
          <w:sz w:val="24"/>
        </w:rPr>
      </w:pPr>
      <w:r w:rsidRPr="007A0A25">
        <w:rPr>
          <w:color w:val="000000"/>
          <w:sz w:val="24"/>
        </w:rPr>
        <w:t>Профиль: «Политическая география и геополитика»</w:t>
      </w:r>
    </w:p>
    <w:p w14:paraId="3A667D48" w14:textId="77777777" w:rsidR="005D1A61" w:rsidRDefault="005D1A61">
      <w:pPr>
        <w:pBdr>
          <w:top w:val="nil"/>
          <w:left w:val="nil"/>
          <w:bottom w:val="nil"/>
          <w:right w:val="nil"/>
          <w:between w:val="nil"/>
        </w:pBdr>
        <w:spacing w:after="0" w:line="240" w:lineRule="auto"/>
        <w:jc w:val="center"/>
        <w:rPr>
          <w:color w:val="000000"/>
          <w:sz w:val="26"/>
          <w:szCs w:val="26"/>
        </w:rPr>
      </w:pPr>
    </w:p>
    <w:p w14:paraId="08E10AC0" w14:textId="77777777" w:rsidR="005D1A61" w:rsidRDefault="005D1A61">
      <w:pPr>
        <w:pBdr>
          <w:top w:val="nil"/>
          <w:left w:val="nil"/>
          <w:bottom w:val="nil"/>
          <w:right w:val="nil"/>
          <w:between w:val="nil"/>
        </w:pBdr>
        <w:spacing w:after="0" w:line="240" w:lineRule="auto"/>
        <w:jc w:val="center"/>
        <w:rPr>
          <w:color w:val="000000"/>
          <w:sz w:val="26"/>
          <w:szCs w:val="26"/>
        </w:rPr>
      </w:pPr>
    </w:p>
    <w:p w14:paraId="3C662830" w14:textId="77777777" w:rsidR="005D1A61" w:rsidRDefault="005D1A61">
      <w:pPr>
        <w:pBdr>
          <w:top w:val="nil"/>
          <w:left w:val="nil"/>
          <w:bottom w:val="nil"/>
          <w:right w:val="nil"/>
          <w:between w:val="nil"/>
        </w:pBdr>
        <w:spacing w:after="0" w:line="240" w:lineRule="auto"/>
        <w:jc w:val="center"/>
        <w:rPr>
          <w:color w:val="000000"/>
          <w:sz w:val="26"/>
          <w:szCs w:val="26"/>
        </w:rPr>
      </w:pPr>
    </w:p>
    <w:p w14:paraId="36209B5F" w14:textId="77777777" w:rsidR="005D1A61" w:rsidRDefault="005D1A61">
      <w:pPr>
        <w:pBdr>
          <w:top w:val="nil"/>
          <w:left w:val="nil"/>
          <w:bottom w:val="nil"/>
          <w:right w:val="nil"/>
          <w:between w:val="nil"/>
        </w:pBdr>
        <w:spacing w:after="0" w:line="240" w:lineRule="auto"/>
        <w:jc w:val="center"/>
        <w:rPr>
          <w:color w:val="000000"/>
          <w:sz w:val="26"/>
          <w:szCs w:val="26"/>
        </w:rPr>
      </w:pPr>
    </w:p>
    <w:p w14:paraId="1BF54E80" w14:textId="77777777" w:rsidR="005D1A61" w:rsidRDefault="005D1A61">
      <w:pPr>
        <w:pBdr>
          <w:top w:val="nil"/>
          <w:left w:val="nil"/>
          <w:bottom w:val="nil"/>
          <w:right w:val="nil"/>
          <w:between w:val="nil"/>
        </w:pBdr>
        <w:spacing w:after="0" w:line="240" w:lineRule="auto"/>
        <w:jc w:val="center"/>
        <w:rPr>
          <w:color w:val="000000"/>
          <w:sz w:val="26"/>
          <w:szCs w:val="26"/>
        </w:rPr>
      </w:pPr>
    </w:p>
    <w:p w14:paraId="2CD146D0" w14:textId="77777777" w:rsidR="005D1A61" w:rsidRDefault="005D1A61">
      <w:pPr>
        <w:pBdr>
          <w:top w:val="nil"/>
          <w:left w:val="nil"/>
          <w:bottom w:val="nil"/>
          <w:right w:val="nil"/>
          <w:between w:val="nil"/>
        </w:pBdr>
        <w:spacing w:after="0" w:line="240" w:lineRule="auto"/>
        <w:jc w:val="center"/>
        <w:rPr>
          <w:color w:val="000000"/>
          <w:sz w:val="26"/>
          <w:szCs w:val="26"/>
        </w:rPr>
      </w:pPr>
    </w:p>
    <w:p w14:paraId="739669E2" w14:textId="77777777" w:rsidR="005D1A61" w:rsidRDefault="005D1A61">
      <w:pPr>
        <w:pBdr>
          <w:top w:val="nil"/>
          <w:left w:val="nil"/>
          <w:bottom w:val="nil"/>
          <w:right w:val="nil"/>
          <w:between w:val="nil"/>
        </w:pBdr>
        <w:spacing w:after="0" w:line="240" w:lineRule="auto"/>
        <w:rPr>
          <w:color w:val="000000"/>
          <w:sz w:val="26"/>
          <w:szCs w:val="26"/>
        </w:rPr>
      </w:pPr>
    </w:p>
    <w:p w14:paraId="6C68F883" w14:textId="77777777" w:rsidR="005D1A61" w:rsidRDefault="005D1A61">
      <w:pPr>
        <w:pBdr>
          <w:top w:val="nil"/>
          <w:left w:val="nil"/>
          <w:bottom w:val="nil"/>
          <w:right w:val="nil"/>
          <w:between w:val="nil"/>
        </w:pBdr>
        <w:spacing w:after="0"/>
        <w:ind w:left="6236" w:hanging="566"/>
        <w:jc w:val="both"/>
        <w:rPr>
          <w:color w:val="000000"/>
          <w:sz w:val="26"/>
          <w:szCs w:val="26"/>
        </w:rPr>
      </w:pPr>
    </w:p>
    <w:p w14:paraId="1212ABB5" w14:textId="77777777" w:rsidR="005D1A61" w:rsidRPr="007A0A25" w:rsidRDefault="0045737E">
      <w:pPr>
        <w:pBdr>
          <w:top w:val="nil"/>
          <w:left w:val="nil"/>
          <w:bottom w:val="nil"/>
          <w:right w:val="nil"/>
          <w:between w:val="nil"/>
        </w:pBdr>
        <w:spacing w:after="0"/>
        <w:ind w:left="6236" w:hanging="566"/>
        <w:jc w:val="both"/>
        <w:rPr>
          <w:color w:val="000000"/>
          <w:sz w:val="24"/>
          <w:szCs w:val="26"/>
        </w:rPr>
      </w:pPr>
      <w:r w:rsidRPr="007A0A25">
        <w:rPr>
          <w:color w:val="000000"/>
          <w:sz w:val="24"/>
          <w:szCs w:val="26"/>
        </w:rPr>
        <w:t>Научный руководитель:</w:t>
      </w:r>
    </w:p>
    <w:p w14:paraId="71520ACE" w14:textId="77777777" w:rsidR="005D1A61" w:rsidRPr="007A0A25" w:rsidRDefault="0045737E">
      <w:pPr>
        <w:pBdr>
          <w:top w:val="nil"/>
          <w:left w:val="nil"/>
          <w:bottom w:val="nil"/>
          <w:right w:val="nil"/>
          <w:between w:val="nil"/>
        </w:pBdr>
        <w:spacing w:after="0"/>
        <w:ind w:left="6236" w:hanging="566"/>
        <w:jc w:val="both"/>
        <w:rPr>
          <w:color w:val="000000"/>
          <w:sz w:val="24"/>
          <w:szCs w:val="26"/>
        </w:rPr>
      </w:pPr>
      <w:r w:rsidRPr="007A0A25">
        <w:rPr>
          <w:color w:val="000000"/>
          <w:sz w:val="24"/>
          <w:szCs w:val="26"/>
        </w:rPr>
        <w:t>профессор СПбГУ,</w:t>
      </w:r>
    </w:p>
    <w:p w14:paraId="737568AF" w14:textId="77777777" w:rsidR="005D1A61" w:rsidRPr="007A0A25" w:rsidRDefault="0045737E">
      <w:pPr>
        <w:pBdr>
          <w:top w:val="nil"/>
          <w:left w:val="nil"/>
          <w:bottom w:val="nil"/>
          <w:right w:val="nil"/>
          <w:between w:val="nil"/>
        </w:pBdr>
        <w:spacing w:after="0"/>
        <w:ind w:left="6236" w:hanging="566"/>
        <w:jc w:val="both"/>
        <w:rPr>
          <w:color w:val="000000"/>
          <w:sz w:val="24"/>
          <w:szCs w:val="26"/>
        </w:rPr>
      </w:pPr>
      <w:r w:rsidRPr="007A0A25">
        <w:rPr>
          <w:color w:val="000000"/>
          <w:sz w:val="24"/>
          <w:szCs w:val="26"/>
        </w:rPr>
        <w:t>доктор географических наук</w:t>
      </w:r>
    </w:p>
    <w:p w14:paraId="7A3DF87B" w14:textId="77777777" w:rsidR="005D1A61" w:rsidRPr="007A0A25" w:rsidRDefault="0045737E">
      <w:pPr>
        <w:pBdr>
          <w:top w:val="nil"/>
          <w:left w:val="nil"/>
          <w:bottom w:val="nil"/>
          <w:right w:val="nil"/>
          <w:between w:val="nil"/>
        </w:pBdr>
        <w:spacing w:after="0"/>
        <w:ind w:left="6236" w:hanging="566"/>
        <w:jc w:val="both"/>
        <w:rPr>
          <w:color w:val="000000"/>
          <w:sz w:val="24"/>
          <w:szCs w:val="26"/>
        </w:rPr>
      </w:pPr>
      <w:proofErr w:type="spellStart"/>
      <w:r w:rsidRPr="007A0A25">
        <w:rPr>
          <w:color w:val="000000"/>
          <w:sz w:val="24"/>
          <w:szCs w:val="26"/>
        </w:rPr>
        <w:t>Чистобаев</w:t>
      </w:r>
      <w:proofErr w:type="spellEnd"/>
      <w:r w:rsidRPr="007A0A25">
        <w:rPr>
          <w:color w:val="000000"/>
          <w:sz w:val="24"/>
          <w:szCs w:val="26"/>
        </w:rPr>
        <w:t xml:space="preserve"> Анатолий Иванович</w:t>
      </w:r>
    </w:p>
    <w:p w14:paraId="36729114" w14:textId="77777777" w:rsidR="005D1A61" w:rsidRPr="007A0A25" w:rsidRDefault="0045737E">
      <w:pPr>
        <w:pBdr>
          <w:top w:val="nil"/>
          <w:left w:val="nil"/>
          <w:bottom w:val="nil"/>
          <w:right w:val="nil"/>
          <w:between w:val="nil"/>
        </w:pBdr>
        <w:spacing w:after="0"/>
        <w:ind w:left="6236" w:hanging="566"/>
        <w:jc w:val="both"/>
        <w:rPr>
          <w:color w:val="000000"/>
          <w:sz w:val="24"/>
          <w:szCs w:val="26"/>
        </w:rPr>
      </w:pPr>
      <w:r w:rsidRPr="007A0A25">
        <w:rPr>
          <w:color w:val="000000"/>
          <w:sz w:val="24"/>
          <w:szCs w:val="26"/>
        </w:rPr>
        <w:t>Рецензент:</w:t>
      </w:r>
    </w:p>
    <w:p w14:paraId="6434729F" w14:textId="77777777" w:rsidR="005D1A61" w:rsidRPr="007A0A25" w:rsidRDefault="0045737E">
      <w:pPr>
        <w:pBdr>
          <w:top w:val="nil"/>
          <w:left w:val="nil"/>
          <w:bottom w:val="nil"/>
          <w:right w:val="nil"/>
          <w:between w:val="nil"/>
        </w:pBdr>
        <w:spacing w:after="0"/>
        <w:ind w:left="6236" w:hanging="566"/>
        <w:jc w:val="both"/>
        <w:rPr>
          <w:color w:val="000000"/>
          <w:sz w:val="24"/>
          <w:szCs w:val="26"/>
        </w:rPr>
      </w:pPr>
      <w:r w:rsidRPr="007A0A25">
        <w:rPr>
          <w:color w:val="000000"/>
          <w:sz w:val="24"/>
          <w:szCs w:val="26"/>
        </w:rPr>
        <w:t>доцент СЗИУ РАНХиГС,</w:t>
      </w:r>
    </w:p>
    <w:p w14:paraId="4B1E2D1B" w14:textId="77777777" w:rsidR="005D1A61" w:rsidRPr="007A0A25" w:rsidRDefault="0045737E">
      <w:pPr>
        <w:pBdr>
          <w:top w:val="nil"/>
          <w:left w:val="nil"/>
          <w:bottom w:val="nil"/>
          <w:right w:val="nil"/>
          <w:between w:val="nil"/>
        </w:pBdr>
        <w:spacing w:after="0"/>
        <w:ind w:left="6236" w:hanging="566"/>
        <w:jc w:val="both"/>
        <w:rPr>
          <w:color w:val="000000"/>
          <w:sz w:val="24"/>
          <w:szCs w:val="26"/>
        </w:rPr>
      </w:pPr>
      <w:r w:rsidRPr="007A0A25">
        <w:rPr>
          <w:color w:val="000000"/>
          <w:sz w:val="24"/>
          <w:szCs w:val="26"/>
        </w:rPr>
        <w:t>кандидат географических наук</w:t>
      </w:r>
    </w:p>
    <w:p w14:paraId="5FB53B80" w14:textId="77777777" w:rsidR="005D1A61" w:rsidRPr="007A0A25" w:rsidRDefault="0045737E">
      <w:pPr>
        <w:pBdr>
          <w:top w:val="nil"/>
          <w:left w:val="nil"/>
          <w:bottom w:val="nil"/>
          <w:right w:val="nil"/>
          <w:between w:val="nil"/>
        </w:pBdr>
        <w:spacing w:after="0"/>
        <w:ind w:left="6236" w:hanging="566"/>
        <w:jc w:val="both"/>
        <w:rPr>
          <w:color w:val="000000"/>
          <w:sz w:val="24"/>
          <w:szCs w:val="26"/>
        </w:rPr>
      </w:pPr>
      <w:proofErr w:type="spellStart"/>
      <w:r w:rsidRPr="007A0A25">
        <w:rPr>
          <w:color w:val="000000"/>
          <w:sz w:val="24"/>
          <w:szCs w:val="26"/>
        </w:rPr>
        <w:t>Елсуков</w:t>
      </w:r>
      <w:proofErr w:type="spellEnd"/>
      <w:r w:rsidRPr="007A0A25">
        <w:rPr>
          <w:color w:val="000000"/>
          <w:sz w:val="24"/>
          <w:szCs w:val="26"/>
        </w:rPr>
        <w:t xml:space="preserve"> Михаил Юрьевич</w:t>
      </w:r>
    </w:p>
    <w:p w14:paraId="46B87D68" w14:textId="77777777" w:rsidR="005D1A61" w:rsidRDefault="005D1A61">
      <w:pPr>
        <w:pBdr>
          <w:top w:val="nil"/>
          <w:left w:val="nil"/>
          <w:bottom w:val="nil"/>
          <w:right w:val="nil"/>
          <w:between w:val="nil"/>
        </w:pBdr>
        <w:spacing w:after="0" w:line="240" w:lineRule="auto"/>
        <w:jc w:val="right"/>
        <w:rPr>
          <w:color w:val="000000"/>
          <w:sz w:val="26"/>
          <w:szCs w:val="26"/>
        </w:rPr>
      </w:pPr>
    </w:p>
    <w:p w14:paraId="2EAFEBCE" w14:textId="77777777" w:rsidR="005D1A61" w:rsidRDefault="005D1A61">
      <w:pPr>
        <w:pBdr>
          <w:top w:val="nil"/>
          <w:left w:val="nil"/>
          <w:bottom w:val="nil"/>
          <w:right w:val="nil"/>
          <w:between w:val="nil"/>
        </w:pBdr>
        <w:spacing w:after="0" w:line="240" w:lineRule="auto"/>
        <w:jc w:val="right"/>
        <w:rPr>
          <w:color w:val="000000"/>
          <w:sz w:val="26"/>
          <w:szCs w:val="26"/>
        </w:rPr>
      </w:pPr>
    </w:p>
    <w:p w14:paraId="2DF5FC54" w14:textId="77777777" w:rsidR="005D1A61" w:rsidRDefault="005D1A61">
      <w:pPr>
        <w:pBdr>
          <w:top w:val="nil"/>
          <w:left w:val="nil"/>
          <w:bottom w:val="nil"/>
          <w:right w:val="nil"/>
          <w:between w:val="nil"/>
        </w:pBdr>
        <w:spacing w:after="0" w:line="240" w:lineRule="auto"/>
        <w:rPr>
          <w:color w:val="000000"/>
          <w:sz w:val="26"/>
          <w:szCs w:val="26"/>
        </w:rPr>
      </w:pPr>
    </w:p>
    <w:p w14:paraId="50DDE8B9" w14:textId="77777777" w:rsidR="005D1A61" w:rsidRDefault="005D1A61">
      <w:pPr>
        <w:pBdr>
          <w:top w:val="nil"/>
          <w:left w:val="nil"/>
          <w:bottom w:val="nil"/>
          <w:right w:val="nil"/>
          <w:between w:val="nil"/>
        </w:pBdr>
        <w:spacing w:after="0" w:line="240" w:lineRule="auto"/>
        <w:jc w:val="right"/>
        <w:rPr>
          <w:color w:val="000000"/>
          <w:sz w:val="26"/>
          <w:szCs w:val="26"/>
        </w:rPr>
      </w:pPr>
    </w:p>
    <w:p w14:paraId="6C35E29D" w14:textId="77777777" w:rsidR="005D1A61" w:rsidRDefault="005D1A61">
      <w:pPr>
        <w:pBdr>
          <w:top w:val="nil"/>
          <w:left w:val="nil"/>
          <w:bottom w:val="nil"/>
          <w:right w:val="nil"/>
          <w:between w:val="nil"/>
        </w:pBdr>
        <w:spacing w:after="0" w:line="240" w:lineRule="auto"/>
        <w:jc w:val="right"/>
        <w:rPr>
          <w:color w:val="000000"/>
          <w:sz w:val="26"/>
          <w:szCs w:val="26"/>
        </w:rPr>
      </w:pPr>
    </w:p>
    <w:p w14:paraId="6A437FF8" w14:textId="77777777" w:rsidR="005D1A61" w:rsidRDefault="005D1A61">
      <w:pPr>
        <w:pBdr>
          <w:top w:val="nil"/>
          <w:left w:val="nil"/>
          <w:bottom w:val="nil"/>
          <w:right w:val="nil"/>
          <w:between w:val="nil"/>
        </w:pBdr>
        <w:spacing w:after="0" w:line="240" w:lineRule="auto"/>
        <w:jc w:val="right"/>
        <w:rPr>
          <w:color w:val="000000"/>
          <w:sz w:val="26"/>
          <w:szCs w:val="26"/>
        </w:rPr>
      </w:pPr>
    </w:p>
    <w:p w14:paraId="3A912C54" w14:textId="77777777" w:rsidR="005D1A61" w:rsidRDefault="005D1A61">
      <w:pPr>
        <w:pBdr>
          <w:top w:val="nil"/>
          <w:left w:val="nil"/>
          <w:bottom w:val="nil"/>
          <w:right w:val="nil"/>
          <w:between w:val="nil"/>
        </w:pBdr>
        <w:spacing w:after="0" w:line="240" w:lineRule="auto"/>
        <w:jc w:val="right"/>
        <w:rPr>
          <w:color w:val="000000"/>
          <w:sz w:val="26"/>
          <w:szCs w:val="26"/>
        </w:rPr>
      </w:pPr>
    </w:p>
    <w:p w14:paraId="6E5E672F" w14:textId="77777777" w:rsidR="005D1A61" w:rsidRDefault="005D1A61">
      <w:pPr>
        <w:pBdr>
          <w:top w:val="nil"/>
          <w:left w:val="nil"/>
          <w:bottom w:val="nil"/>
          <w:right w:val="nil"/>
          <w:between w:val="nil"/>
        </w:pBdr>
        <w:spacing w:after="0" w:line="240" w:lineRule="auto"/>
        <w:jc w:val="right"/>
        <w:rPr>
          <w:color w:val="000000"/>
          <w:sz w:val="26"/>
          <w:szCs w:val="26"/>
        </w:rPr>
      </w:pPr>
    </w:p>
    <w:p w14:paraId="36A959A8" w14:textId="77777777" w:rsidR="005D1A61" w:rsidRDefault="005D1A61">
      <w:pPr>
        <w:pBdr>
          <w:top w:val="nil"/>
          <w:left w:val="nil"/>
          <w:bottom w:val="nil"/>
          <w:right w:val="nil"/>
          <w:between w:val="nil"/>
        </w:pBdr>
        <w:spacing w:after="0" w:line="240" w:lineRule="auto"/>
        <w:jc w:val="right"/>
        <w:rPr>
          <w:color w:val="000000"/>
          <w:sz w:val="26"/>
          <w:szCs w:val="26"/>
        </w:rPr>
      </w:pPr>
    </w:p>
    <w:p w14:paraId="19E144F2" w14:textId="77777777" w:rsidR="005D1A61" w:rsidRDefault="005D1A61">
      <w:pPr>
        <w:pBdr>
          <w:top w:val="nil"/>
          <w:left w:val="nil"/>
          <w:bottom w:val="nil"/>
          <w:right w:val="nil"/>
          <w:between w:val="nil"/>
        </w:pBdr>
        <w:spacing w:after="0" w:line="240" w:lineRule="auto"/>
        <w:rPr>
          <w:color w:val="000000"/>
          <w:sz w:val="26"/>
          <w:szCs w:val="26"/>
        </w:rPr>
      </w:pPr>
    </w:p>
    <w:p w14:paraId="721EB341" w14:textId="77777777" w:rsidR="007A0A25" w:rsidRDefault="007A0A25">
      <w:pPr>
        <w:pBdr>
          <w:top w:val="nil"/>
          <w:left w:val="nil"/>
          <w:bottom w:val="nil"/>
          <w:right w:val="nil"/>
          <w:between w:val="nil"/>
        </w:pBdr>
        <w:spacing w:after="0" w:line="240" w:lineRule="auto"/>
        <w:rPr>
          <w:color w:val="000000"/>
          <w:sz w:val="26"/>
          <w:szCs w:val="26"/>
        </w:rPr>
      </w:pPr>
    </w:p>
    <w:p w14:paraId="1ECFBF6C" w14:textId="77777777" w:rsidR="007A0A25" w:rsidRDefault="007A0A25">
      <w:pPr>
        <w:pBdr>
          <w:top w:val="nil"/>
          <w:left w:val="nil"/>
          <w:bottom w:val="nil"/>
          <w:right w:val="nil"/>
          <w:between w:val="nil"/>
        </w:pBdr>
        <w:spacing w:after="0" w:line="240" w:lineRule="auto"/>
        <w:rPr>
          <w:color w:val="000000"/>
          <w:sz w:val="26"/>
          <w:szCs w:val="26"/>
        </w:rPr>
      </w:pPr>
    </w:p>
    <w:p w14:paraId="22EF60FC" w14:textId="77777777" w:rsidR="005D1A61" w:rsidRDefault="005D1A61" w:rsidP="007A0A25">
      <w:pPr>
        <w:pBdr>
          <w:top w:val="nil"/>
          <w:left w:val="nil"/>
          <w:bottom w:val="nil"/>
          <w:right w:val="nil"/>
          <w:between w:val="nil"/>
        </w:pBdr>
        <w:spacing w:after="0" w:line="240" w:lineRule="auto"/>
        <w:rPr>
          <w:color w:val="000000"/>
          <w:sz w:val="26"/>
          <w:szCs w:val="26"/>
        </w:rPr>
      </w:pPr>
    </w:p>
    <w:p w14:paraId="546879B7" w14:textId="77777777" w:rsidR="005D1A61" w:rsidRDefault="0045737E">
      <w:pPr>
        <w:pBdr>
          <w:top w:val="nil"/>
          <w:left w:val="nil"/>
          <w:bottom w:val="nil"/>
          <w:right w:val="nil"/>
          <w:between w:val="nil"/>
        </w:pBdr>
        <w:spacing w:after="0" w:line="240" w:lineRule="auto"/>
        <w:jc w:val="center"/>
        <w:rPr>
          <w:color w:val="000000"/>
          <w:sz w:val="24"/>
          <w:szCs w:val="24"/>
        </w:rPr>
      </w:pPr>
      <w:r>
        <w:rPr>
          <w:color w:val="000000"/>
          <w:sz w:val="24"/>
          <w:szCs w:val="24"/>
        </w:rPr>
        <w:t>Санкт-Петербург</w:t>
      </w:r>
    </w:p>
    <w:p w14:paraId="471236F9" w14:textId="77777777" w:rsidR="005D1A61" w:rsidRDefault="0045737E">
      <w:pPr>
        <w:jc w:val="center"/>
        <w:rPr>
          <w:rFonts w:ascii="Arial" w:eastAsia="Arial" w:hAnsi="Arial" w:cs="Arial"/>
          <w:b/>
          <w:color w:val="000000"/>
          <w:sz w:val="34"/>
          <w:szCs w:val="34"/>
        </w:rPr>
      </w:pPr>
      <w:r>
        <w:rPr>
          <w:sz w:val="24"/>
          <w:szCs w:val="24"/>
        </w:rPr>
        <w:t>2023</w:t>
      </w:r>
      <w:r>
        <w:br w:type="page"/>
      </w:r>
    </w:p>
    <w:sdt>
      <w:sdtPr>
        <w:rPr>
          <w:rFonts w:ascii="Times New Roman" w:eastAsia="Times New Roman" w:hAnsi="Times New Roman" w:cs="Times New Roman"/>
          <w:b w:val="0"/>
          <w:bCs w:val="0"/>
          <w:color w:val="auto"/>
        </w:rPr>
        <w:id w:val="-1681959212"/>
        <w:docPartObj>
          <w:docPartGallery w:val="Table of Contents"/>
          <w:docPartUnique/>
        </w:docPartObj>
      </w:sdtPr>
      <w:sdtContent>
        <w:p w14:paraId="140C33D6" w14:textId="39DF7D8C" w:rsidR="00911EB4" w:rsidRPr="00911EB4" w:rsidRDefault="00911EB4" w:rsidP="00911EB4">
          <w:pPr>
            <w:pStyle w:val="aa"/>
            <w:spacing w:before="0" w:line="360" w:lineRule="auto"/>
            <w:rPr>
              <w:rFonts w:ascii="Times New Roman" w:hAnsi="Times New Roman" w:cs="Times New Roman"/>
              <w:color w:val="auto"/>
            </w:rPr>
          </w:pPr>
          <w:r w:rsidRPr="00911EB4">
            <w:rPr>
              <w:rFonts w:ascii="Times New Roman" w:hAnsi="Times New Roman" w:cs="Times New Roman"/>
              <w:color w:val="auto"/>
            </w:rPr>
            <w:t>Оглавление</w:t>
          </w:r>
        </w:p>
        <w:p w14:paraId="5721FDA2" w14:textId="42B9CCEA" w:rsidR="00C02501" w:rsidRDefault="00911EB4">
          <w:pPr>
            <w:pStyle w:val="11"/>
            <w:tabs>
              <w:tab w:val="right" w:leader="dot" w:pos="9345"/>
            </w:tabs>
            <w:rPr>
              <w:rFonts w:asciiTheme="minorHAnsi" w:eastAsiaTheme="minorEastAsia" w:hAnsiTheme="minorHAnsi" w:cstheme="minorBidi"/>
              <w:noProof/>
              <w:kern w:val="2"/>
              <w:sz w:val="22"/>
              <w:szCs w:val="22"/>
              <w14:ligatures w14:val="standardContextual"/>
            </w:rPr>
          </w:pPr>
          <w:r w:rsidRPr="00911EB4">
            <w:fldChar w:fldCharType="begin"/>
          </w:r>
          <w:r w:rsidRPr="00911EB4">
            <w:instrText xml:space="preserve"> TOC \o "1-3" \h \z \u </w:instrText>
          </w:r>
          <w:r w:rsidRPr="00911EB4">
            <w:fldChar w:fldCharType="separate"/>
          </w:r>
          <w:hyperlink w:anchor="_Toc136642355" w:history="1">
            <w:r w:rsidR="00C02501" w:rsidRPr="00701774">
              <w:rPr>
                <w:rStyle w:val="ab"/>
                <w:noProof/>
              </w:rPr>
              <w:t>ВВЕДЕНИЕ</w:t>
            </w:r>
            <w:r w:rsidR="00C02501">
              <w:rPr>
                <w:noProof/>
                <w:webHidden/>
              </w:rPr>
              <w:tab/>
            </w:r>
            <w:r w:rsidR="00C02501">
              <w:rPr>
                <w:noProof/>
                <w:webHidden/>
              </w:rPr>
              <w:fldChar w:fldCharType="begin"/>
            </w:r>
            <w:r w:rsidR="00C02501">
              <w:rPr>
                <w:noProof/>
                <w:webHidden/>
              </w:rPr>
              <w:instrText xml:space="preserve"> PAGEREF _Toc136642355 \h </w:instrText>
            </w:r>
            <w:r w:rsidR="00C02501">
              <w:rPr>
                <w:noProof/>
                <w:webHidden/>
              </w:rPr>
            </w:r>
            <w:r w:rsidR="00C02501">
              <w:rPr>
                <w:noProof/>
                <w:webHidden/>
              </w:rPr>
              <w:fldChar w:fldCharType="separate"/>
            </w:r>
            <w:r w:rsidR="00C02501">
              <w:rPr>
                <w:noProof/>
                <w:webHidden/>
              </w:rPr>
              <w:t>3</w:t>
            </w:r>
            <w:r w:rsidR="00C02501">
              <w:rPr>
                <w:noProof/>
                <w:webHidden/>
              </w:rPr>
              <w:fldChar w:fldCharType="end"/>
            </w:r>
          </w:hyperlink>
        </w:p>
        <w:p w14:paraId="4E0C136E" w14:textId="0EF17188"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56" w:history="1">
            <w:r w:rsidRPr="00701774">
              <w:rPr>
                <w:rStyle w:val="ab"/>
                <w:noProof/>
              </w:rPr>
              <w:t>Глава 1. Теоретико-методологические основы исследования дифференциации социально-экономического развития на уровне регионов</w:t>
            </w:r>
            <w:r>
              <w:rPr>
                <w:noProof/>
                <w:webHidden/>
              </w:rPr>
              <w:tab/>
            </w:r>
            <w:r>
              <w:rPr>
                <w:noProof/>
                <w:webHidden/>
              </w:rPr>
              <w:fldChar w:fldCharType="begin"/>
            </w:r>
            <w:r>
              <w:rPr>
                <w:noProof/>
                <w:webHidden/>
              </w:rPr>
              <w:instrText xml:space="preserve"> PAGEREF _Toc136642356 \h </w:instrText>
            </w:r>
            <w:r>
              <w:rPr>
                <w:noProof/>
                <w:webHidden/>
              </w:rPr>
            </w:r>
            <w:r>
              <w:rPr>
                <w:noProof/>
                <w:webHidden/>
              </w:rPr>
              <w:fldChar w:fldCharType="separate"/>
            </w:r>
            <w:r>
              <w:rPr>
                <w:noProof/>
                <w:webHidden/>
              </w:rPr>
              <w:t>6</w:t>
            </w:r>
            <w:r>
              <w:rPr>
                <w:noProof/>
                <w:webHidden/>
              </w:rPr>
              <w:fldChar w:fldCharType="end"/>
            </w:r>
          </w:hyperlink>
        </w:p>
        <w:p w14:paraId="40524C29" w14:textId="315D5F8F"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57" w:history="1">
            <w:r w:rsidRPr="00701774">
              <w:rPr>
                <w:rStyle w:val="ab"/>
                <w:noProof/>
              </w:rPr>
              <w:t>1.1. Теоретико-практическое значение дифференциации социально-экономического развития</w:t>
            </w:r>
            <w:r>
              <w:rPr>
                <w:noProof/>
                <w:webHidden/>
              </w:rPr>
              <w:tab/>
            </w:r>
            <w:r>
              <w:rPr>
                <w:noProof/>
                <w:webHidden/>
              </w:rPr>
              <w:fldChar w:fldCharType="begin"/>
            </w:r>
            <w:r>
              <w:rPr>
                <w:noProof/>
                <w:webHidden/>
              </w:rPr>
              <w:instrText xml:space="preserve"> PAGEREF _Toc136642357 \h </w:instrText>
            </w:r>
            <w:r>
              <w:rPr>
                <w:noProof/>
                <w:webHidden/>
              </w:rPr>
            </w:r>
            <w:r>
              <w:rPr>
                <w:noProof/>
                <w:webHidden/>
              </w:rPr>
              <w:fldChar w:fldCharType="separate"/>
            </w:r>
            <w:r>
              <w:rPr>
                <w:noProof/>
                <w:webHidden/>
              </w:rPr>
              <w:t>6</w:t>
            </w:r>
            <w:r>
              <w:rPr>
                <w:noProof/>
                <w:webHidden/>
              </w:rPr>
              <w:fldChar w:fldCharType="end"/>
            </w:r>
          </w:hyperlink>
        </w:p>
        <w:p w14:paraId="30409BA2" w14:textId="44AED997"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58" w:history="1">
            <w:r w:rsidRPr="00701774">
              <w:rPr>
                <w:rStyle w:val="ab"/>
                <w:noProof/>
              </w:rPr>
              <w:t>1.2. Общественно-географические подходы к изучению социально-экономического развития регионов России</w:t>
            </w:r>
            <w:r>
              <w:rPr>
                <w:noProof/>
                <w:webHidden/>
              </w:rPr>
              <w:tab/>
            </w:r>
            <w:r>
              <w:rPr>
                <w:noProof/>
                <w:webHidden/>
              </w:rPr>
              <w:fldChar w:fldCharType="begin"/>
            </w:r>
            <w:r>
              <w:rPr>
                <w:noProof/>
                <w:webHidden/>
              </w:rPr>
              <w:instrText xml:space="preserve"> PAGEREF _Toc136642358 \h </w:instrText>
            </w:r>
            <w:r>
              <w:rPr>
                <w:noProof/>
                <w:webHidden/>
              </w:rPr>
            </w:r>
            <w:r>
              <w:rPr>
                <w:noProof/>
                <w:webHidden/>
              </w:rPr>
              <w:fldChar w:fldCharType="separate"/>
            </w:r>
            <w:r>
              <w:rPr>
                <w:noProof/>
                <w:webHidden/>
              </w:rPr>
              <w:t>10</w:t>
            </w:r>
            <w:r>
              <w:rPr>
                <w:noProof/>
                <w:webHidden/>
              </w:rPr>
              <w:fldChar w:fldCharType="end"/>
            </w:r>
          </w:hyperlink>
        </w:p>
        <w:p w14:paraId="399F6E6B" w14:textId="0BC97F35"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59" w:history="1">
            <w:r w:rsidRPr="00701774">
              <w:rPr>
                <w:rStyle w:val="ab"/>
                <w:noProof/>
              </w:rPr>
              <w:t>1.3. Подходы и методы оценки дифференциации</w:t>
            </w:r>
            <w:r>
              <w:rPr>
                <w:noProof/>
                <w:webHidden/>
              </w:rPr>
              <w:tab/>
            </w:r>
            <w:r>
              <w:rPr>
                <w:noProof/>
                <w:webHidden/>
              </w:rPr>
              <w:fldChar w:fldCharType="begin"/>
            </w:r>
            <w:r>
              <w:rPr>
                <w:noProof/>
                <w:webHidden/>
              </w:rPr>
              <w:instrText xml:space="preserve"> PAGEREF _Toc136642359 \h </w:instrText>
            </w:r>
            <w:r>
              <w:rPr>
                <w:noProof/>
                <w:webHidden/>
              </w:rPr>
            </w:r>
            <w:r>
              <w:rPr>
                <w:noProof/>
                <w:webHidden/>
              </w:rPr>
              <w:fldChar w:fldCharType="separate"/>
            </w:r>
            <w:r>
              <w:rPr>
                <w:noProof/>
                <w:webHidden/>
              </w:rPr>
              <w:t>16</w:t>
            </w:r>
            <w:r>
              <w:rPr>
                <w:noProof/>
                <w:webHidden/>
              </w:rPr>
              <w:fldChar w:fldCharType="end"/>
            </w:r>
          </w:hyperlink>
        </w:p>
        <w:p w14:paraId="345BCD2C" w14:textId="439EA8F9"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60" w:history="1">
            <w:r w:rsidRPr="00701774">
              <w:rPr>
                <w:rStyle w:val="ab"/>
                <w:noProof/>
              </w:rPr>
              <w:t>Глава 2. Социально-экономическое развитие регионов Уральского федерального округа Российской Федерации</w:t>
            </w:r>
            <w:r>
              <w:rPr>
                <w:noProof/>
                <w:webHidden/>
              </w:rPr>
              <w:tab/>
            </w:r>
            <w:r>
              <w:rPr>
                <w:noProof/>
                <w:webHidden/>
              </w:rPr>
              <w:fldChar w:fldCharType="begin"/>
            </w:r>
            <w:r>
              <w:rPr>
                <w:noProof/>
                <w:webHidden/>
              </w:rPr>
              <w:instrText xml:space="preserve"> PAGEREF _Toc136642360 \h </w:instrText>
            </w:r>
            <w:r>
              <w:rPr>
                <w:noProof/>
                <w:webHidden/>
              </w:rPr>
            </w:r>
            <w:r>
              <w:rPr>
                <w:noProof/>
                <w:webHidden/>
              </w:rPr>
              <w:fldChar w:fldCharType="separate"/>
            </w:r>
            <w:r>
              <w:rPr>
                <w:noProof/>
                <w:webHidden/>
              </w:rPr>
              <w:t>22</w:t>
            </w:r>
            <w:r>
              <w:rPr>
                <w:noProof/>
                <w:webHidden/>
              </w:rPr>
              <w:fldChar w:fldCharType="end"/>
            </w:r>
          </w:hyperlink>
        </w:p>
        <w:p w14:paraId="40DAE3B5" w14:textId="5BA8A1D6"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61" w:history="1">
            <w:r w:rsidRPr="00701774">
              <w:rPr>
                <w:rStyle w:val="ab"/>
                <w:noProof/>
              </w:rPr>
              <w:t>2.1. Природно-территориальная структура</w:t>
            </w:r>
            <w:r>
              <w:rPr>
                <w:noProof/>
                <w:webHidden/>
              </w:rPr>
              <w:tab/>
            </w:r>
            <w:r>
              <w:rPr>
                <w:noProof/>
                <w:webHidden/>
              </w:rPr>
              <w:fldChar w:fldCharType="begin"/>
            </w:r>
            <w:r>
              <w:rPr>
                <w:noProof/>
                <w:webHidden/>
              </w:rPr>
              <w:instrText xml:space="preserve"> PAGEREF _Toc136642361 \h </w:instrText>
            </w:r>
            <w:r>
              <w:rPr>
                <w:noProof/>
                <w:webHidden/>
              </w:rPr>
            </w:r>
            <w:r>
              <w:rPr>
                <w:noProof/>
                <w:webHidden/>
              </w:rPr>
              <w:fldChar w:fldCharType="separate"/>
            </w:r>
            <w:r>
              <w:rPr>
                <w:noProof/>
                <w:webHidden/>
              </w:rPr>
              <w:t>22</w:t>
            </w:r>
            <w:r>
              <w:rPr>
                <w:noProof/>
                <w:webHidden/>
              </w:rPr>
              <w:fldChar w:fldCharType="end"/>
            </w:r>
          </w:hyperlink>
        </w:p>
        <w:p w14:paraId="285E5E9D" w14:textId="263CDE85"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62" w:history="1">
            <w:r w:rsidRPr="00701774">
              <w:rPr>
                <w:rStyle w:val="ab"/>
                <w:noProof/>
              </w:rPr>
              <w:t>2.2. Демографическая сфера</w:t>
            </w:r>
            <w:r>
              <w:rPr>
                <w:noProof/>
                <w:webHidden/>
              </w:rPr>
              <w:tab/>
            </w:r>
            <w:r>
              <w:rPr>
                <w:noProof/>
                <w:webHidden/>
              </w:rPr>
              <w:fldChar w:fldCharType="begin"/>
            </w:r>
            <w:r>
              <w:rPr>
                <w:noProof/>
                <w:webHidden/>
              </w:rPr>
              <w:instrText xml:space="preserve"> PAGEREF _Toc136642362 \h </w:instrText>
            </w:r>
            <w:r>
              <w:rPr>
                <w:noProof/>
                <w:webHidden/>
              </w:rPr>
            </w:r>
            <w:r>
              <w:rPr>
                <w:noProof/>
                <w:webHidden/>
              </w:rPr>
              <w:fldChar w:fldCharType="separate"/>
            </w:r>
            <w:r>
              <w:rPr>
                <w:noProof/>
                <w:webHidden/>
              </w:rPr>
              <w:t>32</w:t>
            </w:r>
            <w:r>
              <w:rPr>
                <w:noProof/>
                <w:webHidden/>
              </w:rPr>
              <w:fldChar w:fldCharType="end"/>
            </w:r>
          </w:hyperlink>
        </w:p>
        <w:p w14:paraId="476067EE" w14:textId="29D0AAD0"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63" w:history="1">
            <w:r w:rsidRPr="00701774">
              <w:rPr>
                <w:rStyle w:val="ab"/>
                <w:noProof/>
              </w:rPr>
              <w:t>2.3. Региональная экономика: базовые сферы</w:t>
            </w:r>
            <w:r>
              <w:rPr>
                <w:noProof/>
                <w:webHidden/>
              </w:rPr>
              <w:tab/>
            </w:r>
            <w:r>
              <w:rPr>
                <w:noProof/>
                <w:webHidden/>
              </w:rPr>
              <w:fldChar w:fldCharType="begin"/>
            </w:r>
            <w:r>
              <w:rPr>
                <w:noProof/>
                <w:webHidden/>
              </w:rPr>
              <w:instrText xml:space="preserve"> PAGEREF _Toc136642363 \h </w:instrText>
            </w:r>
            <w:r>
              <w:rPr>
                <w:noProof/>
                <w:webHidden/>
              </w:rPr>
            </w:r>
            <w:r>
              <w:rPr>
                <w:noProof/>
                <w:webHidden/>
              </w:rPr>
              <w:fldChar w:fldCharType="separate"/>
            </w:r>
            <w:r>
              <w:rPr>
                <w:noProof/>
                <w:webHidden/>
              </w:rPr>
              <w:t>39</w:t>
            </w:r>
            <w:r>
              <w:rPr>
                <w:noProof/>
                <w:webHidden/>
              </w:rPr>
              <w:fldChar w:fldCharType="end"/>
            </w:r>
          </w:hyperlink>
        </w:p>
        <w:p w14:paraId="587FE675" w14:textId="43D0A56E"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64" w:history="1">
            <w:r w:rsidRPr="00701774">
              <w:rPr>
                <w:rStyle w:val="ab"/>
                <w:noProof/>
              </w:rPr>
              <w:t>Глава 3. Дифференциация уровня социально-экономического развития регионов Уральского ФО Российской Федерации</w:t>
            </w:r>
            <w:r>
              <w:rPr>
                <w:noProof/>
                <w:webHidden/>
              </w:rPr>
              <w:tab/>
            </w:r>
            <w:r>
              <w:rPr>
                <w:noProof/>
                <w:webHidden/>
              </w:rPr>
              <w:fldChar w:fldCharType="begin"/>
            </w:r>
            <w:r>
              <w:rPr>
                <w:noProof/>
                <w:webHidden/>
              </w:rPr>
              <w:instrText xml:space="preserve"> PAGEREF _Toc136642364 \h </w:instrText>
            </w:r>
            <w:r>
              <w:rPr>
                <w:noProof/>
                <w:webHidden/>
              </w:rPr>
            </w:r>
            <w:r>
              <w:rPr>
                <w:noProof/>
                <w:webHidden/>
              </w:rPr>
              <w:fldChar w:fldCharType="separate"/>
            </w:r>
            <w:r>
              <w:rPr>
                <w:noProof/>
                <w:webHidden/>
              </w:rPr>
              <w:t>58</w:t>
            </w:r>
            <w:r>
              <w:rPr>
                <w:noProof/>
                <w:webHidden/>
              </w:rPr>
              <w:fldChar w:fldCharType="end"/>
            </w:r>
          </w:hyperlink>
        </w:p>
        <w:p w14:paraId="3DB8FDE8" w14:textId="68D19C39" w:rsidR="00C02501" w:rsidRDefault="00C02501">
          <w:pPr>
            <w:pStyle w:val="21"/>
            <w:tabs>
              <w:tab w:val="right" w:leader="dot" w:pos="9345"/>
            </w:tabs>
            <w:rPr>
              <w:rFonts w:asciiTheme="minorHAnsi" w:eastAsiaTheme="minorEastAsia" w:hAnsiTheme="minorHAnsi" w:cstheme="minorBidi"/>
              <w:noProof/>
              <w:kern w:val="2"/>
              <w:sz w:val="22"/>
              <w:szCs w:val="22"/>
              <w14:ligatures w14:val="standardContextual"/>
            </w:rPr>
          </w:pPr>
          <w:hyperlink w:anchor="_Toc136642365" w:history="1">
            <w:r w:rsidRPr="00701774">
              <w:rPr>
                <w:rStyle w:val="ab"/>
                <w:noProof/>
              </w:rPr>
              <w:t>3.1. Сравнительные показатели развития социально-экономического развития</w:t>
            </w:r>
            <w:r>
              <w:rPr>
                <w:noProof/>
                <w:webHidden/>
              </w:rPr>
              <w:tab/>
            </w:r>
            <w:r>
              <w:rPr>
                <w:noProof/>
                <w:webHidden/>
              </w:rPr>
              <w:fldChar w:fldCharType="begin"/>
            </w:r>
            <w:r>
              <w:rPr>
                <w:noProof/>
                <w:webHidden/>
              </w:rPr>
              <w:instrText xml:space="preserve"> PAGEREF _Toc136642365 \h </w:instrText>
            </w:r>
            <w:r>
              <w:rPr>
                <w:noProof/>
                <w:webHidden/>
              </w:rPr>
            </w:r>
            <w:r>
              <w:rPr>
                <w:noProof/>
                <w:webHidden/>
              </w:rPr>
              <w:fldChar w:fldCharType="separate"/>
            </w:r>
            <w:r>
              <w:rPr>
                <w:noProof/>
                <w:webHidden/>
              </w:rPr>
              <w:t>58</w:t>
            </w:r>
            <w:r>
              <w:rPr>
                <w:noProof/>
                <w:webHidden/>
              </w:rPr>
              <w:fldChar w:fldCharType="end"/>
            </w:r>
          </w:hyperlink>
        </w:p>
        <w:p w14:paraId="7CF17A3B" w14:textId="2E0C66B7" w:rsidR="00C02501" w:rsidRDefault="00C02501">
          <w:pPr>
            <w:pStyle w:val="21"/>
            <w:tabs>
              <w:tab w:val="right" w:leader="dot" w:pos="9345"/>
            </w:tabs>
            <w:rPr>
              <w:rFonts w:asciiTheme="minorHAnsi" w:eastAsiaTheme="minorEastAsia" w:hAnsiTheme="minorHAnsi" w:cstheme="minorBidi"/>
              <w:noProof/>
              <w:kern w:val="2"/>
              <w:sz w:val="22"/>
              <w:szCs w:val="22"/>
              <w14:ligatures w14:val="standardContextual"/>
            </w:rPr>
          </w:pPr>
          <w:hyperlink w:anchor="_Toc136642366" w:history="1">
            <w:r w:rsidRPr="00701774">
              <w:rPr>
                <w:rStyle w:val="ab"/>
                <w:bCs/>
                <w:iCs/>
                <w:noProof/>
              </w:rPr>
              <w:t>3.2. Интегральная оценка дифференциации</w:t>
            </w:r>
            <w:r>
              <w:rPr>
                <w:noProof/>
                <w:webHidden/>
              </w:rPr>
              <w:tab/>
            </w:r>
            <w:r>
              <w:rPr>
                <w:noProof/>
                <w:webHidden/>
              </w:rPr>
              <w:fldChar w:fldCharType="begin"/>
            </w:r>
            <w:r>
              <w:rPr>
                <w:noProof/>
                <w:webHidden/>
              </w:rPr>
              <w:instrText xml:space="preserve"> PAGEREF _Toc136642366 \h </w:instrText>
            </w:r>
            <w:r>
              <w:rPr>
                <w:noProof/>
                <w:webHidden/>
              </w:rPr>
            </w:r>
            <w:r>
              <w:rPr>
                <w:noProof/>
                <w:webHidden/>
              </w:rPr>
              <w:fldChar w:fldCharType="separate"/>
            </w:r>
            <w:r>
              <w:rPr>
                <w:noProof/>
                <w:webHidden/>
              </w:rPr>
              <w:t>61</w:t>
            </w:r>
            <w:r>
              <w:rPr>
                <w:noProof/>
                <w:webHidden/>
              </w:rPr>
              <w:fldChar w:fldCharType="end"/>
            </w:r>
          </w:hyperlink>
        </w:p>
        <w:p w14:paraId="56EB182D" w14:textId="743355BD"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67" w:history="1">
            <w:r w:rsidRPr="00701774">
              <w:rPr>
                <w:rStyle w:val="ab"/>
                <w:noProof/>
              </w:rPr>
              <w:t>Заключение</w:t>
            </w:r>
            <w:r>
              <w:rPr>
                <w:noProof/>
                <w:webHidden/>
              </w:rPr>
              <w:tab/>
            </w:r>
            <w:r>
              <w:rPr>
                <w:noProof/>
                <w:webHidden/>
              </w:rPr>
              <w:fldChar w:fldCharType="begin"/>
            </w:r>
            <w:r>
              <w:rPr>
                <w:noProof/>
                <w:webHidden/>
              </w:rPr>
              <w:instrText xml:space="preserve"> PAGEREF _Toc136642367 \h </w:instrText>
            </w:r>
            <w:r>
              <w:rPr>
                <w:noProof/>
                <w:webHidden/>
              </w:rPr>
            </w:r>
            <w:r>
              <w:rPr>
                <w:noProof/>
                <w:webHidden/>
              </w:rPr>
              <w:fldChar w:fldCharType="separate"/>
            </w:r>
            <w:r>
              <w:rPr>
                <w:noProof/>
                <w:webHidden/>
              </w:rPr>
              <w:t>64</w:t>
            </w:r>
            <w:r>
              <w:rPr>
                <w:noProof/>
                <w:webHidden/>
              </w:rPr>
              <w:fldChar w:fldCharType="end"/>
            </w:r>
          </w:hyperlink>
        </w:p>
        <w:p w14:paraId="140B622C" w14:textId="2ABD65B4"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68" w:history="1">
            <w:r w:rsidRPr="00701774">
              <w:rPr>
                <w:rStyle w:val="ab"/>
                <w:noProof/>
              </w:rPr>
              <w:t>Список литературы</w:t>
            </w:r>
            <w:r>
              <w:rPr>
                <w:noProof/>
                <w:webHidden/>
              </w:rPr>
              <w:tab/>
            </w:r>
            <w:r>
              <w:rPr>
                <w:noProof/>
                <w:webHidden/>
              </w:rPr>
              <w:fldChar w:fldCharType="begin"/>
            </w:r>
            <w:r>
              <w:rPr>
                <w:noProof/>
                <w:webHidden/>
              </w:rPr>
              <w:instrText xml:space="preserve"> PAGEREF _Toc136642368 \h </w:instrText>
            </w:r>
            <w:r>
              <w:rPr>
                <w:noProof/>
                <w:webHidden/>
              </w:rPr>
            </w:r>
            <w:r>
              <w:rPr>
                <w:noProof/>
                <w:webHidden/>
              </w:rPr>
              <w:fldChar w:fldCharType="separate"/>
            </w:r>
            <w:r>
              <w:rPr>
                <w:noProof/>
                <w:webHidden/>
              </w:rPr>
              <w:t>65</w:t>
            </w:r>
            <w:r>
              <w:rPr>
                <w:noProof/>
                <w:webHidden/>
              </w:rPr>
              <w:fldChar w:fldCharType="end"/>
            </w:r>
          </w:hyperlink>
        </w:p>
        <w:p w14:paraId="13C1F413" w14:textId="3BE055DB" w:rsidR="00C02501" w:rsidRDefault="00C02501">
          <w:pPr>
            <w:pStyle w:val="11"/>
            <w:tabs>
              <w:tab w:val="right" w:leader="dot" w:pos="9345"/>
            </w:tabs>
            <w:rPr>
              <w:rFonts w:asciiTheme="minorHAnsi" w:eastAsiaTheme="minorEastAsia" w:hAnsiTheme="minorHAnsi" w:cstheme="minorBidi"/>
              <w:noProof/>
              <w:kern w:val="2"/>
              <w:sz w:val="22"/>
              <w:szCs w:val="22"/>
              <w14:ligatures w14:val="standardContextual"/>
            </w:rPr>
          </w:pPr>
          <w:hyperlink w:anchor="_Toc136642369" w:history="1">
            <w:r w:rsidRPr="00701774">
              <w:rPr>
                <w:rStyle w:val="ab"/>
                <w:noProof/>
              </w:rPr>
              <w:t>ПРИЛОЖЕНИЯ</w:t>
            </w:r>
            <w:r>
              <w:rPr>
                <w:noProof/>
                <w:webHidden/>
              </w:rPr>
              <w:tab/>
            </w:r>
            <w:r>
              <w:rPr>
                <w:noProof/>
                <w:webHidden/>
              </w:rPr>
              <w:fldChar w:fldCharType="begin"/>
            </w:r>
            <w:r>
              <w:rPr>
                <w:noProof/>
                <w:webHidden/>
              </w:rPr>
              <w:instrText xml:space="preserve"> PAGEREF _Toc136642369 \h </w:instrText>
            </w:r>
            <w:r>
              <w:rPr>
                <w:noProof/>
                <w:webHidden/>
              </w:rPr>
            </w:r>
            <w:r>
              <w:rPr>
                <w:noProof/>
                <w:webHidden/>
              </w:rPr>
              <w:fldChar w:fldCharType="separate"/>
            </w:r>
            <w:r>
              <w:rPr>
                <w:noProof/>
                <w:webHidden/>
              </w:rPr>
              <w:t>74</w:t>
            </w:r>
            <w:r>
              <w:rPr>
                <w:noProof/>
                <w:webHidden/>
              </w:rPr>
              <w:fldChar w:fldCharType="end"/>
            </w:r>
          </w:hyperlink>
        </w:p>
        <w:p w14:paraId="332D4447" w14:textId="12BD3853" w:rsidR="00911EB4" w:rsidRDefault="00911EB4" w:rsidP="00911EB4">
          <w:pPr>
            <w:spacing w:line="360" w:lineRule="auto"/>
          </w:pPr>
          <w:r w:rsidRPr="00911EB4">
            <w:rPr>
              <w:b/>
              <w:bCs/>
            </w:rPr>
            <w:fldChar w:fldCharType="end"/>
          </w:r>
        </w:p>
      </w:sdtContent>
    </w:sdt>
    <w:p w14:paraId="2466572B" w14:textId="75A347F3" w:rsidR="005D1A61" w:rsidRDefault="005D1A61" w:rsidP="00911EB4">
      <w:pPr>
        <w:pStyle w:val="aa"/>
      </w:pPr>
    </w:p>
    <w:p w14:paraId="052ACD4A" w14:textId="77777777" w:rsidR="005D1A61" w:rsidRDefault="0045737E">
      <w:r>
        <w:br w:type="page"/>
      </w:r>
    </w:p>
    <w:p w14:paraId="561239FE" w14:textId="77777777" w:rsidR="005D1A61" w:rsidRDefault="0045737E">
      <w:pPr>
        <w:pStyle w:val="1"/>
        <w:jc w:val="center"/>
        <w:rPr>
          <w:sz w:val="20"/>
          <w:szCs w:val="20"/>
        </w:rPr>
      </w:pPr>
      <w:bookmarkStart w:id="0" w:name="_Toc136642112"/>
      <w:bookmarkStart w:id="1" w:name="_Toc136642355"/>
      <w:r>
        <w:rPr>
          <w:sz w:val="28"/>
          <w:szCs w:val="28"/>
        </w:rPr>
        <w:lastRenderedPageBreak/>
        <w:t>ВВЕДЕНИЕ</w:t>
      </w:r>
      <w:bookmarkEnd w:id="0"/>
      <w:bookmarkEnd w:id="1"/>
    </w:p>
    <w:p w14:paraId="071B1DCB" w14:textId="77777777" w:rsidR="00C02501" w:rsidRDefault="00C02501" w:rsidP="00C02501">
      <w:pPr>
        <w:pStyle w:val="af2"/>
        <w:spacing w:before="0" w:beforeAutospacing="0" w:after="0" w:afterAutospacing="0" w:line="360" w:lineRule="auto"/>
        <w:ind w:firstLine="860"/>
        <w:jc w:val="both"/>
      </w:pPr>
      <w:r>
        <w:rPr>
          <w:b/>
          <w:bCs/>
          <w:color w:val="000000"/>
        </w:rPr>
        <w:t xml:space="preserve">Актуальность темы. </w:t>
      </w:r>
      <w:r>
        <w:rPr>
          <w:color w:val="000000"/>
        </w:rPr>
        <w:t>Исследование территориальной дифференциации важно с точки зрения определения приоритетов региональной политики и принятия управленческих решений. Понимание результатов предыдущих этапов развития экономики позволяет выявить лучшие практики и определить ошибки, которые можно использовать при разработке стратегии социально- экономического развития регионов.</w:t>
      </w:r>
    </w:p>
    <w:p w14:paraId="3652A4A0" w14:textId="77777777" w:rsidR="00C02501" w:rsidRDefault="00C02501" w:rsidP="00C02501">
      <w:pPr>
        <w:pStyle w:val="af2"/>
        <w:spacing w:before="0" w:beforeAutospacing="0" w:after="0" w:afterAutospacing="0" w:line="360" w:lineRule="auto"/>
        <w:ind w:firstLine="860"/>
        <w:jc w:val="both"/>
      </w:pPr>
      <w:r>
        <w:rPr>
          <w:color w:val="000000"/>
        </w:rPr>
        <w:t xml:space="preserve">Система федеральных округов Российской Федерации определяет необходимость исследования развития регионов в рамках округа позволяет скоординировать усилия различных регионов в достижении общих целей. Уральский федеральный округ является контрастным по своему составу: в нем присутствуют как экономические локомотивы страны – Ханты-Мансийский и Ямало-Ненецкий автономные округа, так </w:t>
      </w:r>
      <w:proofErr w:type="gramStart"/>
      <w:r>
        <w:rPr>
          <w:color w:val="000000"/>
        </w:rPr>
        <w:t>и  аутсайдер</w:t>
      </w:r>
      <w:proofErr w:type="gramEnd"/>
      <w:r>
        <w:rPr>
          <w:color w:val="000000"/>
        </w:rPr>
        <w:t xml:space="preserve"> - Курганская область. </w:t>
      </w:r>
    </w:p>
    <w:p w14:paraId="1B826A97" w14:textId="77777777" w:rsidR="00C02501" w:rsidRDefault="00C02501" w:rsidP="00C02501">
      <w:pPr>
        <w:pStyle w:val="af2"/>
        <w:spacing w:before="0" w:beforeAutospacing="0" w:after="0" w:afterAutospacing="0" w:line="360" w:lineRule="auto"/>
        <w:ind w:firstLine="860"/>
        <w:jc w:val="both"/>
      </w:pPr>
      <w:r>
        <w:rPr>
          <w:color w:val="000000"/>
        </w:rPr>
        <w:t>Исследование получает дополнительное значение в виду отсутствия качественных комплексных исследований данной территории. Результаты работы заполняет этот пробел. Его результаты могут стать обоснованием выбора приоритетов в сфере региональной политики и стратегического планирования. </w:t>
      </w:r>
    </w:p>
    <w:p w14:paraId="753FDBDF" w14:textId="77777777" w:rsidR="00C02501" w:rsidRDefault="00C02501" w:rsidP="00C02501">
      <w:pPr>
        <w:pStyle w:val="af2"/>
        <w:spacing w:before="0" w:beforeAutospacing="0" w:after="0" w:afterAutospacing="0" w:line="360" w:lineRule="auto"/>
        <w:ind w:firstLine="860"/>
        <w:jc w:val="both"/>
      </w:pPr>
      <w:r>
        <w:rPr>
          <w:color w:val="000000"/>
        </w:rPr>
        <w:t>Таким образом, актуальность работы обусловлена потребностью в определении приоритетов региональной политики, улучшения управления развитием территорий. Результаты исследования могут быть использованы при разработке стратегий пространственного, схем территориального планирования регионов, принятии управленческих решений в</w:t>
      </w:r>
      <w:r>
        <w:rPr>
          <w:color w:val="000000"/>
          <w:u w:val="single"/>
        </w:rPr>
        <w:t xml:space="preserve"> области региональной политики.</w:t>
      </w:r>
    </w:p>
    <w:p w14:paraId="2DE302FB" w14:textId="77777777" w:rsidR="00C02501" w:rsidRDefault="00C02501" w:rsidP="00C02501">
      <w:pPr>
        <w:pStyle w:val="af2"/>
        <w:spacing w:before="0" w:beforeAutospacing="0" w:after="0" w:afterAutospacing="0" w:line="360" w:lineRule="auto"/>
        <w:ind w:firstLine="860"/>
        <w:jc w:val="both"/>
      </w:pPr>
      <w:r>
        <w:rPr>
          <w:b/>
          <w:bCs/>
          <w:color w:val="000000"/>
        </w:rPr>
        <w:t xml:space="preserve">Объект исследования: </w:t>
      </w:r>
      <w:r>
        <w:rPr>
          <w:color w:val="000000"/>
        </w:rPr>
        <w:t>регионы Уральского федерального округа Российской Федерации.</w:t>
      </w:r>
    </w:p>
    <w:p w14:paraId="78F63285" w14:textId="77777777" w:rsidR="00C02501" w:rsidRDefault="00C02501" w:rsidP="00C02501">
      <w:pPr>
        <w:pStyle w:val="af2"/>
        <w:spacing w:before="0" w:beforeAutospacing="0" w:after="0" w:afterAutospacing="0" w:line="360" w:lineRule="auto"/>
        <w:ind w:firstLine="860"/>
        <w:jc w:val="both"/>
      </w:pPr>
      <w:r>
        <w:rPr>
          <w:b/>
          <w:bCs/>
          <w:color w:val="000000"/>
        </w:rPr>
        <w:t>Предмет исследования:</w:t>
      </w:r>
      <w:r>
        <w:rPr>
          <w:color w:val="000000"/>
        </w:rPr>
        <w:t xml:space="preserve"> динамика уровней социально-экономического развития регионов Уральского федерального округа Российской Федерации.</w:t>
      </w:r>
    </w:p>
    <w:p w14:paraId="17FD0245" w14:textId="77777777" w:rsidR="00C02501" w:rsidRDefault="00C02501" w:rsidP="00C02501">
      <w:pPr>
        <w:pStyle w:val="af2"/>
        <w:spacing w:before="0" w:beforeAutospacing="0" w:after="0" w:afterAutospacing="0" w:line="360" w:lineRule="auto"/>
        <w:ind w:firstLine="860"/>
        <w:jc w:val="both"/>
      </w:pPr>
      <w:r>
        <w:rPr>
          <w:b/>
          <w:bCs/>
          <w:color w:val="000000"/>
        </w:rPr>
        <w:t>Цель исследования:</w:t>
      </w:r>
      <w:r>
        <w:rPr>
          <w:color w:val="000000"/>
        </w:rPr>
        <w:t xml:space="preserve"> выявление территориальной дифференциации социально-экономического развития регионов Уральского федерального округа Российской Федерации.</w:t>
      </w:r>
    </w:p>
    <w:p w14:paraId="604CBE8C" w14:textId="77777777" w:rsidR="00C02501" w:rsidRDefault="00C02501" w:rsidP="00C02501">
      <w:pPr>
        <w:pStyle w:val="af2"/>
        <w:spacing w:before="0" w:beforeAutospacing="0" w:after="0" w:afterAutospacing="0" w:line="360" w:lineRule="auto"/>
        <w:ind w:firstLine="860"/>
        <w:jc w:val="both"/>
      </w:pPr>
      <w:r>
        <w:rPr>
          <w:color w:val="000000"/>
        </w:rPr>
        <w:t xml:space="preserve">Для достижения поставленной цели выдвинуты следующие </w:t>
      </w:r>
      <w:r>
        <w:rPr>
          <w:b/>
          <w:bCs/>
          <w:color w:val="000000"/>
        </w:rPr>
        <w:t>задачи</w:t>
      </w:r>
      <w:r>
        <w:rPr>
          <w:color w:val="000000"/>
        </w:rPr>
        <w:t>:</w:t>
      </w:r>
    </w:p>
    <w:p w14:paraId="7B36E483" w14:textId="77777777" w:rsidR="00C02501" w:rsidRDefault="00C02501" w:rsidP="00C02501">
      <w:pPr>
        <w:pStyle w:val="af2"/>
        <w:spacing w:before="0" w:beforeAutospacing="0" w:after="0" w:afterAutospacing="0" w:line="360" w:lineRule="auto"/>
        <w:ind w:left="860" w:hanging="360"/>
        <w:jc w:val="both"/>
      </w:pPr>
      <w:r>
        <w:rPr>
          <w:color w:val="000000"/>
        </w:rPr>
        <w:t>1)    определить научные подходы и методы исследования;</w:t>
      </w:r>
    </w:p>
    <w:p w14:paraId="03E965C3" w14:textId="77777777" w:rsidR="00C02501" w:rsidRDefault="00C02501" w:rsidP="00C02501">
      <w:pPr>
        <w:pStyle w:val="af2"/>
        <w:spacing w:before="0" w:beforeAutospacing="0" w:after="0" w:afterAutospacing="0" w:line="360" w:lineRule="auto"/>
        <w:ind w:left="860" w:hanging="360"/>
        <w:jc w:val="both"/>
      </w:pPr>
      <w:r>
        <w:rPr>
          <w:color w:val="000000"/>
        </w:rPr>
        <w:t>2)    выявить уровни социально-экономического развития регионов;</w:t>
      </w:r>
    </w:p>
    <w:p w14:paraId="2BF19A2C" w14:textId="77777777" w:rsidR="00C02501" w:rsidRDefault="00C02501" w:rsidP="00C02501">
      <w:pPr>
        <w:pStyle w:val="af2"/>
        <w:spacing w:before="0" w:beforeAutospacing="0" w:after="0" w:afterAutospacing="0" w:line="360" w:lineRule="auto"/>
        <w:ind w:left="860" w:hanging="360"/>
        <w:jc w:val="both"/>
      </w:pPr>
      <w:r>
        <w:rPr>
          <w:color w:val="000000"/>
        </w:rPr>
        <w:t xml:space="preserve">3)   установить дифференциацию регионов </w:t>
      </w:r>
      <w:proofErr w:type="gramStart"/>
      <w:r>
        <w:rPr>
          <w:color w:val="000000"/>
        </w:rPr>
        <w:t>на  основе</w:t>
      </w:r>
      <w:proofErr w:type="gramEnd"/>
      <w:r>
        <w:rPr>
          <w:color w:val="000000"/>
        </w:rPr>
        <w:t xml:space="preserve"> комплексной оценки их социально-экономических показателей;</w:t>
      </w:r>
    </w:p>
    <w:p w14:paraId="6EB44387" w14:textId="77777777" w:rsidR="00C02501" w:rsidRDefault="00C02501" w:rsidP="00C02501">
      <w:pPr>
        <w:pStyle w:val="af2"/>
        <w:spacing w:before="0" w:beforeAutospacing="0" w:after="0" w:afterAutospacing="0" w:line="360" w:lineRule="auto"/>
        <w:ind w:left="860" w:hanging="360"/>
        <w:jc w:val="both"/>
      </w:pPr>
      <w:r>
        <w:rPr>
          <w:color w:val="000000"/>
        </w:rPr>
        <w:t>4)    выявить закономерности динамики и дифференциации развития исследуемых субъектов РФ;</w:t>
      </w:r>
    </w:p>
    <w:p w14:paraId="148F7F11" w14:textId="77777777" w:rsidR="00C02501" w:rsidRDefault="00C02501" w:rsidP="00C02501">
      <w:pPr>
        <w:pStyle w:val="af2"/>
        <w:spacing w:before="0" w:beforeAutospacing="0" w:after="0" w:afterAutospacing="0" w:line="360" w:lineRule="auto"/>
        <w:ind w:firstLine="860"/>
        <w:jc w:val="both"/>
      </w:pPr>
      <w:r>
        <w:rPr>
          <w:b/>
          <w:bCs/>
          <w:color w:val="000000"/>
        </w:rPr>
        <w:lastRenderedPageBreak/>
        <w:t>Подходы к исследованию</w:t>
      </w:r>
      <w:r>
        <w:rPr>
          <w:color w:val="000000"/>
        </w:rPr>
        <w:t xml:space="preserve">: ·   </w:t>
      </w:r>
      <w:r>
        <w:rPr>
          <w:rStyle w:val="apple-tab-span"/>
          <w:color w:val="000000"/>
        </w:rPr>
        <w:tab/>
      </w:r>
      <w:r>
        <w:rPr>
          <w:color w:val="000000"/>
        </w:rPr>
        <w:t>системно-</w:t>
      </w:r>
      <w:proofErr w:type="gramStart"/>
      <w:r>
        <w:rPr>
          <w:color w:val="000000"/>
        </w:rPr>
        <w:t>структурный;·</w:t>
      </w:r>
      <w:proofErr w:type="gramEnd"/>
      <w:r>
        <w:rPr>
          <w:color w:val="000000"/>
        </w:rPr>
        <w:t xml:space="preserve">  генетический; институциональный;</w:t>
      </w:r>
      <w:r>
        <w:rPr>
          <w:rStyle w:val="apple-tab-span"/>
          <w:color w:val="000000"/>
        </w:rPr>
        <w:tab/>
      </w:r>
      <w:r>
        <w:rPr>
          <w:color w:val="000000"/>
        </w:rPr>
        <w:t xml:space="preserve"> индикативный; воспроизводственный.</w:t>
      </w:r>
    </w:p>
    <w:p w14:paraId="600A6DBD" w14:textId="77777777" w:rsidR="00C02501" w:rsidRDefault="00C02501" w:rsidP="00C02501">
      <w:pPr>
        <w:pStyle w:val="af2"/>
        <w:spacing w:before="0" w:beforeAutospacing="0" w:after="0" w:afterAutospacing="0" w:line="360" w:lineRule="auto"/>
        <w:ind w:firstLine="860"/>
        <w:jc w:val="both"/>
      </w:pPr>
      <w:r>
        <w:rPr>
          <w:b/>
          <w:bCs/>
          <w:color w:val="000000"/>
        </w:rPr>
        <w:t>Методы исследования</w:t>
      </w:r>
      <w:r>
        <w:rPr>
          <w:color w:val="000000"/>
        </w:rPr>
        <w:t xml:space="preserve">: сравнительно-географический, статистический; </w:t>
      </w:r>
      <w:proofErr w:type="gramStart"/>
      <w:r>
        <w:rPr>
          <w:color w:val="000000"/>
        </w:rPr>
        <w:t xml:space="preserve">картографический;  </w:t>
      </w:r>
      <w:proofErr w:type="spellStart"/>
      <w:r>
        <w:rPr>
          <w:color w:val="000000"/>
        </w:rPr>
        <w:t>балльно</w:t>
      </w:r>
      <w:proofErr w:type="spellEnd"/>
      <w:proofErr w:type="gramEnd"/>
      <w:r>
        <w:rPr>
          <w:color w:val="000000"/>
        </w:rPr>
        <w:t>-рейтинговых оценок; экстраполяции; корреляционно-регрессионный анализ.</w:t>
      </w:r>
    </w:p>
    <w:p w14:paraId="0B20DF34" w14:textId="77777777" w:rsidR="00C02501" w:rsidRDefault="00C02501" w:rsidP="00C02501">
      <w:pPr>
        <w:pStyle w:val="af2"/>
        <w:spacing w:before="0" w:beforeAutospacing="0" w:after="0" w:afterAutospacing="0" w:line="360" w:lineRule="auto"/>
        <w:ind w:firstLine="860"/>
        <w:jc w:val="both"/>
      </w:pPr>
      <w:r>
        <w:rPr>
          <w:b/>
          <w:bCs/>
          <w:color w:val="000000"/>
        </w:rPr>
        <w:t>Информационная база.</w:t>
      </w:r>
      <w:r>
        <w:rPr>
          <w:color w:val="000000"/>
        </w:rPr>
        <w:t xml:space="preserve"> В качестве теоретической основы в работе используются статьи российских (В. Л. Бабурин, П. Я. Бакланов, М. Ю. </w:t>
      </w:r>
      <w:proofErr w:type="spellStart"/>
      <w:r>
        <w:rPr>
          <w:color w:val="000000"/>
        </w:rPr>
        <w:t>Елсуков</w:t>
      </w:r>
      <w:proofErr w:type="spellEnd"/>
      <w:r>
        <w:rPr>
          <w:color w:val="000000"/>
        </w:rPr>
        <w:t xml:space="preserve">, Н. В. Зубаревич, О. В. Кузнецова, В. Н. </w:t>
      </w:r>
      <w:proofErr w:type="spellStart"/>
      <w:r>
        <w:rPr>
          <w:color w:val="000000"/>
        </w:rPr>
        <w:t>Лаженцев</w:t>
      </w:r>
      <w:proofErr w:type="spellEnd"/>
      <w:r>
        <w:rPr>
          <w:color w:val="000000"/>
        </w:rPr>
        <w:t xml:space="preserve">, А. М. Трофимов, А. И. </w:t>
      </w:r>
      <w:proofErr w:type="spellStart"/>
      <w:r>
        <w:rPr>
          <w:color w:val="000000"/>
        </w:rPr>
        <w:t>Чистобаев</w:t>
      </w:r>
      <w:proofErr w:type="spellEnd"/>
      <w:r>
        <w:rPr>
          <w:color w:val="000000"/>
        </w:rPr>
        <w:t>, М. Д. Шарыгин и др.) и зарубежных (</w:t>
      </w:r>
      <w:proofErr w:type="spellStart"/>
      <w:r>
        <w:rPr>
          <w:color w:val="000000"/>
        </w:rPr>
        <w:t>Friedman</w:t>
      </w:r>
      <w:proofErr w:type="spellEnd"/>
      <w:r>
        <w:rPr>
          <w:color w:val="000000"/>
        </w:rPr>
        <w:t xml:space="preserve">, </w:t>
      </w:r>
      <w:proofErr w:type="spellStart"/>
      <w:r>
        <w:rPr>
          <w:color w:val="000000"/>
        </w:rPr>
        <w:t>Krugman</w:t>
      </w:r>
      <w:proofErr w:type="spellEnd"/>
      <w:r>
        <w:rPr>
          <w:color w:val="000000"/>
        </w:rPr>
        <w:t xml:space="preserve">, </w:t>
      </w:r>
      <w:proofErr w:type="spellStart"/>
      <w:r>
        <w:rPr>
          <w:color w:val="000000"/>
        </w:rPr>
        <w:t>Izert</w:t>
      </w:r>
      <w:proofErr w:type="spellEnd"/>
      <w:r>
        <w:rPr>
          <w:color w:val="000000"/>
        </w:rPr>
        <w:t xml:space="preserve">, </w:t>
      </w:r>
      <w:proofErr w:type="spellStart"/>
      <w:r>
        <w:rPr>
          <w:color w:val="000000"/>
        </w:rPr>
        <w:t>Porter</w:t>
      </w:r>
      <w:proofErr w:type="spellEnd"/>
      <w:r>
        <w:rPr>
          <w:color w:val="000000"/>
        </w:rPr>
        <w:t xml:space="preserve">, </w:t>
      </w:r>
      <w:proofErr w:type="gramStart"/>
      <w:r>
        <w:rPr>
          <w:color w:val="000000"/>
        </w:rPr>
        <w:t>A. )</w:t>
      </w:r>
      <w:proofErr w:type="gramEnd"/>
      <w:r>
        <w:rPr>
          <w:color w:val="000000"/>
        </w:rPr>
        <w:t xml:space="preserve"> авторов.</w:t>
      </w:r>
    </w:p>
    <w:p w14:paraId="071F84D1" w14:textId="77777777" w:rsidR="00C02501" w:rsidRDefault="00C02501" w:rsidP="00C02501">
      <w:pPr>
        <w:pStyle w:val="af2"/>
        <w:spacing w:before="0" w:beforeAutospacing="0" w:after="0" w:afterAutospacing="0" w:line="360" w:lineRule="auto"/>
        <w:ind w:firstLine="860"/>
        <w:jc w:val="both"/>
      </w:pPr>
      <w:r>
        <w:rPr>
          <w:color w:val="000000"/>
        </w:rPr>
        <w:t>Статистическими источниками послужили сборники Росстата: Регионы России, Цены в России, а также статистические региональные сборники. </w:t>
      </w:r>
    </w:p>
    <w:p w14:paraId="5F36FEDF" w14:textId="77777777" w:rsidR="00C02501" w:rsidRDefault="00C02501" w:rsidP="00C02501">
      <w:pPr>
        <w:pStyle w:val="af2"/>
        <w:spacing w:before="0" w:beforeAutospacing="0" w:after="0" w:afterAutospacing="0" w:line="360" w:lineRule="auto"/>
        <w:ind w:firstLine="860"/>
        <w:jc w:val="both"/>
      </w:pPr>
      <w:r>
        <w:rPr>
          <w:color w:val="000000"/>
        </w:rPr>
        <w:t>В качестве нормативно-правовой базы использованы правовые акты: Указ Президента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Постановление Правительства РФ "Об утверждении методик расчета показателей для оценки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а также о признании утратившими силу отдельных положений постановления правительства Российской Федерации», Указ Президента «Об утверждении Основ государственной политики регионального развития Российской Федерации на период до 2025 года» </w:t>
      </w:r>
    </w:p>
    <w:p w14:paraId="5BDC8CA6" w14:textId="77777777" w:rsidR="00C02501" w:rsidRDefault="00C02501" w:rsidP="00C02501">
      <w:pPr>
        <w:pStyle w:val="af2"/>
        <w:spacing w:before="0" w:beforeAutospacing="0" w:after="0" w:afterAutospacing="0" w:line="360" w:lineRule="auto"/>
        <w:ind w:firstLine="860"/>
        <w:jc w:val="both"/>
      </w:pPr>
      <w:r>
        <w:rPr>
          <w:b/>
          <w:bCs/>
          <w:color w:val="000000"/>
        </w:rPr>
        <w:t xml:space="preserve">Структура и объем. </w:t>
      </w:r>
      <w:r>
        <w:rPr>
          <w:color w:val="000000"/>
        </w:rPr>
        <w:t>Работа содержит введение, 3 главы, заключение, список литературы, приложения.</w:t>
      </w:r>
    </w:p>
    <w:p w14:paraId="370C9BC4" w14:textId="77777777" w:rsidR="00C02501" w:rsidRDefault="00C02501" w:rsidP="00C02501">
      <w:pPr>
        <w:pStyle w:val="af2"/>
        <w:spacing w:before="0" w:beforeAutospacing="0" w:after="0" w:afterAutospacing="0" w:line="360" w:lineRule="auto"/>
        <w:ind w:firstLine="860"/>
        <w:jc w:val="both"/>
      </w:pPr>
      <w:r>
        <w:rPr>
          <w:color w:val="000000"/>
        </w:rPr>
        <w:t>В первой главе определяется значение территориальной дифференциации с научной и практической точек зрения, разрабатываются методы исследования социально-экономического развития субъектов Уральского федерального округа, а также математический аппарат для определения дифференциации.</w:t>
      </w:r>
    </w:p>
    <w:p w14:paraId="79C07169" w14:textId="77777777" w:rsidR="00C02501" w:rsidRDefault="00C02501" w:rsidP="00C02501">
      <w:pPr>
        <w:pStyle w:val="af2"/>
        <w:spacing w:before="0" w:beforeAutospacing="0" w:after="0" w:afterAutospacing="0" w:line="360" w:lineRule="auto"/>
        <w:ind w:firstLine="860"/>
        <w:jc w:val="both"/>
      </w:pPr>
      <w:r>
        <w:rPr>
          <w:color w:val="000000"/>
        </w:rPr>
        <w:t>Во второй главе систематизируются статистические данные субъектов Уральского федерального округа, на основе которых проводится анализ динамики и основных трендов развития, проводится сравнительный территорий между собой и средними показателями по России и федеральному округу</w:t>
      </w:r>
    </w:p>
    <w:p w14:paraId="66CBC6B9" w14:textId="77777777" w:rsidR="00C02501" w:rsidRDefault="00C02501" w:rsidP="00C02501">
      <w:pPr>
        <w:pStyle w:val="af2"/>
        <w:spacing w:before="0" w:beforeAutospacing="0" w:after="0" w:afterAutospacing="0" w:line="360" w:lineRule="auto"/>
        <w:ind w:firstLine="860"/>
        <w:jc w:val="both"/>
      </w:pPr>
      <w:r>
        <w:rPr>
          <w:color w:val="000000"/>
        </w:rPr>
        <w:t>В третьей главе определяется степень территориальной дифференцированности Уральского федерального округа, выявляются различия субъектов, рассматривается изменение дифференциации во времени и анализируется ее влияние на динамику социально-экономического развития.</w:t>
      </w:r>
    </w:p>
    <w:p w14:paraId="32939188" w14:textId="77777777" w:rsidR="00C02501" w:rsidRDefault="00C02501" w:rsidP="00C02501">
      <w:pPr>
        <w:pStyle w:val="af2"/>
        <w:spacing w:before="0" w:beforeAutospacing="0" w:after="0" w:afterAutospacing="0" w:line="360" w:lineRule="auto"/>
        <w:ind w:firstLine="860"/>
        <w:jc w:val="both"/>
      </w:pPr>
      <w:r>
        <w:rPr>
          <w:color w:val="000000"/>
        </w:rPr>
        <w:lastRenderedPageBreak/>
        <w:t xml:space="preserve">Итогом </w:t>
      </w:r>
      <w:proofErr w:type="gramStart"/>
      <w:r>
        <w:rPr>
          <w:color w:val="000000"/>
        </w:rPr>
        <w:t xml:space="preserve">работы </w:t>
      </w:r>
      <w:r>
        <w:rPr>
          <w:color w:val="9900FF"/>
        </w:rPr>
        <w:t> </w:t>
      </w:r>
      <w:r>
        <w:rPr>
          <w:color w:val="000000"/>
        </w:rPr>
        <w:t>явилась</w:t>
      </w:r>
      <w:proofErr w:type="gramEnd"/>
      <w:r>
        <w:rPr>
          <w:color w:val="000000"/>
        </w:rPr>
        <w:t xml:space="preserve"> комплексная оценка состояния и проблем социально-экономического развития регионов Уральского федерального округа Российской Федерации.</w:t>
      </w:r>
    </w:p>
    <w:p w14:paraId="76E898A5" w14:textId="77777777" w:rsidR="005D1A61" w:rsidRDefault="005D1A61">
      <w:pPr>
        <w:spacing w:after="0" w:line="360" w:lineRule="auto"/>
        <w:ind w:firstLine="860"/>
        <w:jc w:val="both"/>
        <w:rPr>
          <w:sz w:val="24"/>
          <w:szCs w:val="24"/>
          <w:highlight w:val="yellow"/>
        </w:rPr>
      </w:pPr>
    </w:p>
    <w:p w14:paraId="5434E734" w14:textId="77777777" w:rsidR="005D1A61" w:rsidRDefault="0045737E">
      <w:pPr>
        <w:spacing w:before="240" w:after="240" w:line="240" w:lineRule="auto"/>
        <w:ind w:firstLine="860"/>
        <w:rPr>
          <w:sz w:val="24"/>
          <w:szCs w:val="24"/>
        </w:rPr>
      </w:pPr>
      <w:r>
        <w:rPr>
          <w:rFonts w:ascii="Arial" w:eastAsia="Arial" w:hAnsi="Arial" w:cs="Arial"/>
          <w:color w:val="000000"/>
          <w:sz w:val="22"/>
          <w:szCs w:val="22"/>
        </w:rPr>
        <w:t> </w:t>
      </w:r>
    </w:p>
    <w:p w14:paraId="0C969A13" w14:textId="77777777" w:rsidR="005D1A61" w:rsidRDefault="0045737E">
      <w:r>
        <w:br w:type="page"/>
      </w:r>
    </w:p>
    <w:p w14:paraId="08A178C3" w14:textId="5FB58DF0" w:rsidR="005D1A61" w:rsidRDefault="0045737E">
      <w:pPr>
        <w:pStyle w:val="1"/>
        <w:spacing w:before="0" w:line="360" w:lineRule="auto"/>
        <w:jc w:val="center"/>
        <w:rPr>
          <w:sz w:val="28"/>
          <w:szCs w:val="28"/>
        </w:rPr>
      </w:pPr>
      <w:bookmarkStart w:id="2" w:name="_Toc136642113"/>
      <w:bookmarkStart w:id="3" w:name="_Toc136642356"/>
      <w:r>
        <w:rPr>
          <w:sz w:val="28"/>
          <w:szCs w:val="28"/>
        </w:rPr>
        <w:lastRenderedPageBreak/>
        <w:t xml:space="preserve">Глава </w:t>
      </w:r>
      <w:r w:rsidR="00834643">
        <w:rPr>
          <w:sz w:val="28"/>
          <w:szCs w:val="28"/>
        </w:rPr>
        <w:t>1</w:t>
      </w:r>
      <w:r>
        <w:rPr>
          <w:sz w:val="28"/>
          <w:szCs w:val="28"/>
        </w:rPr>
        <w:t>. Теоретико-методологические основы исследования дифференциации социально-экономического развития на уровне регионов</w:t>
      </w:r>
      <w:bookmarkEnd w:id="2"/>
      <w:bookmarkEnd w:id="3"/>
    </w:p>
    <w:p w14:paraId="35A28A9C" w14:textId="77777777" w:rsidR="005D1A61" w:rsidRDefault="0045737E">
      <w:pPr>
        <w:pStyle w:val="1"/>
        <w:spacing w:before="0" w:line="360" w:lineRule="auto"/>
        <w:jc w:val="center"/>
        <w:rPr>
          <w:sz w:val="28"/>
          <w:szCs w:val="28"/>
        </w:rPr>
      </w:pPr>
      <w:bookmarkStart w:id="4" w:name="_Toc136642114"/>
      <w:bookmarkStart w:id="5" w:name="_Toc136642357"/>
      <w:r>
        <w:rPr>
          <w:sz w:val="28"/>
          <w:szCs w:val="28"/>
        </w:rPr>
        <w:t>1.1. Теоретико-практическое значение дифференциации социально-экономического развития</w:t>
      </w:r>
      <w:bookmarkEnd w:id="4"/>
      <w:bookmarkEnd w:id="5"/>
    </w:p>
    <w:p w14:paraId="37AC5E3C" w14:textId="77777777" w:rsidR="005D1A61" w:rsidRDefault="0045737E" w:rsidP="007A0A25">
      <w:pPr>
        <w:spacing w:after="0" w:line="360" w:lineRule="auto"/>
        <w:ind w:firstLine="851"/>
        <w:jc w:val="both"/>
        <w:rPr>
          <w:sz w:val="24"/>
          <w:szCs w:val="24"/>
        </w:rPr>
      </w:pPr>
      <w:r>
        <w:rPr>
          <w:sz w:val="24"/>
          <w:szCs w:val="24"/>
        </w:rPr>
        <w:t xml:space="preserve">Дифференциация социально-экономического развития исследуется многими учеными </w:t>
      </w:r>
      <w:proofErr w:type="spellStart"/>
      <w:r>
        <w:rPr>
          <w:sz w:val="24"/>
          <w:szCs w:val="24"/>
        </w:rPr>
        <w:t>регионалистами</w:t>
      </w:r>
      <w:proofErr w:type="spellEnd"/>
      <w:r>
        <w:rPr>
          <w:sz w:val="24"/>
          <w:szCs w:val="24"/>
        </w:rPr>
        <w:t xml:space="preserve"> и имеет обширную теоретическую базу. Для четкого понимания определения термина необходимо рассмотреть его свойства и функции.</w:t>
      </w:r>
    </w:p>
    <w:p w14:paraId="6AA7FC49" w14:textId="77777777" w:rsidR="005D1A61" w:rsidRDefault="0045737E" w:rsidP="007A0A25">
      <w:pPr>
        <w:spacing w:after="0" w:line="360" w:lineRule="auto"/>
        <w:ind w:firstLine="851"/>
        <w:jc w:val="both"/>
        <w:rPr>
          <w:sz w:val="24"/>
          <w:szCs w:val="24"/>
        </w:rPr>
      </w:pPr>
      <w:r>
        <w:rPr>
          <w:sz w:val="24"/>
          <w:szCs w:val="24"/>
        </w:rPr>
        <w:t>Самое главное свойство дифференциации – различие в уровне развития какой-либо сферы жизни населения исследуемых объектов. Это основной принцип, на котором строится любое рассуждение об этом явлении.</w:t>
      </w:r>
    </w:p>
    <w:p w14:paraId="49866A37" w14:textId="77777777" w:rsidR="005D1A61" w:rsidRPr="00F80D58" w:rsidRDefault="0045737E" w:rsidP="007A0A25">
      <w:pPr>
        <w:spacing w:after="0" w:line="360" w:lineRule="auto"/>
        <w:ind w:firstLine="851"/>
        <w:jc w:val="both"/>
        <w:rPr>
          <w:sz w:val="24"/>
          <w:szCs w:val="24"/>
        </w:rPr>
      </w:pPr>
      <w:r>
        <w:rPr>
          <w:sz w:val="24"/>
          <w:szCs w:val="24"/>
        </w:rPr>
        <w:t xml:space="preserve">Необходимо понимать, что территориальное развитие представляет собой процесс, в рамках которого происходит прогрессивное изменение пространственной структуры производительных сил и осуществляется сбалансированное и эффективное использование ресурсного и технического потенциала человека, природы и материально-технических ресурсов конкретных территорий. Это экономико-географическая деятельность, которая направлена на формирование и качественное преобразование территориально-хозяйственных </w:t>
      </w:r>
      <w:r w:rsidRPr="00F80D58">
        <w:rPr>
          <w:sz w:val="24"/>
          <w:szCs w:val="24"/>
        </w:rPr>
        <w:t>систем (</w:t>
      </w:r>
      <w:proofErr w:type="spellStart"/>
      <w:r w:rsidRPr="00F80D58">
        <w:rPr>
          <w:sz w:val="24"/>
          <w:szCs w:val="24"/>
        </w:rPr>
        <w:t>Лаженцев</w:t>
      </w:r>
      <w:proofErr w:type="spellEnd"/>
      <w:r w:rsidRPr="00F80D58">
        <w:rPr>
          <w:sz w:val="24"/>
          <w:szCs w:val="24"/>
        </w:rPr>
        <w:t xml:space="preserve">, 2017). </w:t>
      </w:r>
    </w:p>
    <w:p w14:paraId="44A596D3" w14:textId="77777777" w:rsidR="005D1A61" w:rsidRPr="00F80D58" w:rsidRDefault="0045737E" w:rsidP="007A0A25">
      <w:pPr>
        <w:spacing w:after="0" w:line="360" w:lineRule="auto"/>
        <w:ind w:firstLine="851"/>
        <w:jc w:val="both"/>
        <w:rPr>
          <w:sz w:val="24"/>
          <w:szCs w:val="24"/>
        </w:rPr>
      </w:pPr>
      <w:r w:rsidRPr="00F80D58">
        <w:rPr>
          <w:sz w:val="24"/>
          <w:szCs w:val="24"/>
        </w:rPr>
        <w:t>Ряд авторов выделяет важное свойство дифференциации – естественное происхождение явления в результате неравномерного распределения факторов производства в пространстве. Такое распределение предопределяет конкурентные преимущества одних территорий и их отсутствие в других, что в итоге приводит к концентрации и локализации населения и экономических ресурсов в более привлекательных местах (Гагарина, Болотов, 2021).</w:t>
      </w:r>
    </w:p>
    <w:p w14:paraId="1F97E423" w14:textId="77777777" w:rsidR="005D1A61" w:rsidRPr="00F80D58" w:rsidRDefault="0045737E" w:rsidP="007A0A25">
      <w:pPr>
        <w:spacing w:after="0" w:line="360" w:lineRule="auto"/>
        <w:ind w:firstLine="851"/>
        <w:jc w:val="both"/>
        <w:rPr>
          <w:sz w:val="24"/>
          <w:szCs w:val="24"/>
        </w:rPr>
      </w:pPr>
      <w:r w:rsidRPr="00F80D58">
        <w:rPr>
          <w:sz w:val="24"/>
          <w:szCs w:val="24"/>
        </w:rPr>
        <w:t xml:space="preserve">Естественность явления раскрывается не только фундаментальным экономическим постулатам, но и географическими исследованиями. Так центрально-периферийная теория Дж. Фридмана, которая гласит, что в центрах концентрации ресурсов складываются особые условия для введения инноваций и более прогрессивного развития на фоне остальной территории, а результаты изменений достигают периферии с определенным временным </w:t>
      </w:r>
      <w:proofErr w:type="gramStart"/>
      <w:r w:rsidRPr="00F80D58">
        <w:rPr>
          <w:sz w:val="24"/>
          <w:szCs w:val="24"/>
        </w:rPr>
        <w:t>лагом  (</w:t>
      </w:r>
      <w:proofErr w:type="spellStart"/>
      <w:proofErr w:type="gramEnd"/>
      <w:r w:rsidRPr="00F80D58">
        <w:rPr>
          <w:sz w:val="24"/>
          <w:szCs w:val="24"/>
        </w:rPr>
        <w:t>Friedmann</w:t>
      </w:r>
      <w:proofErr w:type="spellEnd"/>
      <w:r w:rsidRPr="00F80D58">
        <w:rPr>
          <w:sz w:val="24"/>
          <w:szCs w:val="24"/>
        </w:rPr>
        <w:t>, 1966).</w:t>
      </w:r>
    </w:p>
    <w:p w14:paraId="2117D122" w14:textId="77777777" w:rsidR="005D1A61" w:rsidRPr="00F80D58" w:rsidRDefault="0045737E" w:rsidP="007A0A25">
      <w:pPr>
        <w:spacing w:after="0" w:line="360" w:lineRule="auto"/>
        <w:ind w:firstLine="851"/>
        <w:jc w:val="both"/>
        <w:rPr>
          <w:sz w:val="24"/>
          <w:szCs w:val="24"/>
        </w:rPr>
      </w:pPr>
      <w:r w:rsidRPr="00F80D58">
        <w:rPr>
          <w:sz w:val="24"/>
          <w:szCs w:val="24"/>
        </w:rPr>
        <w:t xml:space="preserve">Теория П. Кругмана о «новой экономической географии» утверждает, что концентрация экономических агентов и хозяйственной деятельности происходит в местах с преимуществами, снижающими издержки бизнеса относительно других территорий. Первую группу преимуществ автор называет «первой природой», к которой относятся количество и доступность природных ресурсов, природно-климатические условия, </w:t>
      </w:r>
      <w:r w:rsidRPr="00F80D58">
        <w:rPr>
          <w:sz w:val="24"/>
          <w:szCs w:val="24"/>
        </w:rPr>
        <w:lastRenderedPageBreak/>
        <w:t>выгодность географического положения и другие определяющие развития, не зависящие от человека. Вторую группу факторов автор называет «второй природой», к которой относятся эффект агломерации, развитость политических и социальных институтов, человеческий капитал и другие факторы, зависимые от деятельности общества и государства. (</w:t>
      </w:r>
      <w:proofErr w:type="spellStart"/>
      <w:r w:rsidRPr="00F80D58">
        <w:rPr>
          <w:sz w:val="24"/>
          <w:szCs w:val="24"/>
        </w:rPr>
        <w:t>Krugman</w:t>
      </w:r>
      <w:proofErr w:type="spellEnd"/>
      <w:r w:rsidRPr="00F80D58">
        <w:rPr>
          <w:sz w:val="24"/>
          <w:szCs w:val="24"/>
        </w:rPr>
        <w:t>, 1991)</w:t>
      </w:r>
    </w:p>
    <w:p w14:paraId="29BEC498" w14:textId="77777777" w:rsidR="005D1A61" w:rsidRPr="00F80D58" w:rsidRDefault="0045737E" w:rsidP="007A0A25">
      <w:pPr>
        <w:spacing w:after="0" w:line="360" w:lineRule="auto"/>
        <w:ind w:firstLine="851"/>
        <w:jc w:val="both"/>
        <w:rPr>
          <w:sz w:val="24"/>
          <w:szCs w:val="24"/>
        </w:rPr>
      </w:pPr>
      <w:r w:rsidRPr="00F80D58">
        <w:rPr>
          <w:sz w:val="24"/>
          <w:szCs w:val="24"/>
        </w:rPr>
        <w:t>В отечественной науке в несколько ином плане разрабатывалась теория территориально-производственных комплексов Н. Н. Колосовским, которая определяла выгодность агломерации промышленных предприятий, связанных в производственной цепочке за счет минимизации транспортных издержек при учете природных и экономических условий места размещения (Шарыгин, 2006).</w:t>
      </w:r>
    </w:p>
    <w:p w14:paraId="1688BA63" w14:textId="77777777" w:rsidR="005D1A61" w:rsidRPr="00F80D58" w:rsidRDefault="0045737E" w:rsidP="007A0A25">
      <w:pPr>
        <w:spacing w:after="0" w:line="360" w:lineRule="auto"/>
        <w:ind w:firstLine="851"/>
        <w:jc w:val="both"/>
        <w:rPr>
          <w:sz w:val="24"/>
          <w:szCs w:val="24"/>
        </w:rPr>
      </w:pPr>
      <w:r w:rsidRPr="00F80D58">
        <w:rPr>
          <w:sz w:val="24"/>
          <w:szCs w:val="24"/>
        </w:rPr>
        <w:t>Из инерционности социально-экономического развития пространства и устойчивости территориальных систем, отмечаемое авторами (Павлов, 2007</w:t>
      </w:r>
      <w:proofErr w:type="gramStart"/>
      <w:r w:rsidRPr="00F80D58">
        <w:rPr>
          <w:sz w:val="24"/>
          <w:szCs w:val="24"/>
        </w:rPr>
        <w:t>) ,</w:t>
      </w:r>
      <w:proofErr w:type="gramEnd"/>
      <w:r w:rsidRPr="00F80D58">
        <w:rPr>
          <w:sz w:val="24"/>
          <w:szCs w:val="24"/>
        </w:rPr>
        <w:t xml:space="preserve"> следует, что дифференциация сама по себе является производной развития, а соответственно имеет те же свойства – инерционность и устойчивость. Исследователи данного явления подмечают это свойство словами «самовоспроизводящаяся», «воспроизводимая» и. т. п. Длительный характер явления позволяет также рассматривать его как процесс аналогичный более популярному в исследованиях развитию.</w:t>
      </w:r>
    </w:p>
    <w:p w14:paraId="1663202A" w14:textId="77777777" w:rsidR="005D1A61" w:rsidRPr="00F80D58" w:rsidRDefault="0045737E" w:rsidP="007A0A25">
      <w:pPr>
        <w:spacing w:after="0" w:line="360" w:lineRule="auto"/>
        <w:ind w:firstLine="851"/>
        <w:jc w:val="both"/>
        <w:rPr>
          <w:sz w:val="24"/>
          <w:szCs w:val="24"/>
        </w:rPr>
      </w:pPr>
      <w:r w:rsidRPr="00F80D58">
        <w:rPr>
          <w:sz w:val="24"/>
          <w:szCs w:val="24"/>
        </w:rPr>
        <w:t xml:space="preserve">Из вышерассмотренных свойств можно вывести общее понятие, используемое далее в исследовании: социально-экономическая дифференциация – это естественно обусловленное различие территорий в уровне социально-экономического развития или в отдельных его аспектах, наблюдаемое в длительный промежуток времени. Далее термины неоднородность, неравномерность, диспропорция, контрастность, асинхронность, асимметрия и т. п., которые используют другие ученые, описывая различия в социально-экономическом развитии или его аспектах, следует понимать как синоним дифференциации (Данилова, 2017). </w:t>
      </w:r>
    </w:p>
    <w:p w14:paraId="73D5A792" w14:textId="77777777" w:rsidR="007A0A25" w:rsidRPr="00F80D58" w:rsidRDefault="0045737E" w:rsidP="007A0A25">
      <w:pPr>
        <w:spacing w:after="0" w:line="360" w:lineRule="auto"/>
        <w:ind w:firstLine="851"/>
        <w:jc w:val="both"/>
        <w:rPr>
          <w:sz w:val="24"/>
          <w:szCs w:val="24"/>
        </w:rPr>
      </w:pPr>
      <w:r w:rsidRPr="00F80D58">
        <w:rPr>
          <w:sz w:val="24"/>
          <w:szCs w:val="24"/>
        </w:rPr>
        <w:t xml:space="preserve">Из определения следует, что исследование дифференциации должно выстраиваться в два этапа: 1) исследование социально-экономических уровней развития выбранных территорий; 2) выявление различий в уровне развития. </w:t>
      </w:r>
    </w:p>
    <w:p w14:paraId="668A94B5" w14:textId="77777777" w:rsidR="007A0A25" w:rsidRPr="00F80D58" w:rsidRDefault="0045737E" w:rsidP="007A0A25">
      <w:pPr>
        <w:spacing w:after="0" w:line="360" w:lineRule="auto"/>
        <w:ind w:firstLine="851"/>
        <w:jc w:val="both"/>
        <w:rPr>
          <w:sz w:val="24"/>
          <w:szCs w:val="24"/>
        </w:rPr>
      </w:pPr>
      <w:r w:rsidRPr="00F80D58">
        <w:rPr>
          <w:sz w:val="24"/>
          <w:szCs w:val="24"/>
        </w:rPr>
        <w:t xml:space="preserve">Каждый из этапов также состоит из ряда последовательных действий. </w:t>
      </w:r>
      <w:r w:rsidR="007A0A25" w:rsidRPr="00F80D58">
        <w:rPr>
          <w:sz w:val="24"/>
          <w:szCs w:val="24"/>
        </w:rPr>
        <w:t xml:space="preserve">Первый этап </w:t>
      </w:r>
      <w:proofErr w:type="gramStart"/>
      <w:r w:rsidR="007A0A25" w:rsidRPr="00F80D58">
        <w:rPr>
          <w:sz w:val="24"/>
          <w:szCs w:val="24"/>
        </w:rPr>
        <w:t>включает  в</w:t>
      </w:r>
      <w:proofErr w:type="gramEnd"/>
      <w:r w:rsidR="007A0A25" w:rsidRPr="00F80D58">
        <w:rPr>
          <w:sz w:val="24"/>
          <w:szCs w:val="24"/>
        </w:rPr>
        <w:t xml:space="preserve"> себя сбор и систематизацию данных, выбор исследуемых показателей, интегрирование показателей, составление комплексной оценки и сравнительный анализ уровней социально-экономического развития. Второй этап включает в себя выбор методов исследования различий и математико – статистический анализ различий уровней социально - экономического развития. </w:t>
      </w:r>
    </w:p>
    <w:p w14:paraId="6D77C994" w14:textId="77777777" w:rsidR="005D1A61" w:rsidRPr="00F80D58" w:rsidRDefault="0045737E">
      <w:pPr>
        <w:spacing w:line="360" w:lineRule="auto"/>
        <w:ind w:firstLine="851"/>
        <w:jc w:val="both"/>
        <w:rPr>
          <w:sz w:val="24"/>
          <w:szCs w:val="24"/>
        </w:rPr>
      </w:pPr>
      <w:r w:rsidRPr="00F80D58">
        <w:rPr>
          <w:sz w:val="24"/>
          <w:szCs w:val="24"/>
        </w:rPr>
        <w:lastRenderedPageBreak/>
        <w:t xml:space="preserve">Исследователи данной темы зачастую разделяют экономическую и социальную дифференциацию, отмечая, что экономическая дифференциация больше зависит от факторов «первой природы», а соответственно менее управляема, а социальная дифференциация </w:t>
      </w:r>
      <w:proofErr w:type="gramStart"/>
      <w:r w:rsidRPr="00F80D58">
        <w:rPr>
          <w:sz w:val="24"/>
          <w:szCs w:val="24"/>
        </w:rPr>
        <w:t>зависит наоборот</w:t>
      </w:r>
      <w:proofErr w:type="gramEnd"/>
      <w:r w:rsidRPr="00F80D58">
        <w:rPr>
          <w:sz w:val="24"/>
          <w:szCs w:val="24"/>
        </w:rPr>
        <w:t xml:space="preserve"> от факторов «второй природы», а соответственно большее значение имеет для региональной политики (Зубаревич, 2017).</w:t>
      </w:r>
    </w:p>
    <w:p w14:paraId="277D2D33" w14:textId="77777777" w:rsidR="005D1A61" w:rsidRPr="00F80D58" w:rsidRDefault="0045737E">
      <w:pPr>
        <w:spacing w:line="360" w:lineRule="auto"/>
        <w:ind w:firstLine="851"/>
        <w:jc w:val="both"/>
        <w:rPr>
          <w:sz w:val="24"/>
          <w:szCs w:val="24"/>
        </w:rPr>
      </w:pPr>
      <w:r w:rsidRPr="00F80D58">
        <w:rPr>
          <w:sz w:val="24"/>
          <w:szCs w:val="24"/>
        </w:rPr>
        <w:t>Так как дифференциация является по своей сути производной от социально-экономического развития, то она также наследует и его свойства. Одной из важнейших характеристик является тесная взаимосвязь всех процессов, а значит и дифференциация является тесно связанной с различными процессами и явлениями в обществе. При этом взаимозависимости могут наблюдаться не только внутри одного региона, но и по отношению к другим регионам, поскольку опережающее развитие или наоборот отставание одних территорий может влиять на соседние территории, например, увеличивать или уменьшать миграционный приток (отток) из соседних территорий.</w:t>
      </w:r>
    </w:p>
    <w:p w14:paraId="083BCFE1" w14:textId="77777777" w:rsidR="005D1A61" w:rsidRPr="00F80D58" w:rsidRDefault="0045737E">
      <w:pPr>
        <w:spacing w:line="360" w:lineRule="auto"/>
        <w:ind w:firstLine="851"/>
        <w:jc w:val="both"/>
        <w:rPr>
          <w:sz w:val="24"/>
          <w:szCs w:val="24"/>
        </w:rPr>
      </w:pPr>
      <w:r w:rsidRPr="00F80D58">
        <w:rPr>
          <w:sz w:val="24"/>
          <w:szCs w:val="24"/>
        </w:rPr>
        <w:t>Еще одним важным свойством неравенства является его проявление на всех иерархических уровнях территории, от уровня стран и регионов мира до уровня отдельных населенных пунктов или даже частей населенных пунктов.</w:t>
      </w:r>
    </w:p>
    <w:p w14:paraId="79A28FC0" w14:textId="77777777" w:rsidR="005D1A61" w:rsidRPr="00F80D58" w:rsidRDefault="0045737E">
      <w:pPr>
        <w:spacing w:line="360" w:lineRule="auto"/>
        <w:ind w:firstLine="851"/>
        <w:jc w:val="both"/>
        <w:rPr>
          <w:sz w:val="24"/>
          <w:szCs w:val="24"/>
        </w:rPr>
      </w:pPr>
      <w:r w:rsidRPr="00F80D58">
        <w:rPr>
          <w:sz w:val="24"/>
          <w:szCs w:val="24"/>
        </w:rPr>
        <w:t>Практически во всех фундаментальных исследованиях дифференциации отмечается, что само по себе существование различий в пространстве нормально. Однако в сфере региональной политики существует дискуссия о выборе приоритетов развития. В классическом виде выделяют: политику выравнивания – снижение уровня дифференциации для снижения социальной напряженности и политических рисков; политику стимулирования – поддержка наиболее конкурентоспособных регионов, которые должны благодаря тесным социально-экономическим взаимосвязям с другими территориями и государственными институтами нести функцию локомотива страны, увеличивая и ускоряя общий рост экономики. Также есть третий приоритет выбора региональной политики – геополитический, основной целью которого является удерживание контроля над пространством страны. Сравнительный анализ трех концепций политики приведен в таблице 1.</w:t>
      </w:r>
    </w:p>
    <w:p w14:paraId="6C71AE9C" w14:textId="77777777" w:rsidR="005D1A61" w:rsidRDefault="0045737E">
      <w:pPr>
        <w:spacing w:line="360" w:lineRule="auto"/>
        <w:jc w:val="both"/>
        <w:rPr>
          <w:sz w:val="24"/>
          <w:szCs w:val="24"/>
        </w:rPr>
      </w:pPr>
      <w:r w:rsidRPr="00F80D58">
        <w:rPr>
          <w:sz w:val="24"/>
          <w:szCs w:val="24"/>
        </w:rPr>
        <w:t>Таблица 1. Сравнительный анализ концепций региональной политики (Зубаревич, 2017).</w:t>
      </w:r>
    </w:p>
    <w:tbl>
      <w:tblPr>
        <w:tblStyle w:val="50"/>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2393"/>
        <w:gridCol w:w="2393"/>
        <w:gridCol w:w="2393"/>
      </w:tblGrid>
      <w:tr w:rsidR="005D1A61" w14:paraId="731C7560" w14:textId="77777777">
        <w:tc>
          <w:tcPr>
            <w:tcW w:w="2392" w:type="dxa"/>
          </w:tcPr>
          <w:p w14:paraId="60448C3C" w14:textId="77777777" w:rsidR="005D1A61" w:rsidRDefault="0045737E">
            <w:pPr>
              <w:spacing w:line="360" w:lineRule="auto"/>
              <w:jc w:val="both"/>
              <w:rPr>
                <w:sz w:val="24"/>
                <w:szCs w:val="24"/>
              </w:rPr>
            </w:pPr>
            <w:r>
              <w:rPr>
                <w:sz w:val="24"/>
                <w:szCs w:val="24"/>
              </w:rPr>
              <w:t>Критерий</w:t>
            </w:r>
          </w:p>
        </w:tc>
        <w:tc>
          <w:tcPr>
            <w:tcW w:w="2393" w:type="dxa"/>
          </w:tcPr>
          <w:p w14:paraId="40C4B37C" w14:textId="77777777" w:rsidR="005D1A61" w:rsidRDefault="0045737E">
            <w:pPr>
              <w:spacing w:line="360" w:lineRule="auto"/>
              <w:jc w:val="both"/>
              <w:rPr>
                <w:sz w:val="24"/>
                <w:szCs w:val="24"/>
              </w:rPr>
            </w:pPr>
            <w:r>
              <w:rPr>
                <w:sz w:val="24"/>
                <w:szCs w:val="24"/>
              </w:rPr>
              <w:t>Политика выравнивания</w:t>
            </w:r>
          </w:p>
        </w:tc>
        <w:tc>
          <w:tcPr>
            <w:tcW w:w="2393" w:type="dxa"/>
          </w:tcPr>
          <w:p w14:paraId="55268625" w14:textId="77777777" w:rsidR="005D1A61" w:rsidRDefault="0045737E">
            <w:pPr>
              <w:spacing w:line="360" w:lineRule="auto"/>
              <w:jc w:val="both"/>
              <w:rPr>
                <w:sz w:val="24"/>
                <w:szCs w:val="24"/>
              </w:rPr>
            </w:pPr>
            <w:r>
              <w:rPr>
                <w:sz w:val="24"/>
                <w:szCs w:val="24"/>
              </w:rPr>
              <w:t>Политика стимулирования</w:t>
            </w:r>
          </w:p>
        </w:tc>
        <w:tc>
          <w:tcPr>
            <w:tcW w:w="2393" w:type="dxa"/>
          </w:tcPr>
          <w:p w14:paraId="41F51B13" w14:textId="77777777" w:rsidR="005D1A61" w:rsidRDefault="0045737E">
            <w:pPr>
              <w:spacing w:line="360" w:lineRule="auto"/>
              <w:jc w:val="both"/>
              <w:rPr>
                <w:sz w:val="24"/>
                <w:szCs w:val="24"/>
              </w:rPr>
            </w:pPr>
            <w:r>
              <w:rPr>
                <w:sz w:val="24"/>
                <w:szCs w:val="24"/>
              </w:rPr>
              <w:t>Геополитическая политика</w:t>
            </w:r>
          </w:p>
        </w:tc>
      </w:tr>
      <w:tr w:rsidR="005D1A61" w14:paraId="248ECA8C" w14:textId="77777777">
        <w:trPr>
          <w:trHeight w:val="1226"/>
        </w:trPr>
        <w:tc>
          <w:tcPr>
            <w:tcW w:w="2392" w:type="dxa"/>
          </w:tcPr>
          <w:p w14:paraId="25CFDD09" w14:textId="77777777" w:rsidR="005D1A61" w:rsidRDefault="0045737E">
            <w:pPr>
              <w:spacing w:line="360" w:lineRule="auto"/>
              <w:jc w:val="both"/>
              <w:rPr>
                <w:sz w:val="24"/>
                <w:szCs w:val="24"/>
              </w:rPr>
            </w:pPr>
            <w:r>
              <w:rPr>
                <w:sz w:val="24"/>
                <w:szCs w:val="24"/>
              </w:rPr>
              <w:lastRenderedPageBreak/>
              <w:t>Приоритетные регионы инвестирования</w:t>
            </w:r>
          </w:p>
        </w:tc>
        <w:tc>
          <w:tcPr>
            <w:tcW w:w="2393" w:type="dxa"/>
          </w:tcPr>
          <w:p w14:paraId="325F712C" w14:textId="77777777" w:rsidR="005D1A61" w:rsidRDefault="0045737E">
            <w:pPr>
              <w:spacing w:line="360" w:lineRule="auto"/>
              <w:jc w:val="both"/>
              <w:rPr>
                <w:sz w:val="24"/>
                <w:szCs w:val="24"/>
              </w:rPr>
            </w:pPr>
            <w:r>
              <w:rPr>
                <w:sz w:val="24"/>
                <w:szCs w:val="24"/>
              </w:rPr>
              <w:t>Наиболее отстающие в развитии</w:t>
            </w:r>
          </w:p>
        </w:tc>
        <w:tc>
          <w:tcPr>
            <w:tcW w:w="2393" w:type="dxa"/>
          </w:tcPr>
          <w:p w14:paraId="128562BA" w14:textId="77777777" w:rsidR="005D1A61" w:rsidRDefault="0045737E">
            <w:pPr>
              <w:spacing w:line="360" w:lineRule="auto"/>
              <w:jc w:val="both"/>
              <w:rPr>
                <w:sz w:val="24"/>
                <w:szCs w:val="24"/>
              </w:rPr>
            </w:pPr>
            <w:r>
              <w:rPr>
                <w:sz w:val="24"/>
                <w:szCs w:val="24"/>
              </w:rPr>
              <w:t>Наиболее конкурентоспособные</w:t>
            </w:r>
          </w:p>
        </w:tc>
        <w:tc>
          <w:tcPr>
            <w:tcW w:w="2393" w:type="dxa"/>
          </w:tcPr>
          <w:p w14:paraId="222946D3" w14:textId="77777777" w:rsidR="005D1A61" w:rsidRDefault="0045737E">
            <w:pPr>
              <w:spacing w:line="360" w:lineRule="auto"/>
              <w:jc w:val="both"/>
              <w:rPr>
                <w:sz w:val="24"/>
                <w:szCs w:val="24"/>
              </w:rPr>
            </w:pPr>
            <w:r>
              <w:rPr>
                <w:sz w:val="24"/>
                <w:szCs w:val="24"/>
              </w:rPr>
              <w:t xml:space="preserve">Приграничные или стратегически важные регионы </w:t>
            </w:r>
          </w:p>
        </w:tc>
      </w:tr>
      <w:tr w:rsidR="005D1A61" w14:paraId="5190638D" w14:textId="77777777">
        <w:tc>
          <w:tcPr>
            <w:tcW w:w="2392" w:type="dxa"/>
          </w:tcPr>
          <w:p w14:paraId="14FD11B0" w14:textId="77777777" w:rsidR="005D1A61" w:rsidRDefault="0045737E">
            <w:pPr>
              <w:spacing w:line="360" w:lineRule="auto"/>
              <w:jc w:val="both"/>
              <w:rPr>
                <w:sz w:val="24"/>
                <w:szCs w:val="24"/>
              </w:rPr>
            </w:pPr>
            <w:r>
              <w:rPr>
                <w:sz w:val="24"/>
                <w:szCs w:val="24"/>
              </w:rPr>
              <w:t>Практикующие страны</w:t>
            </w:r>
          </w:p>
        </w:tc>
        <w:tc>
          <w:tcPr>
            <w:tcW w:w="2393" w:type="dxa"/>
          </w:tcPr>
          <w:p w14:paraId="4B9C4296" w14:textId="77777777" w:rsidR="005D1A61" w:rsidRDefault="0045737E">
            <w:pPr>
              <w:spacing w:line="360" w:lineRule="auto"/>
              <w:jc w:val="both"/>
              <w:rPr>
                <w:sz w:val="24"/>
                <w:szCs w:val="24"/>
              </w:rPr>
            </w:pPr>
            <w:r>
              <w:rPr>
                <w:sz w:val="24"/>
                <w:szCs w:val="24"/>
              </w:rPr>
              <w:t>Развитые страны</w:t>
            </w:r>
          </w:p>
        </w:tc>
        <w:tc>
          <w:tcPr>
            <w:tcW w:w="2393" w:type="dxa"/>
          </w:tcPr>
          <w:p w14:paraId="44B3506E" w14:textId="77777777" w:rsidR="005D1A61" w:rsidRDefault="0045737E">
            <w:pPr>
              <w:spacing w:line="360" w:lineRule="auto"/>
              <w:jc w:val="both"/>
              <w:rPr>
                <w:sz w:val="24"/>
                <w:szCs w:val="24"/>
              </w:rPr>
            </w:pPr>
            <w:r>
              <w:rPr>
                <w:sz w:val="24"/>
                <w:szCs w:val="24"/>
              </w:rPr>
              <w:t>Развивающиеся страны</w:t>
            </w:r>
          </w:p>
        </w:tc>
        <w:tc>
          <w:tcPr>
            <w:tcW w:w="2393" w:type="dxa"/>
          </w:tcPr>
          <w:p w14:paraId="2E2160EE" w14:textId="77777777" w:rsidR="005D1A61" w:rsidRDefault="0045737E">
            <w:pPr>
              <w:spacing w:line="360" w:lineRule="auto"/>
              <w:jc w:val="both"/>
              <w:rPr>
                <w:sz w:val="24"/>
                <w:szCs w:val="24"/>
              </w:rPr>
            </w:pPr>
            <w:r>
              <w:rPr>
                <w:sz w:val="24"/>
                <w:szCs w:val="24"/>
              </w:rPr>
              <w:t xml:space="preserve">Развивающиеся страны с высокими рисками </w:t>
            </w:r>
            <w:proofErr w:type="spellStart"/>
            <w:r>
              <w:rPr>
                <w:sz w:val="24"/>
                <w:szCs w:val="24"/>
              </w:rPr>
              <w:t>сецессионизма</w:t>
            </w:r>
            <w:proofErr w:type="spellEnd"/>
          </w:p>
        </w:tc>
      </w:tr>
      <w:tr w:rsidR="005D1A61" w14:paraId="4F08D63A" w14:textId="77777777">
        <w:tc>
          <w:tcPr>
            <w:tcW w:w="2392" w:type="dxa"/>
          </w:tcPr>
          <w:p w14:paraId="2B47F0F0" w14:textId="77777777" w:rsidR="005D1A61" w:rsidRDefault="0045737E">
            <w:pPr>
              <w:spacing w:line="360" w:lineRule="auto"/>
              <w:jc w:val="both"/>
              <w:rPr>
                <w:sz w:val="24"/>
                <w:szCs w:val="24"/>
              </w:rPr>
            </w:pPr>
            <w:r>
              <w:rPr>
                <w:sz w:val="24"/>
                <w:szCs w:val="24"/>
              </w:rPr>
              <w:t>Стоимость для государственного бюджета</w:t>
            </w:r>
          </w:p>
        </w:tc>
        <w:tc>
          <w:tcPr>
            <w:tcW w:w="2393" w:type="dxa"/>
          </w:tcPr>
          <w:p w14:paraId="01F3036E" w14:textId="77777777" w:rsidR="005D1A61" w:rsidRDefault="0045737E">
            <w:pPr>
              <w:spacing w:line="360" w:lineRule="auto"/>
              <w:jc w:val="both"/>
              <w:rPr>
                <w:sz w:val="24"/>
                <w:szCs w:val="24"/>
              </w:rPr>
            </w:pPr>
            <w:r>
              <w:rPr>
                <w:sz w:val="24"/>
                <w:szCs w:val="24"/>
              </w:rPr>
              <w:t>Большая</w:t>
            </w:r>
          </w:p>
        </w:tc>
        <w:tc>
          <w:tcPr>
            <w:tcW w:w="2393" w:type="dxa"/>
          </w:tcPr>
          <w:p w14:paraId="62D73713" w14:textId="77777777" w:rsidR="005D1A61" w:rsidRDefault="0045737E">
            <w:pPr>
              <w:spacing w:line="360" w:lineRule="auto"/>
              <w:jc w:val="both"/>
              <w:rPr>
                <w:sz w:val="24"/>
                <w:szCs w:val="24"/>
              </w:rPr>
            </w:pPr>
            <w:r>
              <w:rPr>
                <w:sz w:val="24"/>
                <w:szCs w:val="24"/>
              </w:rPr>
              <w:t>Малая</w:t>
            </w:r>
          </w:p>
        </w:tc>
        <w:tc>
          <w:tcPr>
            <w:tcW w:w="2393" w:type="dxa"/>
          </w:tcPr>
          <w:p w14:paraId="7568C2DF" w14:textId="77777777" w:rsidR="005D1A61" w:rsidRDefault="0045737E">
            <w:pPr>
              <w:spacing w:line="360" w:lineRule="auto"/>
              <w:jc w:val="both"/>
              <w:rPr>
                <w:sz w:val="24"/>
                <w:szCs w:val="24"/>
              </w:rPr>
            </w:pPr>
            <w:r>
              <w:rPr>
                <w:sz w:val="24"/>
                <w:szCs w:val="24"/>
              </w:rPr>
              <w:t>Большая</w:t>
            </w:r>
          </w:p>
        </w:tc>
      </w:tr>
      <w:tr w:rsidR="005D1A61" w14:paraId="4A0B1F01" w14:textId="77777777">
        <w:tc>
          <w:tcPr>
            <w:tcW w:w="2392" w:type="dxa"/>
          </w:tcPr>
          <w:p w14:paraId="210F5A98" w14:textId="77777777" w:rsidR="005D1A61" w:rsidRDefault="0045737E">
            <w:pPr>
              <w:spacing w:line="360" w:lineRule="auto"/>
              <w:jc w:val="both"/>
              <w:rPr>
                <w:sz w:val="24"/>
                <w:szCs w:val="24"/>
              </w:rPr>
            </w:pPr>
            <w:r>
              <w:rPr>
                <w:sz w:val="24"/>
                <w:szCs w:val="24"/>
              </w:rPr>
              <w:t xml:space="preserve">Основная цель </w:t>
            </w:r>
          </w:p>
        </w:tc>
        <w:tc>
          <w:tcPr>
            <w:tcW w:w="2393" w:type="dxa"/>
          </w:tcPr>
          <w:p w14:paraId="651345CB" w14:textId="77777777" w:rsidR="005D1A61" w:rsidRDefault="0045737E">
            <w:pPr>
              <w:spacing w:line="360" w:lineRule="auto"/>
              <w:jc w:val="both"/>
              <w:rPr>
                <w:sz w:val="24"/>
                <w:szCs w:val="24"/>
              </w:rPr>
            </w:pPr>
            <w:r>
              <w:rPr>
                <w:sz w:val="24"/>
                <w:szCs w:val="24"/>
              </w:rPr>
              <w:t>Уменьшение социально-политического напряжения общества</w:t>
            </w:r>
          </w:p>
        </w:tc>
        <w:tc>
          <w:tcPr>
            <w:tcW w:w="2393" w:type="dxa"/>
          </w:tcPr>
          <w:p w14:paraId="2F696F03" w14:textId="77777777" w:rsidR="005D1A61" w:rsidRDefault="0045737E">
            <w:pPr>
              <w:spacing w:line="360" w:lineRule="auto"/>
              <w:jc w:val="both"/>
              <w:rPr>
                <w:sz w:val="24"/>
                <w:szCs w:val="24"/>
              </w:rPr>
            </w:pPr>
            <w:r>
              <w:rPr>
                <w:sz w:val="24"/>
                <w:szCs w:val="24"/>
              </w:rPr>
              <w:t>Экономическое развитие и увеличение эффективности</w:t>
            </w:r>
          </w:p>
        </w:tc>
        <w:tc>
          <w:tcPr>
            <w:tcW w:w="2393" w:type="dxa"/>
          </w:tcPr>
          <w:p w14:paraId="7AD4A000" w14:textId="77777777" w:rsidR="005D1A61" w:rsidRDefault="0045737E">
            <w:pPr>
              <w:spacing w:line="360" w:lineRule="auto"/>
              <w:jc w:val="both"/>
              <w:rPr>
                <w:sz w:val="24"/>
                <w:szCs w:val="24"/>
              </w:rPr>
            </w:pPr>
            <w:r>
              <w:rPr>
                <w:sz w:val="24"/>
                <w:szCs w:val="24"/>
              </w:rPr>
              <w:t>Укрепление государственного суверенитета и (или) закрепление государственной позиции в международном регионе</w:t>
            </w:r>
          </w:p>
        </w:tc>
      </w:tr>
      <w:tr w:rsidR="005D1A61" w14:paraId="2CE39E03" w14:textId="77777777">
        <w:tc>
          <w:tcPr>
            <w:tcW w:w="2392" w:type="dxa"/>
          </w:tcPr>
          <w:p w14:paraId="27B13EB5" w14:textId="77777777" w:rsidR="005D1A61" w:rsidRDefault="0045737E">
            <w:pPr>
              <w:spacing w:line="360" w:lineRule="auto"/>
              <w:jc w:val="both"/>
              <w:rPr>
                <w:sz w:val="24"/>
                <w:szCs w:val="24"/>
              </w:rPr>
            </w:pPr>
            <w:r>
              <w:rPr>
                <w:sz w:val="24"/>
                <w:szCs w:val="24"/>
              </w:rPr>
              <w:t>Вероятность достижения цели</w:t>
            </w:r>
          </w:p>
        </w:tc>
        <w:tc>
          <w:tcPr>
            <w:tcW w:w="2393" w:type="dxa"/>
          </w:tcPr>
          <w:p w14:paraId="55BF7B52" w14:textId="77777777" w:rsidR="005D1A61" w:rsidRDefault="0045737E">
            <w:pPr>
              <w:spacing w:line="360" w:lineRule="auto"/>
              <w:jc w:val="both"/>
              <w:rPr>
                <w:sz w:val="24"/>
                <w:szCs w:val="24"/>
              </w:rPr>
            </w:pPr>
            <w:r>
              <w:rPr>
                <w:sz w:val="24"/>
                <w:szCs w:val="24"/>
              </w:rPr>
              <w:t>Низкая</w:t>
            </w:r>
          </w:p>
        </w:tc>
        <w:tc>
          <w:tcPr>
            <w:tcW w:w="2393" w:type="dxa"/>
          </w:tcPr>
          <w:p w14:paraId="2DEAE343" w14:textId="77777777" w:rsidR="005D1A61" w:rsidRDefault="0045737E">
            <w:pPr>
              <w:spacing w:line="360" w:lineRule="auto"/>
              <w:jc w:val="both"/>
              <w:rPr>
                <w:sz w:val="24"/>
                <w:szCs w:val="24"/>
              </w:rPr>
            </w:pPr>
            <w:r>
              <w:rPr>
                <w:sz w:val="24"/>
                <w:szCs w:val="24"/>
              </w:rPr>
              <w:t>Высокая</w:t>
            </w:r>
          </w:p>
        </w:tc>
        <w:tc>
          <w:tcPr>
            <w:tcW w:w="2393" w:type="dxa"/>
          </w:tcPr>
          <w:p w14:paraId="271D5F74" w14:textId="77777777" w:rsidR="005D1A61" w:rsidRDefault="0045737E">
            <w:pPr>
              <w:spacing w:line="360" w:lineRule="auto"/>
              <w:jc w:val="both"/>
              <w:rPr>
                <w:sz w:val="24"/>
                <w:szCs w:val="24"/>
              </w:rPr>
            </w:pPr>
            <w:r>
              <w:rPr>
                <w:sz w:val="24"/>
                <w:szCs w:val="24"/>
              </w:rPr>
              <w:t>Низкая</w:t>
            </w:r>
          </w:p>
        </w:tc>
      </w:tr>
    </w:tbl>
    <w:p w14:paraId="3331ADC3" w14:textId="77777777" w:rsidR="005D1A61" w:rsidRDefault="005D1A61">
      <w:pPr>
        <w:spacing w:line="360" w:lineRule="auto"/>
        <w:jc w:val="both"/>
        <w:rPr>
          <w:sz w:val="24"/>
          <w:szCs w:val="24"/>
        </w:rPr>
      </w:pPr>
    </w:p>
    <w:p w14:paraId="13E3CF0F" w14:textId="77777777" w:rsidR="005D1A61" w:rsidRDefault="0045737E">
      <w:pPr>
        <w:spacing w:line="360" w:lineRule="auto"/>
        <w:ind w:firstLine="851"/>
        <w:jc w:val="both"/>
        <w:rPr>
          <w:sz w:val="24"/>
          <w:szCs w:val="24"/>
        </w:rPr>
      </w:pPr>
      <w:r>
        <w:rPr>
          <w:sz w:val="24"/>
          <w:szCs w:val="24"/>
        </w:rPr>
        <w:t xml:space="preserve">В российской практике есть опыт применения всех трех концепций. Геополитическая концепция применялась и продолжает применяться в регионах Дальнего Востока, в Калининградской области, в республиках Северного Кавказа, так как эти территории являются стратегически важной зоной для развития внешних отношений, а также защите от внешних военных и террористических угроз. </w:t>
      </w:r>
    </w:p>
    <w:p w14:paraId="258B354A" w14:textId="77777777" w:rsidR="005D1A61" w:rsidRDefault="0045737E">
      <w:pPr>
        <w:spacing w:line="360" w:lineRule="auto"/>
        <w:ind w:firstLine="851"/>
        <w:jc w:val="both"/>
        <w:rPr>
          <w:sz w:val="24"/>
          <w:szCs w:val="24"/>
        </w:rPr>
      </w:pPr>
      <w:r>
        <w:rPr>
          <w:sz w:val="24"/>
          <w:szCs w:val="24"/>
        </w:rPr>
        <w:t xml:space="preserve">Политика выравнивания применялась в России с 1990-х по 2011 год. Такая политика позволила регионам относительно безболезненно перенести мировой кризис 2008-2009 </w:t>
      </w:r>
      <w:proofErr w:type="spellStart"/>
      <w:r>
        <w:rPr>
          <w:sz w:val="24"/>
          <w:szCs w:val="24"/>
        </w:rPr>
        <w:t>гг</w:t>
      </w:r>
      <w:proofErr w:type="spellEnd"/>
      <w:r>
        <w:rPr>
          <w:sz w:val="24"/>
          <w:szCs w:val="24"/>
        </w:rPr>
        <w:t xml:space="preserve">, достигнув уровня в 27% от доходов консолидированных бюджетов. Кризис для такой политики в целом является еще одной возможностью снизить дифференциацию: государство продолжает поддерживать депрессивные территории на том же уровне при снижении показателей у более развитых регионов, однако это имеет большие риски для федерального бюджета, поскольку затягивающийся кризис или стагнация могут истощить накопленные ресурсы для трансфертов. Отмечается, что только при максимальных </w:t>
      </w:r>
      <w:r>
        <w:rPr>
          <w:sz w:val="24"/>
          <w:szCs w:val="24"/>
        </w:rPr>
        <w:lastRenderedPageBreak/>
        <w:t>уровнях перераспределения с 2005 по 2011 гг. удалось сократить различия в среднедушевом валовом региональном продукте. Но социальная политика и кризис 2014 года привели к тому, что 75 регионов имели значительный дефицит бюджета и долг около трети от собственных доходов.</w:t>
      </w:r>
    </w:p>
    <w:p w14:paraId="68880C41" w14:textId="77777777" w:rsidR="005D1A61" w:rsidRDefault="0045737E">
      <w:pPr>
        <w:spacing w:line="360" w:lineRule="auto"/>
        <w:ind w:firstLine="851"/>
        <w:jc w:val="both"/>
        <w:rPr>
          <w:sz w:val="24"/>
          <w:szCs w:val="24"/>
        </w:rPr>
      </w:pPr>
      <w:r>
        <w:rPr>
          <w:sz w:val="24"/>
          <w:szCs w:val="24"/>
        </w:rPr>
        <w:t xml:space="preserve">С 2014 года Российская региональная политика так или иначе начала переходить на политику стимулирования. А начиная с Указа Президента РФ от 16 января 2017 г. № 13 «Об утверждении Основ государственной политики регионального развития Российской Федерации на период до 2025 года», стимулирование точек экономического роста стало закрепленным официально. Однако эта политика заключается в поддержке не целых регионов, а в определении конкретных промышленно-производственных, туристско-рекреационных, технико-внедренческих и портовых территорий опережающего социально-экономического развития. </w:t>
      </w:r>
    </w:p>
    <w:p w14:paraId="464B188B" w14:textId="77777777" w:rsidR="005D1A61" w:rsidRPr="00F80D58" w:rsidRDefault="0045737E">
      <w:pPr>
        <w:spacing w:line="360" w:lineRule="auto"/>
        <w:ind w:firstLine="851"/>
        <w:jc w:val="both"/>
        <w:rPr>
          <w:sz w:val="24"/>
          <w:szCs w:val="24"/>
        </w:rPr>
      </w:pPr>
      <w:r>
        <w:rPr>
          <w:sz w:val="24"/>
          <w:szCs w:val="24"/>
        </w:rPr>
        <w:t xml:space="preserve">В целом как в Российской политике, </w:t>
      </w:r>
      <w:r w:rsidRPr="00F80D58">
        <w:rPr>
          <w:sz w:val="24"/>
          <w:szCs w:val="24"/>
        </w:rPr>
        <w:t>так и в научной среде в связи неоднозначностью опыта выравнивания происходит постепенная трансформация региональной экономической политики в направлении развития внутренних факторов роста конкретных территорий и повышения их конкурентоспособности, т. е. стимулирование развития за счет эндогенных факторов роста (</w:t>
      </w:r>
      <w:proofErr w:type="spellStart"/>
      <w:r w:rsidRPr="00F80D58">
        <w:rPr>
          <w:sz w:val="24"/>
          <w:szCs w:val="24"/>
        </w:rPr>
        <w:t>Коварда</w:t>
      </w:r>
      <w:proofErr w:type="spellEnd"/>
      <w:r w:rsidRPr="00F80D58">
        <w:rPr>
          <w:sz w:val="24"/>
          <w:szCs w:val="24"/>
        </w:rPr>
        <w:t>, 2022).</w:t>
      </w:r>
    </w:p>
    <w:p w14:paraId="49F95ACC" w14:textId="77777777" w:rsidR="005D1A61" w:rsidRDefault="0045737E">
      <w:pPr>
        <w:pStyle w:val="1"/>
        <w:spacing w:before="0" w:line="360" w:lineRule="auto"/>
        <w:jc w:val="center"/>
        <w:rPr>
          <w:sz w:val="28"/>
          <w:szCs w:val="28"/>
        </w:rPr>
      </w:pPr>
      <w:bookmarkStart w:id="6" w:name="_Toc136642115"/>
      <w:bookmarkStart w:id="7" w:name="_Toc136642358"/>
      <w:r>
        <w:rPr>
          <w:sz w:val="28"/>
          <w:szCs w:val="28"/>
        </w:rPr>
        <w:t>1.2. Общественно-географические подходы к изучению социально-экономического развития регионов России</w:t>
      </w:r>
      <w:bookmarkEnd w:id="6"/>
      <w:bookmarkEnd w:id="7"/>
    </w:p>
    <w:p w14:paraId="7E1D16D4" w14:textId="77777777" w:rsidR="005D1A61" w:rsidRDefault="0045737E">
      <w:pPr>
        <w:spacing w:after="0" w:line="360" w:lineRule="auto"/>
        <w:ind w:firstLine="851"/>
        <w:jc w:val="both"/>
        <w:rPr>
          <w:sz w:val="24"/>
          <w:szCs w:val="24"/>
        </w:rPr>
      </w:pPr>
      <w:r>
        <w:rPr>
          <w:sz w:val="24"/>
          <w:szCs w:val="24"/>
        </w:rPr>
        <w:t>Современная социально-экономическая география ставит перед собой важную задачу изучения территориального аспекта развития общества и отдельных регионов. В процессе решения этой задачи ключевым является поиск и понимание фундаментальных принципов, определяющих развитие общества, и возможность их управления. Для достижения этих целей необходимо применять теорию систем и структур, которые в данном случае имеют прямое отношение к территориальной составляющей.</w:t>
      </w:r>
    </w:p>
    <w:p w14:paraId="3D01B13C" w14:textId="77777777" w:rsidR="005D1A61" w:rsidRDefault="0045737E">
      <w:pPr>
        <w:spacing w:after="0" w:line="360" w:lineRule="auto"/>
        <w:ind w:firstLine="851"/>
        <w:jc w:val="both"/>
        <w:rPr>
          <w:sz w:val="24"/>
          <w:szCs w:val="24"/>
        </w:rPr>
      </w:pPr>
      <w:r>
        <w:rPr>
          <w:sz w:val="24"/>
          <w:szCs w:val="24"/>
        </w:rPr>
        <w:t>Системно-структурный подход позволяет рассматривать объект исследования как целостную динамическую систему и учитывать множество факторов, влияющих на развитие региона, и соответственно, благодаря рассмотрению множества факторов, становится возможным составление комплексной оценки социально-экономического развития территории.</w:t>
      </w:r>
    </w:p>
    <w:p w14:paraId="04F92C22" w14:textId="77777777" w:rsidR="005D1A61" w:rsidRDefault="0045737E">
      <w:pPr>
        <w:spacing w:after="0" w:line="360" w:lineRule="auto"/>
        <w:ind w:firstLine="851"/>
        <w:jc w:val="both"/>
        <w:rPr>
          <w:sz w:val="24"/>
          <w:szCs w:val="24"/>
        </w:rPr>
      </w:pPr>
      <w:r>
        <w:rPr>
          <w:sz w:val="24"/>
          <w:szCs w:val="24"/>
        </w:rPr>
        <w:t xml:space="preserve">Стержневым понятием подхода является территориальная система. В современной науке используются для определения предмета исследования территориальная социально-экономическая система (ТСЭС) и территориальная </w:t>
      </w:r>
      <w:r>
        <w:rPr>
          <w:sz w:val="24"/>
          <w:szCs w:val="24"/>
        </w:rPr>
        <w:lastRenderedPageBreak/>
        <w:t>общественная система (ТОС), которые не противоречат друг другу, а скорее наоборот, вторая дополняет первую.</w:t>
      </w:r>
    </w:p>
    <w:p w14:paraId="661EC5F4" w14:textId="77777777" w:rsidR="005D1A61" w:rsidRDefault="0045737E">
      <w:pPr>
        <w:spacing w:line="360" w:lineRule="auto"/>
        <w:ind w:firstLine="851"/>
        <w:jc w:val="both"/>
        <w:rPr>
          <w:sz w:val="24"/>
          <w:szCs w:val="24"/>
        </w:rPr>
      </w:pPr>
      <w:r>
        <w:rPr>
          <w:sz w:val="24"/>
          <w:szCs w:val="24"/>
        </w:rPr>
        <w:t xml:space="preserve">ТСЭС определяется как совокупность социально-экономических элементов жизни общества, существующих </w:t>
      </w:r>
      <w:r w:rsidRPr="00F80D58">
        <w:rPr>
          <w:sz w:val="24"/>
          <w:szCs w:val="24"/>
        </w:rPr>
        <w:t xml:space="preserve">в определенном пространственно-временном контексте и включенных непосредственно в процессы общественного воспроизводства, интеграции и разделения труда, информации и услуг (Шарыгин, 2006). ТОС понимается как единство всех элементов общества в пространственно-временном континууме, где все сферы жизни людей тесно взаимосвязаны и неразрывно взаимодействуют с окружающей средой (Шарыгин, 2006; </w:t>
      </w:r>
      <w:proofErr w:type="spellStart"/>
      <w:r w:rsidRPr="00F80D58">
        <w:rPr>
          <w:sz w:val="24"/>
          <w:szCs w:val="24"/>
        </w:rPr>
        <w:t>Чистобаев</w:t>
      </w:r>
      <w:proofErr w:type="spellEnd"/>
      <w:r w:rsidRPr="00F80D58">
        <w:rPr>
          <w:sz w:val="24"/>
          <w:szCs w:val="24"/>
        </w:rPr>
        <w:t>, 2013). Понятие ТОС более широкое, чем ТСЭС и включает в себя полностью вторую, добавляя интеллектуально-духовных аспект. Стоит понимать, что более широкий охват сфер жизни человека не сводит систему к простой сумме факторов, а получает новые свойства, не характерные отдельным слагаемым. Такие системы</w:t>
      </w:r>
      <w:r>
        <w:rPr>
          <w:sz w:val="24"/>
          <w:szCs w:val="24"/>
        </w:rPr>
        <w:t xml:space="preserve"> обладают всем набором качеств системы: </w:t>
      </w:r>
      <w:proofErr w:type="spellStart"/>
      <w:r>
        <w:rPr>
          <w:sz w:val="24"/>
          <w:szCs w:val="24"/>
        </w:rPr>
        <w:t>эмерджентность</w:t>
      </w:r>
      <w:proofErr w:type="spellEnd"/>
      <w:r>
        <w:rPr>
          <w:sz w:val="24"/>
          <w:szCs w:val="24"/>
        </w:rPr>
        <w:t xml:space="preserve">, целостность, открытость, </w:t>
      </w:r>
      <w:proofErr w:type="spellStart"/>
      <w:r>
        <w:rPr>
          <w:sz w:val="24"/>
          <w:szCs w:val="24"/>
        </w:rPr>
        <w:t>синергичность</w:t>
      </w:r>
      <w:proofErr w:type="spellEnd"/>
      <w:r>
        <w:rPr>
          <w:sz w:val="24"/>
          <w:szCs w:val="24"/>
        </w:rPr>
        <w:t>, динамизм, тесная взаимосвязь всех структурных и иерархических элементов.</w:t>
      </w:r>
    </w:p>
    <w:p w14:paraId="459D04EC" w14:textId="77777777" w:rsidR="005D1A61" w:rsidRDefault="0045737E">
      <w:pPr>
        <w:spacing w:line="360" w:lineRule="auto"/>
        <w:ind w:firstLine="851"/>
        <w:jc w:val="both"/>
        <w:rPr>
          <w:sz w:val="24"/>
          <w:szCs w:val="24"/>
        </w:rPr>
      </w:pPr>
      <w:r>
        <w:rPr>
          <w:sz w:val="24"/>
          <w:szCs w:val="24"/>
        </w:rPr>
        <w:t xml:space="preserve">ТОС, как высшая иерархическая форма территориальной организации общества имеет следующие основные характеристики: 1) </w:t>
      </w:r>
      <w:proofErr w:type="spellStart"/>
      <w:r>
        <w:rPr>
          <w:sz w:val="24"/>
          <w:szCs w:val="24"/>
        </w:rPr>
        <w:t>антропоцентричность</w:t>
      </w:r>
      <w:proofErr w:type="spellEnd"/>
      <w:r>
        <w:rPr>
          <w:sz w:val="24"/>
          <w:szCs w:val="24"/>
        </w:rPr>
        <w:t xml:space="preserve">; 2) организованная жизнедеятельность общества с высокими социальными приоритетами; 3) в единой системе сочетаются открытость и целостность, саморазвитие и саморегулирование, управление и самоорганизация; 4) все элементы </w:t>
      </w:r>
      <w:proofErr w:type="spellStart"/>
      <w:r>
        <w:rPr>
          <w:sz w:val="24"/>
          <w:szCs w:val="24"/>
        </w:rPr>
        <w:t>самовоспроизводимы</w:t>
      </w:r>
      <w:proofErr w:type="spellEnd"/>
      <w:r>
        <w:rPr>
          <w:sz w:val="24"/>
          <w:szCs w:val="24"/>
        </w:rPr>
        <w:t xml:space="preserve"> и сбалансированы; 5) динамичность и определенная цикличность развития.</w:t>
      </w:r>
    </w:p>
    <w:p w14:paraId="33D29F10" w14:textId="77777777" w:rsidR="005D1A61" w:rsidRDefault="0045737E">
      <w:pPr>
        <w:spacing w:line="360" w:lineRule="auto"/>
        <w:ind w:firstLine="851"/>
        <w:jc w:val="both"/>
        <w:rPr>
          <w:sz w:val="24"/>
          <w:szCs w:val="24"/>
        </w:rPr>
      </w:pPr>
      <w:r>
        <w:rPr>
          <w:sz w:val="24"/>
          <w:szCs w:val="24"/>
        </w:rPr>
        <w:t>Рассматривая внутреннюю структуру ТОС можно выделить ряд основных функциональных блоков (подсистем):</w:t>
      </w:r>
    </w:p>
    <w:p w14:paraId="322CEDAC" w14:textId="77777777" w:rsidR="005D1A61" w:rsidRDefault="0045737E">
      <w:pPr>
        <w:numPr>
          <w:ilvl w:val="0"/>
          <w:numId w:val="2"/>
        </w:numPr>
        <w:pBdr>
          <w:top w:val="nil"/>
          <w:left w:val="nil"/>
          <w:bottom w:val="nil"/>
          <w:right w:val="nil"/>
          <w:between w:val="nil"/>
        </w:pBdr>
        <w:spacing w:after="0" w:line="360" w:lineRule="auto"/>
        <w:ind w:left="567" w:hanging="567"/>
        <w:jc w:val="both"/>
        <w:rPr>
          <w:sz w:val="24"/>
          <w:szCs w:val="24"/>
        </w:rPr>
      </w:pPr>
      <w:r>
        <w:rPr>
          <w:color w:val="000000"/>
          <w:sz w:val="24"/>
          <w:szCs w:val="24"/>
        </w:rPr>
        <w:t>территориальная общность людей (ТОЛ) или социально-демографическая подсистема, выступающая центральным звеном системы, включающая характеристики населения и расселения;</w:t>
      </w:r>
    </w:p>
    <w:p w14:paraId="00A6B68E" w14:textId="77777777" w:rsidR="005D1A61" w:rsidRDefault="0045737E">
      <w:pPr>
        <w:numPr>
          <w:ilvl w:val="0"/>
          <w:numId w:val="2"/>
        </w:numPr>
        <w:pBdr>
          <w:top w:val="nil"/>
          <w:left w:val="nil"/>
          <w:bottom w:val="nil"/>
          <w:right w:val="nil"/>
          <w:between w:val="nil"/>
        </w:pBdr>
        <w:spacing w:after="0" w:line="360" w:lineRule="auto"/>
        <w:ind w:left="567" w:hanging="567"/>
        <w:jc w:val="both"/>
        <w:rPr>
          <w:sz w:val="24"/>
          <w:szCs w:val="24"/>
        </w:rPr>
      </w:pPr>
      <w:r>
        <w:rPr>
          <w:color w:val="000000"/>
          <w:sz w:val="24"/>
          <w:szCs w:val="24"/>
        </w:rPr>
        <w:t>территориально-экологическая подсистема, включающая качество окружающей среды, природно-климатические условия и территориальную освоенность;</w:t>
      </w:r>
    </w:p>
    <w:p w14:paraId="16B61B9D" w14:textId="77777777" w:rsidR="005D1A61" w:rsidRDefault="0045737E">
      <w:pPr>
        <w:numPr>
          <w:ilvl w:val="0"/>
          <w:numId w:val="2"/>
        </w:numPr>
        <w:pBdr>
          <w:top w:val="nil"/>
          <w:left w:val="nil"/>
          <w:bottom w:val="nil"/>
          <w:right w:val="nil"/>
          <w:between w:val="nil"/>
        </w:pBdr>
        <w:spacing w:after="0" w:line="360" w:lineRule="auto"/>
        <w:ind w:left="567" w:hanging="567"/>
        <w:jc w:val="both"/>
        <w:rPr>
          <w:sz w:val="24"/>
          <w:szCs w:val="24"/>
        </w:rPr>
      </w:pPr>
      <w:r>
        <w:rPr>
          <w:color w:val="000000"/>
          <w:sz w:val="24"/>
          <w:szCs w:val="24"/>
        </w:rPr>
        <w:t>хозяйственная подсистема, включающая промышленность и производство, определяющие экономическую специализацию территории, уровень благосостояния населения;</w:t>
      </w:r>
    </w:p>
    <w:p w14:paraId="634E0816" w14:textId="77777777" w:rsidR="005D1A61" w:rsidRDefault="0045737E">
      <w:pPr>
        <w:numPr>
          <w:ilvl w:val="0"/>
          <w:numId w:val="2"/>
        </w:numPr>
        <w:pBdr>
          <w:top w:val="nil"/>
          <w:left w:val="nil"/>
          <w:bottom w:val="nil"/>
          <w:right w:val="nil"/>
          <w:between w:val="nil"/>
        </w:pBdr>
        <w:spacing w:after="0" w:line="360" w:lineRule="auto"/>
        <w:ind w:left="567" w:hanging="567"/>
        <w:jc w:val="both"/>
        <w:rPr>
          <w:sz w:val="24"/>
          <w:szCs w:val="24"/>
        </w:rPr>
      </w:pPr>
      <w:r>
        <w:rPr>
          <w:color w:val="000000"/>
          <w:sz w:val="24"/>
          <w:szCs w:val="24"/>
        </w:rPr>
        <w:t>социальная подсистема, показывающая уровень и качество социальных услуг, оказываемых населению;</w:t>
      </w:r>
    </w:p>
    <w:p w14:paraId="43992638" w14:textId="77777777" w:rsidR="005D1A61" w:rsidRDefault="0045737E">
      <w:pPr>
        <w:numPr>
          <w:ilvl w:val="0"/>
          <w:numId w:val="2"/>
        </w:numPr>
        <w:pBdr>
          <w:top w:val="nil"/>
          <w:left w:val="nil"/>
          <w:bottom w:val="nil"/>
          <w:right w:val="nil"/>
          <w:between w:val="nil"/>
        </w:pBdr>
        <w:spacing w:after="0" w:line="360" w:lineRule="auto"/>
        <w:ind w:left="567" w:hanging="567"/>
        <w:jc w:val="both"/>
        <w:rPr>
          <w:sz w:val="24"/>
          <w:szCs w:val="24"/>
        </w:rPr>
      </w:pPr>
      <w:r>
        <w:rPr>
          <w:color w:val="000000"/>
          <w:sz w:val="24"/>
          <w:szCs w:val="24"/>
        </w:rPr>
        <w:t>культурно-интеллектуальная сфера, являющаяся характеристикой пятого фактора производства – информации;</w:t>
      </w:r>
    </w:p>
    <w:p w14:paraId="655C1BFE" w14:textId="77777777" w:rsidR="005D1A61" w:rsidRDefault="0045737E">
      <w:pPr>
        <w:numPr>
          <w:ilvl w:val="0"/>
          <w:numId w:val="2"/>
        </w:numPr>
        <w:pBdr>
          <w:top w:val="nil"/>
          <w:left w:val="nil"/>
          <w:bottom w:val="nil"/>
          <w:right w:val="nil"/>
          <w:between w:val="nil"/>
        </w:pBdr>
        <w:spacing w:line="360" w:lineRule="auto"/>
        <w:ind w:left="567" w:hanging="567"/>
        <w:jc w:val="both"/>
        <w:rPr>
          <w:sz w:val="24"/>
          <w:szCs w:val="24"/>
        </w:rPr>
      </w:pPr>
      <w:r>
        <w:rPr>
          <w:color w:val="000000"/>
          <w:sz w:val="24"/>
          <w:szCs w:val="24"/>
        </w:rPr>
        <w:lastRenderedPageBreak/>
        <w:t>институциональная инфраструктура, представляющая собой государственные механизмы управления и регулирования общественных отношений;</w:t>
      </w:r>
    </w:p>
    <w:p w14:paraId="19AABD76" w14:textId="77777777" w:rsidR="005D1A61" w:rsidRDefault="0045737E">
      <w:pPr>
        <w:spacing w:line="360" w:lineRule="auto"/>
        <w:ind w:firstLine="851"/>
        <w:jc w:val="both"/>
        <w:rPr>
          <w:sz w:val="24"/>
          <w:szCs w:val="24"/>
        </w:rPr>
      </w:pPr>
      <w:r>
        <w:rPr>
          <w:sz w:val="24"/>
          <w:szCs w:val="24"/>
        </w:rPr>
        <w:t xml:space="preserve">Структура подсистем позволяет создать «скелет» системы показателей, на основе которых далее будет производиться оценка развития регионов. </w:t>
      </w:r>
    </w:p>
    <w:p w14:paraId="463317B5" w14:textId="77777777" w:rsidR="005D1A61" w:rsidRDefault="0045737E">
      <w:pPr>
        <w:spacing w:line="360" w:lineRule="auto"/>
        <w:ind w:firstLine="851"/>
        <w:jc w:val="both"/>
        <w:rPr>
          <w:sz w:val="24"/>
          <w:szCs w:val="24"/>
        </w:rPr>
      </w:pPr>
      <w:r>
        <w:rPr>
          <w:sz w:val="24"/>
          <w:szCs w:val="24"/>
        </w:rPr>
        <w:t xml:space="preserve">Институциональный подход все более распространен в исследованиях регионального развития. Исследование развития в призме подхода позволяет рассмотреть влияние политических, финансовых и других институтов на развитие общества. </w:t>
      </w:r>
    </w:p>
    <w:p w14:paraId="31214B4E" w14:textId="77777777" w:rsidR="005D1A61" w:rsidRDefault="0045737E">
      <w:pPr>
        <w:spacing w:line="360" w:lineRule="auto"/>
        <w:ind w:firstLine="851"/>
        <w:jc w:val="both"/>
        <w:rPr>
          <w:sz w:val="24"/>
          <w:szCs w:val="24"/>
        </w:rPr>
      </w:pPr>
      <w:r>
        <w:rPr>
          <w:sz w:val="24"/>
          <w:szCs w:val="24"/>
        </w:rPr>
        <w:t xml:space="preserve">Отмечается, что эффективные институты позволяют снизить объективные барьеры развития в виде различных административно-правовых норм, ограничивающих развитие территорий и полное использование конкурентные преимущества. </w:t>
      </w:r>
    </w:p>
    <w:p w14:paraId="6552ACED" w14:textId="77777777" w:rsidR="005D1A61" w:rsidRDefault="0045737E">
      <w:pPr>
        <w:spacing w:line="360" w:lineRule="auto"/>
        <w:ind w:firstLine="851"/>
        <w:jc w:val="both"/>
        <w:rPr>
          <w:sz w:val="24"/>
          <w:szCs w:val="24"/>
        </w:rPr>
      </w:pPr>
      <w:r>
        <w:rPr>
          <w:sz w:val="24"/>
          <w:szCs w:val="24"/>
        </w:rPr>
        <w:t>Н. В. Зубаревич видит одним из институциональных барьеров в России высокую централизацию власти, которая вступает в логический конфликт с принципом субсидиарности: при равной возможности управления каким-либо социально-экономическим процессом из двух и более разных по иерархическому рангу субъектов взаимоотношений приоритет должен отдаваться нижнему по рангу, поскольку он ближе к местному сообществу, а соответственно более чувствителен к его потребностям.</w:t>
      </w:r>
    </w:p>
    <w:p w14:paraId="2FC0E5C7" w14:textId="77777777" w:rsidR="005D1A61" w:rsidRDefault="0045737E">
      <w:pPr>
        <w:spacing w:line="360" w:lineRule="auto"/>
        <w:ind w:firstLine="851"/>
        <w:jc w:val="both"/>
        <w:rPr>
          <w:sz w:val="24"/>
          <w:szCs w:val="24"/>
        </w:rPr>
      </w:pPr>
      <w:r>
        <w:rPr>
          <w:sz w:val="24"/>
          <w:szCs w:val="24"/>
        </w:rPr>
        <w:t xml:space="preserve">Е. С. Кулаковский, рассматривая институциональный подход применительно к развитию муниципальных районов, выделяет три институциональные структуры: распределительная, трансформационная и организационная. </w:t>
      </w:r>
    </w:p>
    <w:p w14:paraId="163BC96E" w14:textId="77777777" w:rsidR="005D1A61" w:rsidRDefault="0045737E">
      <w:pPr>
        <w:spacing w:line="360" w:lineRule="auto"/>
        <w:ind w:firstLine="851"/>
        <w:jc w:val="both"/>
        <w:rPr>
          <w:sz w:val="24"/>
          <w:szCs w:val="24"/>
        </w:rPr>
      </w:pPr>
      <w:r>
        <w:rPr>
          <w:sz w:val="24"/>
          <w:szCs w:val="24"/>
        </w:rPr>
        <w:t xml:space="preserve">Первая структура определяет систему распределения средств между субъектами управления. Для ее оценки предлагаются следующие критерии: структура доходов и расходов бюджета, доля собственных доходов, дефицит или профицит бюджета. </w:t>
      </w:r>
    </w:p>
    <w:p w14:paraId="0EAB350A" w14:textId="77777777" w:rsidR="005D1A61" w:rsidRDefault="0045737E">
      <w:pPr>
        <w:spacing w:line="360" w:lineRule="auto"/>
        <w:ind w:firstLine="851"/>
        <w:jc w:val="both"/>
        <w:rPr>
          <w:sz w:val="24"/>
          <w:szCs w:val="24"/>
        </w:rPr>
      </w:pPr>
      <w:r>
        <w:rPr>
          <w:sz w:val="24"/>
          <w:szCs w:val="24"/>
        </w:rPr>
        <w:t>Трансформационная институциональная структура отражает процесс изменения, который происходит в рамках поступающих средств (инвестиций) и приоритетов экономических агентов (государства, бизнеса и домохозяйств) в региональной политике. Оценка данной структуры заключается в анализе и оценке этих преобразований, их влияния на экономическую ситуацию и развитие региона.</w:t>
      </w:r>
    </w:p>
    <w:p w14:paraId="591E7D53" w14:textId="77777777" w:rsidR="005D1A61" w:rsidRDefault="0045737E">
      <w:pPr>
        <w:spacing w:line="360" w:lineRule="auto"/>
        <w:ind w:firstLine="851"/>
        <w:jc w:val="both"/>
        <w:rPr>
          <w:sz w:val="24"/>
          <w:szCs w:val="24"/>
        </w:rPr>
      </w:pPr>
      <w:r>
        <w:rPr>
          <w:sz w:val="24"/>
          <w:szCs w:val="24"/>
        </w:rPr>
        <w:t xml:space="preserve">Организационная институциональная структура отражает систему нормативно-правовых основ, которые регулируют развитие территорий. Содержание оценки этой структуры заключается в анализе и оценке нормативно-правовой базы, включающей такие элементы, как стратегическое пространственное планирование, региональные и </w:t>
      </w:r>
      <w:r>
        <w:rPr>
          <w:sz w:val="24"/>
          <w:szCs w:val="24"/>
        </w:rPr>
        <w:lastRenderedPageBreak/>
        <w:t>муниципальные программы. Оценка позволяет определить эффективность и соответствие данных нормативно-правовых инструментов целям развития территорий, их роли в формировании и реализации различных стратегий развития.</w:t>
      </w:r>
    </w:p>
    <w:p w14:paraId="01BAB7F1" w14:textId="77777777" w:rsidR="005D1A61" w:rsidRDefault="0045737E">
      <w:pPr>
        <w:spacing w:line="360" w:lineRule="auto"/>
        <w:ind w:firstLine="851"/>
        <w:jc w:val="both"/>
        <w:rPr>
          <w:sz w:val="24"/>
          <w:szCs w:val="24"/>
        </w:rPr>
      </w:pPr>
      <w:r>
        <w:rPr>
          <w:sz w:val="24"/>
          <w:szCs w:val="24"/>
        </w:rPr>
        <w:t>Применительно к развитию регионов на основе имеющейся статистики является целесообразным рассмотреть структуру доходов и расходов регионов, соотношение доходов и расходов, инвестиции в основной капитал на душу населения, число предприятий и организаций на душу населения, сальдированный результат организаций и предприятий на организацию. Это позволит наиболее полно на основе имеющихся данных оценить институциональный фактор развития.</w:t>
      </w:r>
    </w:p>
    <w:p w14:paraId="732F4368" w14:textId="77777777" w:rsidR="005D1A61" w:rsidRPr="007E0CA1" w:rsidRDefault="0045737E">
      <w:pPr>
        <w:spacing w:line="360" w:lineRule="auto"/>
        <w:ind w:firstLine="851"/>
        <w:jc w:val="both"/>
        <w:rPr>
          <w:sz w:val="24"/>
          <w:szCs w:val="24"/>
        </w:rPr>
      </w:pPr>
      <w:r>
        <w:rPr>
          <w:sz w:val="24"/>
          <w:szCs w:val="24"/>
        </w:rPr>
        <w:t xml:space="preserve">Также используется индикативный подход к </w:t>
      </w:r>
      <w:r w:rsidRPr="007E0CA1">
        <w:rPr>
          <w:sz w:val="24"/>
          <w:szCs w:val="24"/>
        </w:rPr>
        <w:t>исследованию развития территории, который основывается на использовании индикаторов или показателей, представляющие собой конкретные числовые или качественные значения, характеризующие различные аспекты развития территории. Этот подход направлен на изучение и анализ изменений и динамики территориальных процессов и явлений.</w:t>
      </w:r>
    </w:p>
    <w:p w14:paraId="7739E916" w14:textId="77777777" w:rsidR="005D1A61" w:rsidRPr="007E0CA1" w:rsidRDefault="0045737E">
      <w:pPr>
        <w:spacing w:line="360" w:lineRule="auto"/>
        <w:ind w:firstLine="851"/>
        <w:jc w:val="both"/>
        <w:rPr>
          <w:sz w:val="24"/>
          <w:szCs w:val="24"/>
        </w:rPr>
      </w:pPr>
      <w:r w:rsidRPr="007E0CA1">
        <w:rPr>
          <w:sz w:val="24"/>
          <w:szCs w:val="24"/>
        </w:rPr>
        <w:t xml:space="preserve">Метод индикаторов используется в том числе и на государственном уровне. Так одним из способов определения развития региона является официальная государственная методика, утвержденная указом президента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(Указ Президента РФ от 04.02.2021). В последней редакции этого указа, в перечне показателей, обозначается 20 показателей. Однако в постановлении Правительства РФ "Об утверждении методик расчета показателей для оценки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а также о признании утратившими силу отдельных положений постановления правительства Российской Федерации» (Гончарова, 2019) указано уже 38 методик, однако де-факто приведено всего 19 показателей, по которым приведена методика расчёта отдельно на текущий год и на период до 2030 года, которая определяет целевые значения показателей. </w:t>
      </w:r>
    </w:p>
    <w:p w14:paraId="03AFEEF3" w14:textId="77777777" w:rsidR="005D1A61" w:rsidRPr="007E0CA1" w:rsidRDefault="0045737E">
      <w:pPr>
        <w:spacing w:line="360" w:lineRule="auto"/>
        <w:ind w:firstLine="851"/>
        <w:jc w:val="both"/>
        <w:rPr>
          <w:sz w:val="24"/>
          <w:szCs w:val="24"/>
        </w:rPr>
      </w:pPr>
      <w:r w:rsidRPr="007E0CA1">
        <w:rPr>
          <w:sz w:val="24"/>
          <w:szCs w:val="24"/>
        </w:rPr>
        <w:t xml:space="preserve">Составление методики и отчетность по показателю «доверие к власти (доверие к Президенту Российской Федерации, высшим должностным лицам субъектов Российской Федерации, уровень которого определяется в том числе посредством оценки общественного мнения в отношении достижения в субъектах Российской Федерации национальных целей развития Российской Федерации)» отнесено к сфере ответственности </w:t>
      </w:r>
      <w:r w:rsidRPr="007E0CA1">
        <w:rPr>
          <w:sz w:val="24"/>
          <w:szCs w:val="24"/>
        </w:rPr>
        <w:lastRenderedPageBreak/>
        <w:t>администрации президента, поэтому его нет в постановлении Правительства. Показатели, используемые в данной методике приведены в приложении 1.</w:t>
      </w:r>
    </w:p>
    <w:p w14:paraId="0F6EA0CB" w14:textId="77777777" w:rsidR="005D1A61" w:rsidRPr="007E0CA1" w:rsidRDefault="0045737E">
      <w:pPr>
        <w:spacing w:line="360" w:lineRule="auto"/>
        <w:ind w:firstLine="851"/>
        <w:jc w:val="both"/>
        <w:rPr>
          <w:sz w:val="24"/>
          <w:szCs w:val="24"/>
        </w:rPr>
      </w:pPr>
      <w:r w:rsidRPr="007E0CA1">
        <w:rPr>
          <w:sz w:val="24"/>
          <w:szCs w:val="24"/>
        </w:rPr>
        <w:t xml:space="preserve">Существенными минусами этих оценок являются отсутствие публичности отчетности и отсутствие возможности как-либо проанализировать данные сторонним исследователям, сложность расчетов показателей и их интерпретации. Однако такая методология имеет и положительные стороны: большинство показателей являются относительными, что позволяет сравнивать самые разные регионы, составлены прогнозы и планы по их достижению, охвачены многие сферы жизни, что позволяет действительно комплексно рассматривать социально-экономическое положение региона. Также стоит отметить, что нормативно-правовая основа постоянно развивается, совершенствуются методики подсчета и выбор показателей, а также различные процессы взаимодействия органов власти по данному аспекту (Гончарова, 2019). </w:t>
      </w:r>
    </w:p>
    <w:p w14:paraId="221B4E49" w14:textId="77777777" w:rsidR="005D1A61" w:rsidRPr="007E0CA1" w:rsidRDefault="0045737E">
      <w:pPr>
        <w:spacing w:line="360" w:lineRule="auto"/>
        <w:ind w:firstLine="851"/>
        <w:jc w:val="both"/>
        <w:rPr>
          <w:sz w:val="24"/>
          <w:szCs w:val="24"/>
        </w:rPr>
      </w:pPr>
      <w:r w:rsidRPr="007E0CA1">
        <w:rPr>
          <w:sz w:val="24"/>
          <w:szCs w:val="24"/>
        </w:rPr>
        <w:t xml:space="preserve">В исследовательской же среде индикаторы активно используются в концепции устойчивого развития, суть которой заключается в том, что социально-экономическое развитие должно происходить с учетом экологических и социальных аспектов, чтобы обеспечить устойчивость и долгосрочность развития. Основным принципом такого развития является то, что в каждый последующий период значения должны приближаться к заданным на заданное значение, что и определяет устойчивость. Такой подход позволит выявить слабые и сильные стороны региона. </w:t>
      </w:r>
    </w:p>
    <w:p w14:paraId="0C970563" w14:textId="77777777" w:rsidR="005D1A61" w:rsidRPr="007E0CA1" w:rsidRDefault="0045737E">
      <w:pPr>
        <w:spacing w:line="360" w:lineRule="auto"/>
        <w:ind w:firstLine="851"/>
        <w:jc w:val="both"/>
        <w:rPr>
          <w:sz w:val="24"/>
          <w:szCs w:val="24"/>
        </w:rPr>
      </w:pPr>
      <w:r w:rsidRPr="007E0CA1">
        <w:rPr>
          <w:sz w:val="24"/>
          <w:szCs w:val="24"/>
        </w:rPr>
        <w:t>В исследовании (Гребенкина, 2020) предложены пороговые значения, составленные на основе средних значении по России, результатов международных исследований и эталонных показателей развитых стран. Также составлена система нормативно-</w:t>
      </w:r>
      <w:proofErr w:type="spellStart"/>
      <w:r w:rsidRPr="007E0CA1">
        <w:rPr>
          <w:sz w:val="24"/>
          <w:szCs w:val="24"/>
        </w:rPr>
        <w:t>критериальной</w:t>
      </w:r>
      <w:proofErr w:type="spellEnd"/>
      <w:r w:rsidRPr="007E0CA1">
        <w:rPr>
          <w:sz w:val="24"/>
          <w:szCs w:val="24"/>
        </w:rPr>
        <w:t xml:space="preserve"> оценки на основе сравнения динамики показателей, а также на основе относительных отклонений от порогового значения, которые распределены на 4 уровня состояния с шагом -0,333 от значений выше 0 до -0,666 (от положительного отклонения к наиболее отрицательным): оптимальный уровень, нестабильный уровень, предкризисное состояние, кризисное состояние.</w:t>
      </w:r>
    </w:p>
    <w:p w14:paraId="18B669A7" w14:textId="77777777" w:rsidR="005D1A61" w:rsidRPr="00F80D58" w:rsidRDefault="0045737E">
      <w:pPr>
        <w:spacing w:line="360" w:lineRule="auto"/>
        <w:ind w:firstLine="851"/>
        <w:jc w:val="both"/>
        <w:rPr>
          <w:sz w:val="24"/>
          <w:szCs w:val="24"/>
        </w:rPr>
      </w:pPr>
      <w:r w:rsidRPr="007E0CA1">
        <w:rPr>
          <w:sz w:val="24"/>
          <w:szCs w:val="24"/>
        </w:rPr>
        <w:t>На основе описанных подходов и ряда исследований</w:t>
      </w:r>
      <w:r w:rsidRPr="00F80D58">
        <w:rPr>
          <w:sz w:val="24"/>
          <w:szCs w:val="24"/>
        </w:rPr>
        <w:t xml:space="preserve"> в области территориального развития и территориальной дифференциации (Алексеева, 2017; Бархатов, </w:t>
      </w:r>
      <w:proofErr w:type="gramStart"/>
      <w:r w:rsidRPr="00F80D58">
        <w:rPr>
          <w:sz w:val="24"/>
          <w:szCs w:val="24"/>
        </w:rPr>
        <w:t>2020;  Гусева</w:t>
      </w:r>
      <w:proofErr w:type="gramEnd"/>
      <w:r w:rsidRPr="00F80D58">
        <w:rPr>
          <w:sz w:val="24"/>
          <w:szCs w:val="24"/>
        </w:rPr>
        <w:t xml:space="preserve">, 2013 и др.) составлена таблица показателей (таблица </w:t>
      </w:r>
      <w:r w:rsidR="007A5C77" w:rsidRPr="00F80D58">
        <w:rPr>
          <w:sz w:val="24"/>
          <w:szCs w:val="24"/>
        </w:rPr>
        <w:t>2</w:t>
      </w:r>
      <w:r w:rsidRPr="00F80D58">
        <w:rPr>
          <w:sz w:val="24"/>
          <w:szCs w:val="24"/>
        </w:rPr>
        <w:t>), характеризующих развитие территории.</w:t>
      </w:r>
    </w:p>
    <w:p w14:paraId="28FFF879" w14:textId="77777777" w:rsidR="005D1A61" w:rsidRDefault="0045737E">
      <w:pPr>
        <w:spacing w:line="360" w:lineRule="auto"/>
        <w:jc w:val="both"/>
        <w:rPr>
          <w:sz w:val="24"/>
          <w:szCs w:val="24"/>
        </w:rPr>
      </w:pPr>
      <w:r w:rsidRPr="00F80D58">
        <w:rPr>
          <w:sz w:val="24"/>
          <w:szCs w:val="24"/>
        </w:rPr>
        <w:t>Таблица 2. Критерии оценки развития территории.</w:t>
      </w:r>
    </w:p>
    <w:tbl>
      <w:tblPr>
        <w:tblStyle w:val="40"/>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5D1A61" w14:paraId="3D0BE0F8" w14:textId="77777777">
        <w:trPr>
          <w:trHeight w:val="240"/>
        </w:trPr>
        <w:tc>
          <w:tcPr>
            <w:tcW w:w="9570" w:type="dxa"/>
          </w:tcPr>
          <w:p w14:paraId="7EEBF466" w14:textId="77777777" w:rsidR="005D1A61" w:rsidRDefault="0045737E">
            <w:pPr>
              <w:spacing w:line="360" w:lineRule="auto"/>
              <w:jc w:val="both"/>
              <w:rPr>
                <w:sz w:val="24"/>
                <w:szCs w:val="24"/>
              </w:rPr>
            </w:pPr>
            <w:r>
              <w:rPr>
                <w:sz w:val="24"/>
                <w:szCs w:val="24"/>
              </w:rPr>
              <w:lastRenderedPageBreak/>
              <w:t>Показатель</w:t>
            </w:r>
          </w:p>
        </w:tc>
      </w:tr>
      <w:tr w:rsidR="005D1A61" w14:paraId="3B80997F" w14:textId="77777777">
        <w:tc>
          <w:tcPr>
            <w:tcW w:w="9570" w:type="dxa"/>
          </w:tcPr>
          <w:p w14:paraId="0BC263F0" w14:textId="77777777" w:rsidR="005D1A61" w:rsidRDefault="0045737E">
            <w:pPr>
              <w:spacing w:line="360" w:lineRule="auto"/>
              <w:rPr>
                <w:b/>
                <w:sz w:val="24"/>
                <w:szCs w:val="24"/>
              </w:rPr>
            </w:pPr>
            <w:r>
              <w:rPr>
                <w:b/>
                <w:sz w:val="24"/>
                <w:szCs w:val="24"/>
              </w:rPr>
              <w:t>Социально-демографическая сфера</w:t>
            </w:r>
          </w:p>
        </w:tc>
      </w:tr>
      <w:tr w:rsidR="005D1A61" w14:paraId="0108E746" w14:textId="77777777">
        <w:trPr>
          <w:trHeight w:val="240"/>
        </w:trPr>
        <w:tc>
          <w:tcPr>
            <w:tcW w:w="9570" w:type="dxa"/>
          </w:tcPr>
          <w:p w14:paraId="4F8D7687" w14:textId="77777777" w:rsidR="005D1A61" w:rsidRDefault="0045737E">
            <w:pPr>
              <w:spacing w:line="360" w:lineRule="auto"/>
              <w:rPr>
                <w:sz w:val="24"/>
                <w:szCs w:val="24"/>
              </w:rPr>
            </w:pPr>
            <w:r>
              <w:rPr>
                <w:sz w:val="24"/>
                <w:szCs w:val="24"/>
              </w:rPr>
              <w:t>Изменение населения, чел.</w:t>
            </w:r>
          </w:p>
        </w:tc>
      </w:tr>
      <w:tr w:rsidR="005D1A61" w14:paraId="1D27FD45" w14:textId="77777777">
        <w:trPr>
          <w:trHeight w:val="240"/>
        </w:trPr>
        <w:tc>
          <w:tcPr>
            <w:tcW w:w="9570" w:type="dxa"/>
          </w:tcPr>
          <w:p w14:paraId="4D9D0DD2" w14:textId="77777777" w:rsidR="005D1A61" w:rsidRDefault="0045737E">
            <w:pPr>
              <w:spacing w:line="360" w:lineRule="auto"/>
              <w:rPr>
                <w:sz w:val="24"/>
                <w:szCs w:val="24"/>
              </w:rPr>
            </w:pPr>
            <w:r>
              <w:rPr>
                <w:sz w:val="24"/>
                <w:szCs w:val="24"/>
              </w:rPr>
              <w:t>Плотность населения, чел.</w:t>
            </w:r>
          </w:p>
        </w:tc>
      </w:tr>
      <w:tr w:rsidR="005D1A61" w14:paraId="0DF0ED3A" w14:textId="77777777">
        <w:trPr>
          <w:trHeight w:val="240"/>
        </w:trPr>
        <w:tc>
          <w:tcPr>
            <w:tcW w:w="9570" w:type="dxa"/>
          </w:tcPr>
          <w:p w14:paraId="222C060D" w14:textId="77777777" w:rsidR="005D1A61" w:rsidRDefault="0045737E">
            <w:pPr>
              <w:spacing w:line="360" w:lineRule="auto"/>
              <w:rPr>
                <w:sz w:val="24"/>
                <w:szCs w:val="24"/>
              </w:rPr>
            </w:pPr>
            <w:r>
              <w:rPr>
                <w:sz w:val="24"/>
                <w:szCs w:val="24"/>
              </w:rPr>
              <w:t>Коэффициент демографической нагрузки, ‰</w:t>
            </w:r>
          </w:p>
        </w:tc>
      </w:tr>
      <w:tr w:rsidR="005D1A61" w14:paraId="457FF766" w14:textId="77777777">
        <w:trPr>
          <w:trHeight w:val="240"/>
        </w:trPr>
        <w:tc>
          <w:tcPr>
            <w:tcW w:w="9570" w:type="dxa"/>
          </w:tcPr>
          <w:p w14:paraId="6EC98F00" w14:textId="77777777" w:rsidR="005D1A61" w:rsidRDefault="0045737E">
            <w:pPr>
              <w:spacing w:line="360" w:lineRule="auto"/>
              <w:rPr>
                <w:sz w:val="24"/>
                <w:szCs w:val="24"/>
              </w:rPr>
            </w:pPr>
            <w:r>
              <w:rPr>
                <w:sz w:val="24"/>
                <w:szCs w:val="24"/>
              </w:rPr>
              <w:t>Коэффициент естественного прироста, ‰</w:t>
            </w:r>
          </w:p>
        </w:tc>
      </w:tr>
      <w:tr w:rsidR="005D1A61" w14:paraId="750DEE72" w14:textId="77777777">
        <w:trPr>
          <w:trHeight w:val="240"/>
        </w:trPr>
        <w:tc>
          <w:tcPr>
            <w:tcW w:w="9570" w:type="dxa"/>
          </w:tcPr>
          <w:p w14:paraId="5942DC65" w14:textId="77777777" w:rsidR="005D1A61" w:rsidRDefault="0045737E">
            <w:pPr>
              <w:spacing w:line="360" w:lineRule="auto"/>
              <w:rPr>
                <w:sz w:val="24"/>
                <w:szCs w:val="24"/>
              </w:rPr>
            </w:pPr>
            <w:r>
              <w:rPr>
                <w:sz w:val="24"/>
                <w:szCs w:val="24"/>
              </w:rPr>
              <w:t xml:space="preserve">Ожидаемая продолжительность </w:t>
            </w:r>
            <w:proofErr w:type="gramStart"/>
            <w:r>
              <w:rPr>
                <w:sz w:val="24"/>
                <w:szCs w:val="24"/>
              </w:rPr>
              <w:t>жизни,  число</w:t>
            </w:r>
            <w:proofErr w:type="gramEnd"/>
            <w:r>
              <w:rPr>
                <w:sz w:val="24"/>
                <w:szCs w:val="24"/>
              </w:rPr>
              <w:t xml:space="preserve"> лет</w:t>
            </w:r>
          </w:p>
        </w:tc>
      </w:tr>
      <w:tr w:rsidR="005D1A61" w14:paraId="2F9F3518" w14:textId="77777777">
        <w:trPr>
          <w:trHeight w:val="240"/>
        </w:trPr>
        <w:tc>
          <w:tcPr>
            <w:tcW w:w="9570" w:type="dxa"/>
          </w:tcPr>
          <w:p w14:paraId="328190DD" w14:textId="77777777" w:rsidR="005D1A61" w:rsidRDefault="0045737E">
            <w:pPr>
              <w:spacing w:line="360" w:lineRule="auto"/>
              <w:rPr>
                <w:sz w:val="24"/>
                <w:szCs w:val="24"/>
              </w:rPr>
            </w:pPr>
            <w:r>
              <w:rPr>
                <w:sz w:val="24"/>
                <w:szCs w:val="24"/>
              </w:rPr>
              <w:t>Коэффициент миграционного прироста, ‱</w:t>
            </w:r>
          </w:p>
        </w:tc>
      </w:tr>
      <w:tr w:rsidR="005D1A61" w14:paraId="5826BDC5" w14:textId="77777777">
        <w:tc>
          <w:tcPr>
            <w:tcW w:w="9570" w:type="dxa"/>
          </w:tcPr>
          <w:p w14:paraId="09C4A626" w14:textId="77777777" w:rsidR="005D1A61" w:rsidRDefault="0045737E">
            <w:pPr>
              <w:spacing w:line="360" w:lineRule="auto"/>
              <w:rPr>
                <w:b/>
                <w:sz w:val="24"/>
                <w:szCs w:val="24"/>
              </w:rPr>
            </w:pPr>
            <w:r>
              <w:rPr>
                <w:b/>
                <w:sz w:val="24"/>
                <w:szCs w:val="24"/>
              </w:rPr>
              <w:t>Природно-территориальная сфера</w:t>
            </w:r>
          </w:p>
        </w:tc>
      </w:tr>
      <w:tr w:rsidR="005D1A61" w14:paraId="17CD611A" w14:textId="77777777">
        <w:trPr>
          <w:trHeight w:val="240"/>
        </w:trPr>
        <w:tc>
          <w:tcPr>
            <w:tcW w:w="9570" w:type="dxa"/>
          </w:tcPr>
          <w:p w14:paraId="614B10B9" w14:textId="77777777" w:rsidR="005D1A61" w:rsidRDefault="0045737E">
            <w:pPr>
              <w:spacing w:line="360" w:lineRule="auto"/>
              <w:rPr>
                <w:sz w:val="24"/>
                <w:szCs w:val="24"/>
              </w:rPr>
            </w:pPr>
            <w:r>
              <w:rPr>
                <w:sz w:val="24"/>
                <w:szCs w:val="24"/>
              </w:rPr>
              <w:t>Выбросы веществ от стационарных источников, тысяч тонн</w:t>
            </w:r>
          </w:p>
        </w:tc>
      </w:tr>
      <w:tr w:rsidR="005D1A61" w14:paraId="17046C24" w14:textId="77777777">
        <w:trPr>
          <w:trHeight w:val="240"/>
        </w:trPr>
        <w:tc>
          <w:tcPr>
            <w:tcW w:w="9570" w:type="dxa"/>
          </w:tcPr>
          <w:p w14:paraId="3D12D865" w14:textId="77777777" w:rsidR="005D1A61" w:rsidRDefault="0045737E">
            <w:pPr>
              <w:spacing w:line="360" w:lineRule="auto"/>
              <w:rPr>
                <w:sz w:val="24"/>
                <w:szCs w:val="24"/>
              </w:rPr>
            </w:pPr>
            <w:r>
              <w:rPr>
                <w:sz w:val="24"/>
                <w:szCs w:val="24"/>
              </w:rPr>
              <w:t>Динамика улавливания загрязняющих атмосферу веществ, отходящих от стационарных источников по регионам Уральского федерального округа</w:t>
            </w:r>
          </w:p>
        </w:tc>
      </w:tr>
      <w:tr w:rsidR="005D1A61" w14:paraId="0D061FE7" w14:textId="77777777">
        <w:trPr>
          <w:trHeight w:val="240"/>
        </w:trPr>
        <w:tc>
          <w:tcPr>
            <w:tcW w:w="9570" w:type="dxa"/>
          </w:tcPr>
          <w:p w14:paraId="1FB56591" w14:textId="77777777" w:rsidR="005D1A61" w:rsidRDefault="0045737E">
            <w:pPr>
              <w:spacing w:line="360" w:lineRule="auto"/>
              <w:rPr>
                <w:sz w:val="24"/>
                <w:szCs w:val="24"/>
              </w:rPr>
            </w:pPr>
            <w:r>
              <w:rPr>
                <w:sz w:val="24"/>
                <w:szCs w:val="24"/>
              </w:rPr>
              <w:t>Коэффициент Энгеля</w:t>
            </w:r>
          </w:p>
        </w:tc>
      </w:tr>
      <w:tr w:rsidR="005D1A61" w14:paraId="647BF066" w14:textId="77777777">
        <w:tc>
          <w:tcPr>
            <w:tcW w:w="9570" w:type="dxa"/>
          </w:tcPr>
          <w:p w14:paraId="3F02AB8C" w14:textId="77777777" w:rsidR="005D1A61" w:rsidRDefault="0045737E">
            <w:pPr>
              <w:spacing w:line="360" w:lineRule="auto"/>
              <w:rPr>
                <w:b/>
                <w:sz w:val="24"/>
                <w:szCs w:val="24"/>
              </w:rPr>
            </w:pPr>
            <w:r>
              <w:rPr>
                <w:b/>
                <w:sz w:val="24"/>
                <w:szCs w:val="24"/>
              </w:rPr>
              <w:t>Экономическая сфера</w:t>
            </w:r>
          </w:p>
        </w:tc>
      </w:tr>
      <w:tr w:rsidR="005D1A61" w14:paraId="1B84D83B" w14:textId="77777777">
        <w:trPr>
          <w:trHeight w:val="240"/>
        </w:trPr>
        <w:tc>
          <w:tcPr>
            <w:tcW w:w="9570" w:type="dxa"/>
          </w:tcPr>
          <w:p w14:paraId="01C27165" w14:textId="77777777" w:rsidR="005D1A61" w:rsidRDefault="0045737E">
            <w:pPr>
              <w:spacing w:line="360" w:lineRule="auto"/>
              <w:rPr>
                <w:sz w:val="24"/>
                <w:szCs w:val="24"/>
              </w:rPr>
            </w:pPr>
            <w:r>
              <w:rPr>
                <w:sz w:val="24"/>
                <w:szCs w:val="24"/>
              </w:rPr>
              <w:t>ВРП на душу населения в ценах 2001 года</w:t>
            </w:r>
          </w:p>
        </w:tc>
      </w:tr>
      <w:tr w:rsidR="005D1A61" w14:paraId="7CCE5B99" w14:textId="77777777">
        <w:trPr>
          <w:trHeight w:val="240"/>
        </w:trPr>
        <w:tc>
          <w:tcPr>
            <w:tcW w:w="9570" w:type="dxa"/>
          </w:tcPr>
          <w:p w14:paraId="52680D2D" w14:textId="77777777" w:rsidR="005D1A61" w:rsidRPr="007A0A25" w:rsidRDefault="0045737E" w:rsidP="007A0A25">
            <w:pPr>
              <w:spacing w:line="360" w:lineRule="auto"/>
            </w:pPr>
            <w:r>
              <w:rPr>
                <w:sz w:val="24"/>
                <w:szCs w:val="24"/>
              </w:rPr>
              <w:t>Стоимость фиксированного набора</w:t>
            </w:r>
          </w:p>
        </w:tc>
      </w:tr>
      <w:tr w:rsidR="005D1A61" w14:paraId="08CE3A71" w14:textId="77777777">
        <w:trPr>
          <w:trHeight w:val="240"/>
        </w:trPr>
        <w:tc>
          <w:tcPr>
            <w:tcW w:w="9570" w:type="dxa"/>
          </w:tcPr>
          <w:p w14:paraId="139CFE23" w14:textId="77777777" w:rsidR="005D1A61" w:rsidRDefault="0045737E">
            <w:pPr>
              <w:spacing w:line="360" w:lineRule="auto"/>
              <w:rPr>
                <w:sz w:val="24"/>
                <w:szCs w:val="24"/>
              </w:rPr>
            </w:pPr>
            <w:r>
              <w:rPr>
                <w:sz w:val="24"/>
                <w:szCs w:val="24"/>
              </w:rPr>
              <w:t>Структура доходов и расходов регионов</w:t>
            </w:r>
          </w:p>
        </w:tc>
      </w:tr>
      <w:tr w:rsidR="005D1A61" w14:paraId="4D0A4111" w14:textId="77777777">
        <w:trPr>
          <w:trHeight w:val="240"/>
        </w:trPr>
        <w:tc>
          <w:tcPr>
            <w:tcW w:w="9570" w:type="dxa"/>
          </w:tcPr>
          <w:p w14:paraId="6AA4BD97" w14:textId="77777777" w:rsidR="005D1A61" w:rsidRDefault="0045737E">
            <w:pPr>
              <w:spacing w:line="360" w:lineRule="auto"/>
              <w:rPr>
                <w:sz w:val="24"/>
                <w:szCs w:val="24"/>
              </w:rPr>
            </w:pPr>
            <w:r>
              <w:rPr>
                <w:sz w:val="24"/>
                <w:szCs w:val="24"/>
              </w:rPr>
              <w:t>Благосостояние населения (Доходы - расходы в приведенных ценах)</w:t>
            </w:r>
          </w:p>
        </w:tc>
      </w:tr>
      <w:tr w:rsidR="005D1A61" w14:paraId="46C522C6" w14:textId="77777777">
        <w:trPr>
          <w:trHeight w:val="240"/>
        </w:trPr>
        <w:tc>
          <w:tcPr>
            <w:tcW w:w="9570" w:type="dxa"/>
          </w:tcPr>
          <w:p w14:paraId="1D6F02A5" w14:textId="77777777" w:rsidR="005D1A61" w:rsidRDefault="0045737E">
            <w:pPr>
              <w:spacing w:line="360" w:lineRule="auto"/>
              <w:rPr>
                <w:sz w:val="24"/>
                <w:szCs w:val="24"/>
              </w:rPr>
            </w:pPr>
            <w:r>
              <w:rPr>
                <w:sz w:val="24"/>
                <w:szCs w:val="24"/>
              </w:rPr>
              <w:t xml:space="preserve">Доля населения, занятого в экономике </w:t>
            </w:r>
          </w:p>
        </w:tc>
      </w:tr>
      <w:tr w:rsidR="005D1A61" w14:paraId="3F81D9AA" w14:textId="77777777">
        <w:tc>
          <w:tcPr>
            <w:tcW w:w="9570" w:type="dxa"/>
          </w:tcPr>
          <w:p w14:paraId="13D3CD90" w14:textId="77777777" w:rsidR="005D1A61" w:rsidRDefault="0045737E">
            <w:pPr>
              <w:spacing w:line="360" w:lineRule="auto"/>
              <w:rPr>
                <w:b/>
                <w:sz w:val="24"/>
                <w:szCs w:val="24"/>
              </w:rPr>
            </w:pPr>
            <w:r>
              <w:rPr>
                <w:b/>
                <w:sz w:val="24"/>
                <w:szCs w:val="24"/>
              </w:rPr>
              <w:t>Социальная сфера и социальная инфраструктура</w:t>
            </w:r>
          </w:p>
        </w:tc>
      </w:tr>
      <w:tr w:rsidR="005D1A61" w14:paraId="4A11612D" w14:textId="77777777">
        <w:trPr>
          <w:trHeight w:val="240"/>
        </w:trPr>
        <w:tc>
          <w:tcPr>
            <w:tcW w:w="9570" w:type="dxa"/>
          </w:tcPr>
          <w:p w14:paraId="73882C1E" w14:textId="77777777" w:rsidR="005D1A61" w:rsidRDefault="0045737E">
            <w:pPr>
              <w:spacing w:line="360" w:lineRule="auto"/>
              <w:rPr>
                <w:sz w:val="24"/>
                <w:szCs w:val="24"/>
              </w:rPr>
            </w:pPr>
            <w:r>
              <w:rPr>
                <w:sz w:val="24"/>
                <w:szCs w:val="24"/>
              </w:rPr>
              <w:t>Уровень безработицы, %</w:t>
            </w:r>
          </w:p>
        </w:tc>
      </w:tr>
      <w:tr w:rsidR="005D1A61" w14:paraId="34AE27FD" w14:textId="77777777">
        <w:trPr>
          <w:trHeight w:val="240"/>
        </w:trPr>
        <w:tc>
          <w:tcPr>
            <w:tcW w:w="9570" w:type="dxa"/>
          </w:tcPr>
          <w:p w14:paraId="17C9D2F1" w14:textId="77777777" w:rsidR="005D1A61" w:rsidRDefault="0045737E" w:rsidP="007A0A25">
            <w:pPr>
              <w:spacing w:before="240" w:line="360" w:lineRule="auto"/>
              <w:jc w:val="both"/>
              <w:rPr>
                <w:sz w:val="24"/>
                <w:szCs w:val="24"/>
              </w:rPr>
            </w:pPr>
            <w:r>
              <w:rPr>
                <w:sz w:val="24"/>
                <w:szCs w:val="24"/>
              </w:rPr>
              <w:t xml:space="preserve">Фактически конечное потребление домашних хозяйств на территории субъектов РФ на душу населения в </w:t>
            </w:r>
            <w:proofErr w:type="gramStart"/>
            <w:r>
              <w:rPr>
                <w:sz w:val="24"/>
                <w:szCs w:val="24"/>
              </w:rPr>
              <w:t>ценах  2001</w:t>
            </w:r>
            <w:proofErr w:type="gramEnd"/>
            <w:r>
              <w:rPr>
                <w:sz w:val="24"/>
                <w:szCs w:val="24"/>
              </w:rPr>
              <w:t xml:space="preserve"> года.</w:t>
            </w:r>
          </w:p>
        </w:tc>
      </w:tr>
      <w:tr w:rsidR="005D1A61" w14:paraId="0F4A7F75" w14:textId="77777777">
        <w:trPr>
          <w:trHeight w:val="240"/>
        </w:trPr>
        <w:tc>
          <w:tcPr>
            <w:tcW w:w="9570" w:type="dxa"/>
          </w:tcPr>
          <w:p w14:paraId="1840F6D8" w14:textId="77777777" w:rsidR="005D1A61" w:rsidRDefault="0045737E">
            <w:pPr>
              <w:spacing w:line="360" w:lineRule="auto"/>
              <w:rPr>
                <w:sz w:val="24"/>
                <w:szCs w:val="24"/>
              </w:rPr>
            </w:pPr>
            <w:r>
              <w:rPr>
                <w:sz w:val="24"/>
                <w:szCs w:val="24"/>
              </w:rPr>
              <w:t>Площадь жилых помещений на 1 человека, метры квадратные</w:t>
            </w:r>
          </w:p>
        </w:tc>
      </w:tr>
      <w:tr w:rsidR="005D1A61" w14:paraId="3669BB40" w14:textId="77777777">
        <w:trPr>
          <w:trHeight w:val="240"/>
        </w:trPr>
        <w:tc>
          <w:tcPr>
            <w:tcW w:w="9570" w:type="dxa"/>
          </w:tcPr>
          <w:p w14:paraId="38086DD1" w14:textId="77777777" w:rsidR="005D1A61" w:rsidRDefault="0045737E">
            <w:pPr>
              <w:spacing w:line="360" w:lineRule="auto"/>
              <w:rPr>
                <w:sz w:val="24"/>
                <w:szCs w:val="24"/>
              </w:rPr>
            </w:pPr>
            <w:r>
              <w:rPr>
                <w:sz w:val="24"/>
                <w:szCs w:val="24"/>
              </w:rPr>
              <w:t>Коэффициент Джини</w:t>
            </w:r>
          </w:p>
        </w:tc>
      </w:tr>
      <w:tr w:rsidR="005D1A61" w14:paraId="127236A7" w14:textId="77777777">
        <w:trPr>
          <w:trHeight w:val="240"/>
        </w:trPr>
        <w:tc>
          <w:tcPr>
            <w:tcW w:w="9570" w:type="dxa"/>
          </w:tcPr>
          <w:p w14:paraId="1141554D" w14:textId="77777777" w:rsidR="005D1A61" w:rsidRDefault="0045737E">
            <w:pPr>
              <w:spacing w:line="360" w:lineRule="auto"/>
              <w:rPr>
                <w:sz w:val="24"/>
                <w:szCs w:val="24"/>
              </w:rPr>
            </w:pPr>
            <w:r>
              <w:rPr>
                <w:sz w:val="24"/>
                <w:szCs w:val="24"/>
              </w:rPr>
              <w:t>Численность населения на 1 больничную койку (на конец года, человек)</w:t>
            </w:r>
          </w:p>
        </w:tc>
      </w:tr>
      <w:tr w:rsidR="005D1A61" w14:paraId="2B8DF6DA" w14:textId="77777777">
        <w:trPr>
          <w:trHeight w:val="240"/>
        </w:trPr>
        <w:tc>
          <w:tcPr>
            <w:tcW w:w="9570" w:type="dxa"/>
          </w:tcPr>
          <w:p w14:paraId="42A769AD" w14:textId="77777777" w:rsidR="005D1A61" w:rsidRDefault="0045737E">
            <w:pPr>
              <w:spacing w:line="360" w:lineRule="auto"/>
              <w:rPr>
                <w:sz w:val="24"/>
                <w:szCs w:val="24"/>
              </w:rPr>
            </w:pPr>
            <w:r>
              <w:rPr>
                <w:sz w:val="24"/>
                <w:szCs w:val="24"/>
              </w:rPr>
              <w:t>Численность населения на одного работника среднего медицинского персонала</w:t>
            </w:r>
          </w:p>
        </w:tc>
      </w:tr>
      <w:tr w:rsidR="005D1A61" w14:paraId="468F2BC5" w14:textId="77777777">
        <w:trPr>
          <w:trHeight w:val="240"/>
        </w:trPr>
        <w:tc>
          <w:tcPr>
            <w:tcW w:w="9570" w:type="dxa"/>
          </w:tcPr>
          <w:p w14:paraId="0043DD58" w14:textId="77777777" w:rsidR="005D1A61" w:rsidRDefault="0045737E">
            <w:pPr>
              <w:spacing w:line="360" w:lineRule="auto"/>
              <w:rPr>
                <w:sz w:val="24"/>
                <w:szCs w:val="24"/>
              </w:rPr>
            </w:pPr>
            <w:r>
              <w:rPr>
                <w:sz w:val="24"/>
                <w:szCs w:val="24"/>
              </w:rPr>
              <w:t>Ввод в действие жилых домов на 1000 населения</w:t>
            </w:r>
          </w:p>
        </w:tc>
      </w:tr>
      <w:tr w:rsidR="005D1A61" w14:paraId="72A2F1C0" w14:textId="77777777">
        <w:tc>
          <w:tcPr>
            <w:tcW w:w="9570" w:type="dxa"/>
          </w:tcPr>
          <w:p w14:paraId="7D8F043F" w14:textId="77777777" w:rsidR="005D1A61" w:rsidRDefault="0045737E">
            <w:pPr>
              <w:spacing w:line="360" w:lineRule="auto"/>
              <w:rPr>
                <w:b/>
                <w:sz w:val="24"/>
                <w:szCs w:val="24"/>
              </w:rPr>
            </w:pPr>
            <w:r>
              <w:rPr>
                <w:b/>
                <w:sz w:val="24"/>
                <w:szCs w:val="24"/>
              </w:rPr>
              <w:t>Институциональная инфраструктура</w:t>
            </w:r>
          </w:p>
        </w:tc>
      </w:tr>
      <w:tr w:rsidR="005D1A61" w14:paraId="46814E88" w14:textId="77777777">
        <w:trPr>
          <w:trHeight w:val="240"/>
        </w:trPr>
        <w:tc>
          <w:tcPr>
            <w:tcW w:w="9570" w:type="dxa"/>
          </w:tcPr>
          <w:p w14:paraId="70213F2B" w14:textId="77777777" w:rsidR="005D1A61" w:rsidRDefault="0045737E">
            <w:pPr>
              <w:spacing w:line="360" w:lineRule="auto"/>
              <w:rPr>
                <w:sz w:val="24"/>
                <w:szCs w:val="24"/>
              </w:rPr>
            </w:pPr>
            <w:r>
              <w:rPr>
                <w:sz w:val="24"/>
                <w:szCs w:val="24"/>
              </w:rPr>
              <w:t>Инвестиции в основной капитал на душу населения в ценах 2001 года</w:t>
            </w:r>
          </w:p>
        </w:tc>
      </w:tr>
      <w:tr w:rsidR="005D1A61" w14:paraId="66550E98" w14:textId="77777777">
        <w:trPr>
          <w:trHeight w:val="240"/>
        </w:trPr>
        <w:tc>
          <w:tcPr>
            <w:tcW w:w="9570" w:type="dxa"/>
          </w:tcPr>
          <w:p w14:paraId="69AE7F43" w14:textId="77777777" w:rsidR="005D1A61" w:rsidRDefault="0045737E" w:rsidP="007A0A25">
            <w:pPr>
              <w:spacing w:before="240" w:line="360" w:lineRule="auto"/>
              <w:rPr>
                <w:sz w:val="24"/>
                <w:szCs w:val="24"/>
              </w:rPr>
            </w:pPr>
            <w:r>
              <w:rPr>
                <w:sz w:val="24"/>
                <w:szCs w:val="24"/>
              </w:rPr>
              <w:t>Доля межбюджетных трансфертов в консолидированном доходе региона</w:t>
            </w:r>
          </w:p>
        </w:tc>
      </w:tr>
      <w:tr w:rsidR="005D1A61" w14:paraId="5B71192A" w14:textId="77777777">
        <w:tc>
          <w:tcPr>
            <w:tcW w:w="9570" w:type="dxa"/>
          </w:tcPr>
          <w:p w14:paraId="681DD494" w14:textId="77777777" w:rsidR="005D1A61" w:rsidRDefault="0045737E">
            <w:pPr>
              <w:spacing w:line="360" w:lineRule="auto"/>
              <w:rPr>
                <w:b/>
                <w:sz w:val="24"/>
                <w:szCs w:val="24"/>
              </w:rPr>
            </w:pPr>
            <w:r>
              <w:rPr>
                <w:b/>
                <w:sz w:val="24"/>
                <w:szCs w:val="24"/>
              </w:rPr>
              <w:t>Интеллектуальная сфера</w:t>
            </w:r>
          </w:p>
        </w:tc>
      </w:tr>
      <w:tr w:rsidR="005D1A61" w14:paraId="3E95F6C9" w14:textId="77777777">
        <w:trPr>
          <w:trHeight w:val="240"/>
        </w:trPr>
        <w:tc>
          <w:tcPr>
            <w:tcW w:w="9570" w:type="dxa"/>
          </w:tcPr>
          <w:p w14:paraId="1CDF5393" w14:textId="77777777" w:rsidR="005D1A61" w:rsidRDefault="0045737E">
            <w:pPr>
              <w:spacing w:line="360" w:lineRule="auto"/>
              <w:rPr>
                <w:sz w:val="24"/>
                <w:szCs w:val="24"/>
              </w:rPr>
            </w:pPr>
            <w:r>
              <w:rPr>
                <w:sz w:val="24"/>
                <w:szCs w:val="24"/>
              </w:rPr>
              <w:t>Численность студентов среднего профессионального образования на 10000 человек</w:t>
            </w:r>
          </w:p>
        </w:tc>
      </w:tr>
      <w:tr w:rsidR="005D1A61" w14:paraId="3BE26B08" w14:textId="77777777">
        <w:trPr>
          <w:trHeight w:val="240"/>
        </w:trPr>
        <w:tc>
          <w:tcPr>
            <w:tcW w:w="9570" w:type="dxa"/>
          </w:tcPr>
          <w:p w14:paraId="1A294255" w14:textId="77777777" w:rsidR="005D1A61" w:rsidRDefault="0045737E">
            <w:pPr>
              <w:spacing w:line="360" w:lineRule="auto"/>
              <w:rPr>
                <w:sz w:val="24"/>
                <w:szCs w:val="24"/>
              </w:rPr>
            </w:pPr>
            <w:r>
              <w:rPr>
                <w:sz w:val="24"/>
                <w:szCs w:val="24"/>
              </w:rPr>
              <w:lastRenderedPageBreak/>
              <w:t>Численность студентов высшего образования на 10000 человек</w:t>
            </w:r>
          </w:p>
        </w:tc>
      </w:tr>
    </w:tbl>
    <w:p w14:paraId="7830D590" w14:textId="77777777" w:rsidR="005D1A61" w:rsidRDefault="005D1A61">
      <w:pPr>
        <w:spacing w:line="360" w:lineRule="auto"/>
        <w:jc w:val="both"/>
        <w:rPr>
          <w:sz w:val="24"/>
          <w:szCs w:val="24"/>
        </w:rPr>
      </w:pPr>
    </w:p>
    <w:p w14:paraId="047DF658" w14:textId="77777777" w:rsidR="005D1A61" w:rsidRDefault="0045737E" w:rsidP="007A0A25">
      <w:pPr>
        <w:spacing w:after="0" w:line="360" w:lineRule="auto"/>
        <w:ind w:firstLine="851"/>
        <w:jc w:val="both"/>
        <w:rPr>
          <w:sz w:val="24"/>
          <w:szCs w:val="24"/>
        </w:rPr>
      </w:pPr>
      <w:r>
        <w:rPr>
          <w:sz w:val="24"/>
          <w:szCs w:val="24"/>
        </w:rPr>
        <w:t>Также предлагается рассмотреть условно-постоянные природно-климатические условия федерального округа в территориально-экологической сфере для того, чтобы понимать условия протекания процессов в рассматриваемых регионах.</w:t>
      </w:r>
    </w:p>
    <w:p w14:paraId="6F60395A" w14:textId="77777777" w:rsidR="005D1A61" w:rsidRDefault="0045737E" w:rsidP="007A0A25">
      <w:pPr>
        <w:spacing w:after="0" w:line="360" w:lineRule="auto"/>
        <w:ind w:firstLine="851"/>
        <w:jc w:val="both"/>
        <w:rPr>
          <w:sz w:val="24"/>
          <w:szCs w:val="24"/>
        </w:rPr>
      </w:pPr>
      <w:r>
        <w:rPr>
          <w:sz w:val="24"/>
          <w:szCs w:val="24"/>
        </w:rPr>
        <w:t xml:space="preserve">Необходимо дополнительно отметить, что разделение показателей по сферам является условным, так как при тесной взаимосвязи всех процессов и явлений в регионах невозможно взаимоисключающе отнести к той или иной сфере каждый показатель, поэтому такая степень абстракции необходима в данном случае. Важным замечанием относительно выбранных показателей является уделение большого внимания социальным аспектам жизнедеятельности. Это сделано осознанно, поскольку Ханты-Мансийский автономный округ и Ямало-Ненецкий автономный округ имеют значительные доходы от добычи топливно-энергетических ресурсов, которые отражаются в общем объеме ВРП, но, при большой степени перераспределения этих доходов, реальное положение дел в округах может искажаться. </w:t>
      </w:r>
    </w:p>
    <w:p w14:paraId="5985120D" w14:textId="77777777" w:rsidR="005D1A61" w:rsidRDefault="0045737E">
      <w:pPr>
        <w:pStyle w:val="1"/>
        <w:spacing w:line="360" w:lineRule="auto"/>
        <w:jc w:val="center"/>
        <w:rPr>
          <w:sz w:val="28"/>
          <w:szCs w:val="28"/>
        </w:rPr>
      </w:pPr>
      <w:bookmarkStart w:id="8" w:name="_Toc136642116"/>
      <w:bookmarkStart w:id="9" w:name="_Toc136642359"/>
      <w:r>
        <w:rPr>
          <w:sz w:val="28"/>
          <w:szCs w:val="28"/>
        </w:rPr>
        <w:t>1.3. Подходы и методы оценки дифференциации</w:t>
      </w:r>
      <w:bookmarkEnd w:id="8"/>
      <w:bookmarkEnd w:id="9"/>
    </w:p>
    <w:p w14:paraId="61126D57" w14:textId="77777777" w:rsidR="005D1A61" w:rsidRDefault="0045737E" w:rsidP="007A0A25">
      <w:pPr>
        <w:spacing w:after="0" w:line="360" w:lineRule="auto"/>
        <w:ind w:firstLine="851"/>
        <w:jc w:val="both"/>
        <w:rPr>
          <w:sz w:val="24"/>
          <w:szCs w:val="24"/>
        </w:rPr>
      </w:pPr>
      <w:r>
        <w:rPr>
          <w:sz w:val="24"/>
          <w:szCs w:val="24"/>
        </w:rPr>
        <w:t xml:space="preserve">В работах </w:t>
      </w:r>
      <w:proofErr w:type="spellStart"/>
      <w:r>
        <w:rPr>
          <w:sz w:val="24"/>
          <w:szCs w:val="24"/>
        </w:rPr>
        <w:t>регионалистов</w:t>
      </w:r>
      <w:proofErr w:type="spellEnd"/>
      <w:r>
        <w:rPr>
          <w:sz w:val="24"/>
          <w:szCs w:val="24"/>
        </w:rPr>
        <w:t xml:space="preserve"> и исследователей смежных направлений чаще всего при изучении дифференциации встречается классический экономико-географический метод – сравнительно-описательный, который заключается в описании процессов в обществе на основе выделенных показателей и сравнении территорий, выявлении общих черт и различий, их интерпретации. </w:t>
      </w:r>
    </w:p>
    <w:p w14:paraId="1AF97CAC" w14:textId="77777777" w:rsidR="005D1A61" w:rsidRDefault="0045737E" w:rsidP="007A0A25">
      <w:pPr>
        <w:spacing w:after="0" w:line="360" w:lineRule="auto"/>
        <w:ind w:firstLine="851"/>
        <w:jc w:val="both"/>
        <w:rPr>
          <w:sz w:val="24"/>
          <w:szCs w:val="24"/>
        </w:rPr>
      </w:pPr>
      <w:r>
        <w:rPr>
          <w:sz w:val="24"/>
          <w:szCs w:val="24"/>
        </w:rPr>
        <w:t>Для перехода от описания и сравнений регионов по отдельным показателям к комплексной оценке необходимо привести полученные данные к единой системе исчисления. Такую функцию выполняет метод ранжирования и рейтинговых оценок, который заключается в упорядочивании исследуемых объектов по критерию и выставлении баллов каждому в соответствии с местом нахождения в списке. Балльная оценка является безразмерной, поэтому становится возможным путем суммирования оценок по всем показателям составить интегральную оценку, которая будет комплексно отображать развитие региона. Метод ранжирования и рейтинговых оценок имеет следующие свойства:</w:t>
      </w:r>
    </w:p>
    <w:p w14:paraId="703092B2" w14:textId="77777777" w:rsidR="005D1A61" w:rsidRPr="007A0A25" w:rsidRDefault="0045737E" w:rsidP="007A0A25">
      <w:pPr>
        <w:pStyle w:val="ac"/>
        <w:numPr>
          <w:ilvl w:val="0"/>
          <w:numId w:val="5"/>
        </w:numPr>
        <w:pBdr>
          <w:top w:val="nil"/>
          <w:left w:val="nil"/>
          <w:bottom w:val="nil"/>
          <w:right w:val="nil"/>
          <w:between w:val="nil"/>
        </w:pBdr>
        <w:spacing w:after="0" w:line="360" w:lineRule="auto"/>
        <w:jc w:val="both"/>
        <w:rPr>
          <w:sz w:val="24"/>
          <w:szCs w:val="24"/>
        </w:rPr>
      </w:pPr>
      <w:r w:rsidRPr="007A0A25">
        <w:rPr>
          <w:color w:val="000000"/>
          <w:sz w:val="24"/>
          <w:szCs w:val="24"/>
        </w:rPr>
        <w:t>результаты оценки зависимы от количества индикаторов – при относительно малом их количестве интегральная оценка с добавлением одного может значительно изменяться, однако это возможно нивелировать большим количеством оценок;</w:t>
      </w:r>
    </w:p>
    <w:p w14:paraId="1278AA0F" w14:textId="77777777" w:rsidR="005D1A61" w:rsidRPr="007A0A25" w:rsidRDefault="0045737E" w:rsidP="007A0A25">
      <w:pPr>
        <w:pStyle w:val="ac"/>
        <w:numPr>
          <w:ilvl w:val="0"/>
          <w:numId w:val="5"/>
        </w:numPr>
        <w:pBdr>
          <w:top w:val="nil"/>
          <w:left w:val="nil"/>
          <w:bottom w:val="nil"/>
          <w:right w:val="nil"/>
          <w:between w:val="nil"/>
        </w:pBdr>
        <w:spacing w:after="0" w:line="360" w:lineRule="auto"/>
        <w:jc w:val="both"/>
        <w:rPr>
          <w:sz w:val="24"/>
          <w:szCs w:val="24"/>
        </w:rPr>
      </w:pPr>
      <w:r w:rsidRPr="007A0A25">
        <w:rPr>
          <w:color w:val="000000"/>
          <w:sz w:val="24"/>
          <w:szCs w:val="24"/>
        </w:rPr>
        <w:lastRenderedPageBreak/>
        <w:t>объекты, близкие по значениям оценки возможно сгруппировать, что дает возможность с одной стороны нивелировать статистические выбросы, а с другой стороны дает возможность усовершенствовать региональную политику в отношении объектов исследования;</w:t>
      </w:r>
    </w:p>
    <w:p w14:paraId="3A20AA70" w14:textId="77777777" w:rsidR="005D1A61" w:rsidRPr="007A0A25" w:rsidRDefault="0045737E" w:rsidP="007A0A25">
      <w:pPr>
        <w:pStyle w:val="ac"/>
        <w:numPr>
          <w:ilvl w:val="0"/>
          <w:numId w:val="5"/>
        </w:numPr>
        <w:pBdr>
          <w:top w:val="nil"/>
          <w:left w:val="nil"/>
          <w:bottom w:val="nil"/>
          <w:right w:val="nil"/>
          <w:between w:val="nil"/>
        </w:pBdr>
        <w:spacing w:after="0" w:line="360" w:lineRule="auto"/>
        <w:jc w:val="both"/>
        <w:rPr>
          <w:sz w:val="24"/>
          <w:szCs w:val="24"/>
        </w:rPr>
      </w:pPr>
      <w:r w:rsidRPr="007A0A25">
        <w:rPr>
          <w:color w:val="000000"/>
          <w:sz w:val="24"/>
          <w:szCs w:val="24"/>
        </w:rPr>
        <w:t>комплексная или интегральная оценка может быть искажена за счет нивелирования низких показателей высокими, что в действительности не будет отображать действительного благополучия региона, однако этого возможно избежать при рассмотрении отдельных индикаторов или промежуточных интегральных оценок;</w:t>
      </w:r>
    </w:p>
    <w:p w14:paraId="12374BE1" w14:textId="77777777" w:rsidR="005D1A61" w:rsidRPr="007A0A25" w:rsidRDefault="0045737E" w:rsidP="007A0A25">
      <w:pPr>
        <w:pStyle w:val="ac"/>
        <w:numPr>
          <w:ilvl w:val="0"/>
          <w:numId w:val="5"/>
        </w:numPr>
        <w:pBdr>
          <w:top w:val="nil"/>
          <w:left w:val="nil"/>
          <w:bottom w:val="nil"/>
          <w:right w:val="nil"/>
          <w:between w:val="nil"/>
        </w:pBdr>
        <w:spacing w:after="0" w:line="360" w:lineRule="auto"/>
        <w:jc w:val="both"/>
        <w:rPr>
          <w:sz w:val="24"/>
          <w:szCs w:val="24"/>
        </w:rPr>
      </w:pPr>
      <w:r w:rsidRPr="007A0A25">
        <w:rPr>
          <w:color w:val="000000"/>
          <w:sz w:val="24"/>
          <w:szCs w:val="24"/>
        </w:rPr>
        <w:t>неравнозначность индикаторов при несбалансированном их подборе может также исказить реальную картину социально-экономического положения территорий, что в целом возможно принять во внимание путем назначения отдельным индикаторам весов, что возможно экзогенным путем (метод экспертных оценок), но добавляет субъективизма в оценку, и эндогенным путем.</w:t>
      </w:r>
    </w:p>
    <w:p w14:paraId="6E66AB43" w14:textId="77777777" w:rsidR="005D1A61" w:rsidRDefault="0045737E" w:rsidP="007A0A25">
      <w:pPr>
        <w:spacing w:after="0" w:line="360" w:lineRule="auto"/>
        <w:ind w:firstLine="851"/>
        <w:jc w:val="both"/>
        <w:rPr>
          <w:sz w:val="24"/>
          <w:szCs w:val="24"/>
        </w:rPr>
      </w:pPr>
      <w:r>
        <w:rPr>
          <w:sz w:val="24"/>
          <w:szCs w:val="24"/>
        </w:rPr>
        <w:t xml:space="preserve">Также существуют иные методы сравнения показателей и комплексной оценки развития региона или территории, которые лучше отражают картину по определенным показателям. Так метод сравнения на основе обобщенных весов заключается в отношении показателя к среднероссийскому уровню. Этот метод имеет ограничение в том, что для интегрирования показателей все уровни должны быть </w:t>
      </w:r>
      <w:proofErr w:type="spellStart"/>
      <w:r>
        <w:rPr>
          <w:sz w:val="24"/>
          <w:szCs w:val="24"/>
        </w:rPr>
        <w:t>однонаправлены</w:t>
      </w:r>
      <w:proofErr w:type="spellEnd"/>
      <w:r>
        <w:rPr>
          <w:sz w:val="24"/>
          <w:szCs w:val="24"/>
        </w:rPr>
        <w:t>, например, условно чем больше ВРП на душу населения, тем лучше, и все остальные интегрируемые показатели должны соответствовать этому же принципу, то есть в этом примере показатель преступности нельзя включать в конечную оценку. В итоге получается двухкомпонентное сравнение на основе среднего значения отношения уровней к среднему по стране и частные коэффициенты вариации этих отношений. В целом, метод может использоваться как один из этапов обобщения данных перед ранжированием.</w:t>
      </w:r>
    </w:p>
    <w:p w14:paraId="73C50FD7" w14:textId="77777777" w:rsidR="005D1A61" w:rsidRPr="00F80D58" w:rsidRDefault="0045737E" w:rsidP="007A0A25">
      <w:pPr>
        <w:spacing w:after="0" w:line="360" w:lineRule="auto"/>
        <w:ind w:firstLine="851"/>
        <w:jc w:val="both"/>
        <w:rPr>
          <w:sz w:val="24"/>
          <w:szCs w:val="24"/>
        </w:rPr>
      </w:pPr>
      <w:r>
        <w:rPr>
          <w:sz w:val="24"/>
          <w:szCs w:val="24"/>
        </w:rPr>
        <w:t xml:space="preserve">Имеют место и иные методы сравнения развития, например, сравнение на основе построения индексов объективных различий территорий и сравнение территорий с помощью метода адаптивной структуризации пространства показателей, однако они </w:t>
      </w:r>
      <w:r w:rsidRPr="00F80D58">
        <w:rPr>
          <w:sz w:val="24"/>
          <w:szCs w:val="24"/>
        </w:rPr>
        <w:t>сложны в вычислениях, а сравнение результатов, полученных разными методами с методом ранжирования и рейтинговых оценок показало, что разница в результатах не более 20% (</w:t>
      </w:r>
      <w:proofErr w:type="spellStart"/>
      <w:r w:rsidRPr="00F80D58">
        <w:rPr>
          <w:sz w:val="24"/>
          <w:szCs w:val="24"/>
        </w:rPr>
        <w:t>Суспицын</w:t>
      </w:r>
      <w:proofErr w:type="spellEnd"/>
      <w:r w:rsidRPr="00F80D58">
        <w:rPr>
          <w:sz w:val="24"/>
          <w:szCs w:val="24"/>
        </w:rPr>
        <w:t>, 2014).</w:t>
      </w:r>
    </w:p>
    <w:p w14:paraId="69FD9786" w14:textId="77777777" w:rsidR="005D1A61" w:rsidRDefault="0045737E" w:rsidP="007A0A25">
      <w:pPr>
        <w:spacing w:after="0" w:line="360" w:lineRule="auto"/>
        <w:ind w:firstLine="851"/>
        <w:jc w:val="both"/>
        <w:rPr>
          <w:sz w:val="24"/>
          <w:szCs w:val="24"/>
        </w:rPr>
      </w:pPr>
      <w:r w:rsidRPr="00F80D58">
        <w:rPr>
          <w:sz w:val="24"/>
          <w:szCs w:val="24"/>
        </w:rPr>
        <w:t>Сравнения и описания помогают в первичной оценке дифференциации, однако они не позволяют оценить степень</w:t>
      </w:r>
      <w:r>
        <w:rPr>
          <w:sz w:val="24"/>
          <w:szCs w:val="24"/>
        </w:rPr>
        <w:t xml:space="preserve"> отличий показателей. Для этого есть достаточный математический инструментарий, позволяющий с разных сторон оценить различия и </w:t>
      </w:r>
      <w:r>
        <w:rPr>
          <w:sz w:val="24"/>
          <w:szCs w:val="24"/>
        </w:rPr>
        <w:lastRenderedPageBreak/>
        <w:t>получить новую информацию о трендах и закономерностях в развитии регионов. Сводная таблица набора математических инструментов (формулы 1 – 7) приведена в таблице 2.</w:t>
      </w:r>
    </w:p>
    <w:p w14:paraId="40AAE997" w14:textId="77777777" w:rsidR="005D1A61" w:rsidRDefault="0045737E">
      <w:pPr>
        <w:spacing w:line="360" w:lineRule="auto"/>
        <w:jc w:val="both"/>
        <w:rPr>
          <w:sz w:val="24"/>
          <w:szCs w:val="24"/>
        </w:rPr>
      </w:pPr>
      <w:r>
        <w:rPr>
          <w:sz w:val="24"/>
          <w:szCs w:val="24"/>
        </w:rPr>
        <w:t>Таблица 3. Математические инструменты оценки дифференциации.</w:t>
      </w:r>
    </w:p>
    <w:tbl>
      <w:tblPr>
        <w:tblStyle w:val="30"/>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4009"/>
        <w:gridCol w:w="3327"/>
      </w:tblGrid>
      <w:tr w:rsidR="005D1A61" w14:paraId="22E24915" w14:textId="77777777">
        <w:tc>
          <w:tcPr>
            <w:tcW w:w="2235" w:type="dxa"/>
          </w:tcPr>
          <w:p w14:paraId="77D00DA2" w14:textId="77777777" w:rsidR="005D1A61" w:rsidRDefault="0045737E">
            <w:pPr>
              <w:spacing w:line="360" w:lineRule="auto"/>
              <w:jc w:val="both"/>
              <w:rPr>
                <w:sz w:val="24"/>
                <w:szCs w:val="24"/>
              </w:rPr>
            </w:pPr>
            <w:r>
              <w:rPr>
                <w:sz w:val="24"/>
                <w:szCs w:val="24"/>
              </w:rPr>
              <w:t>Способ</w:t>
            </w:r>
          </w:p>
        </w:tc>
        <w:tc>
          <w:tcPr>
            <w:tcW w:w="4009" w:type="dxa"/>
          </w:tcPr>
          <w:p w14:paraId="03A80082" w14:textId="77777777" w:rsidR="005D1A61" w:rsidRDefault="0045737E">
            <w:pPr>
              <w:spacing w:line="360" w:lineRule="auto"/>
              <w:jc w:val="both"/>
              <w:rPr>
                <w:sz w:val="24"/>
                <w:szCs w:val="24"/>
              </w:rPr>
            </w:pPr>
            <w:r>
              <w:rPr>
                <w:sz w:val="24"/>
                <w:szCs w:val="24"/>
              </w:rPr>
              <w:t>Формула</w:t>
            </w:r>
          </w:p>
        </w:tc>
        <w:tc>
          <w:tcPr>
            <w:tcW w:w="3327" w:type="dxa"/>
          </w:tcPr>
          <w:p w14:paraId="5F282A0E" w14:textId="77777777" w:rsidR="005D1A61" w:rsidRDefault="0045737E">
            <w:pPr>
              <w:spacing w:line="360" w:lineRule="auto"/>
              <w:jc w:val="both"/>
              <w:rPr>
                <w:sz w:val="24"/>
                <w:szCs w:val="24"/>
              </w:rPr>
            </w:pPr>
            <w:r>
              <w:rPr>
                <w:sz w:val="24"/>
                <w:szCs w:val="24"/>
              </w:rPr>
              <w:t>Обозначения</w:t>
            </w:r>
          </w:p>
        </w:tc>
      </w:tr>
      <w:tr w:rsidR="005D1A61" w14:paraId="012F4E40" w14:textId="77777777">
        <w:tc>
          <w:tcPr>
            <w:tcW w:w="2235" w:type="dxa"/>
          </w:tcPr>
          <w:p w14:paraId="5E1A76FB" w14:textId="77777777" w:rsidR="005D1A61" w:rsidRDefault="0045737E">
            <w:pPr>
              <w:spacing w:line="360" w:lineRule="auto"/>
              <w:jc w:val="both"/>
              <w:rPr>
                <w:sz w:val="24"/>
                <w:szCs w:val="24"/>
              </w:rPr>
            </w:pPr>
            <w:r>
              <w:rPr>
                <w:sz w:val="24"/>
                <w:szCs w:val="24"/>
              </w:rPr>
              <w:t xml:space="preserve">Коэффициент разрыва полярных значений </w:t>
            </w:r>
          </w:p>
        </w:tc>
        <w:tc>
          <w:tcPr>
            <w:tcW w:w="4009" w:type="dxa"/>
          </w:tcPr>
          <w:p w14:paraId="3853588C" w14:textId="77777777" w:rsidR="005D1A61" w:rsidRDefault="0045737E">
            <w:pPr>
              <w:spacing w:line="360" w:lineRule="auto"/>
              <w:jc w:val="both"/>
              <w:rPr>
                <w:sz w:val="24"/>
                <w:szCs w:val="24"/>
              </w:rPr>
            </w:pPr>
            <m:oMath>
              <m:r>
                <w:rPr>
                  <w:rFonts w:ascii="Cambria Math" w:hAnsi="Cambria Math"/>
                  <w:sz w:val="24"/>
                  <w:szCs w:val="24"/>
                </w:rPr>
                <m:t>CR=</m:t>
              </m:r>
              <m:f>
                <m:fPr>
                  <m:ctrlPr>
                    <w:rPr>
                      <w:rFonts w:ascii="Cambria Math" w:hAnsi="Cambria Math"/>
                      <w:sz w:val="24"/>
                      <w:szCs w:val="24"/>
                    </w:rPr>
                  </m:ctrlPr>
                </m:fPr>
                <m:num>
                  <m:r>
                    <w:rPr>
                      <w:rFonts w:ascii="Cambria Math" w:hAnsi="Cambria Math"/>
                      <w:sz w:val="24"/>
                      <w:szCs w:val="24"/>
                    </w:rPr>
                    <m:t>Xmax</m:t>
                  </m:r>
                </m:num>
                <m:den>
                  <m:r>
                    <w:rPr>
                      <w:rFonts w:ascii="Cambria Math" w:hAnsi="Cambria Math"/>
                      <w:sz w:val="24"/>
                      <w:szCs w:val="24"/>
                    </w:rPr>
                    <m:t>Xmin</m:t>
                  </m:r>
                </m:den>
              </m:f>
            </m:oMath>
            <w:r>
              <w:rPr>
                <w:sz w:val="24"/>
                <w:szCs w:val="24"/>
              </w:rPr>
              <w:t xml:space="preserve">    (1)</w:t>
            </w:r>
          </w:p>
        </w:tc>
        <w:tc>
          <w:tcPr>
            <w:tcW w:w="3327" w:type="dxa"/>
          </w:tcPr>
          <w:p w14:paraId="7078B2C5" w14:textId="77777777" w:rsidR="005D1A61" w:rsidRDefault="0045737E">
            <w:pPr>
              <w:spacing w:line="360" w:lineRule="auto"/>
              <w:jc w:val="both"/>
              <w:rPr>
                <w:sz w:val="24"/>
                <w:szCs w:val="24"/>
              </w:rPr>
            </w:pPr>
            <w:proofErr w:type="spellStart"/>
            <w:r>
              <w:rPr>
                <w:sz w:val="24"/>
                <w:szCs w:val="24"/>
              </w:rPr>
              <w:t>Xmax</w:t>
            </w:r>
            <w:proofErr w:type="spellEnd"/>
            <w:r>
              <w:rPr>
                <w:sz w:val="24"/>
                <w:szCs w:val="24"/>
              </w:rPr>
              <w:t xml:space="preserve"> – максимальное значение;</w:t>
            </w:r>
          </w:p>
          <w:p w14:paraId="616F2D72" w14:textId="77777777" w:rsidR="005D1A61" w:rsidRDefault="0045737E">
            <w:pPr>
              <w:spacing w:line="360" w:lineRule="auto"/>
              <w:jc w:val="both"/>
              <w:rPr>
                <w:sz w:val="24"/>
                <w:szCs w:val="24"/>
              </w:rPr>
            </w:pPr>
            <w:proofErr w:type="spellStart"/>
            <w:r>
              <w:rPr>
                <w:sz w:val="24"/>
                <w:szCs w:val="24"/>
              </w:rPr>
              <w:t>Xmin</w:t>
            </w:r>
            <w:proofErr w:type="spellEnd"/>
            <w:r>
              <w:rPr>
                <w:sz w:val="24"/>
                <w:szCs w:val="24"/>
              </w:rPr>
              <w:t xml:space="preserve"> – минимальное значение</w:t>
            </w:r>
          </w:p>
        </w:tc>
      </w:tr>
      <w:tr w:rsidR="005D1A61" w14:paraId="038B94F3" w14:textId="77777777">
        <w:tc>
          <w:tcPr>
            <w:tcW w:w="2235" w:type="dxa"/>
          </w:tcPr>
          <w:p w14:paraId="0ED9ACF1" w14:textId="77777777" w:rsidR="005D1A61" w:rsidRDefault="0045737E">
            <w:pPr>
              <w:spacing w:line="360" w:lineRule="auto"/>
              <w:jc w:val="both"/>
              <w:rPr>
                <w:sz w:val="24"/>
                <w:szCs w:val="24"/>
              </w:rPr>
            </w:pPr>
            <w:r>
              <w:rPr>
                <w:sz w:val="24"/>
                <w:szCs w:val="24"/>
              </w:rPr>
              <w:t>Размах вариации</w:t>
            </w:r>
          </w:p>
        </w:tc>
        <w:tc>
          <w:tcPr>
            <w:tcW w:w="4009" w:type="dxa"/>
          </w:tcPr>
          <w:p w14:paraId="4FCC5C2A" w14:textId="77777777" w:rsidR="005D1A61" w:rsidRDefault="0045737E">
            <w:pPr>
              <w:spacing w:line="360" w:lineRule="auto"/>
              <w:jc w:val="both"/>
              <w:rPr>
                <w:sz w:val="24"/>
                <w:szCs w:val="24"/>
              </w:rPr>
            </w:pPr>
            <m:oMath>
              <m:r>
                <w:rPr>
                  <w:rFonts w:ascii="Cambria Math" w:hAnsi="Cambria Math"/>
                  <w:sz w:val="24"/>
                  <w:szCs w:val="24"/>
                </w:rPr>
                <m:t>R=Xmax-Xmin</m:t>
              </m:r>
            </m:oMath>
            <w:r>
              <w:rPr>
                <w:sz w:val="24"/>
                <w:szCs w:val="24"/>
              </w:rPr>
              <w:t xml:space="preserve">    (2)</w:t>
            </w:r>
          </w:p>
        </w:tc>
        <w:tc>
          <w:tcPr>
            <w:tcW w:w="3327" w:type="dxa"/>
          </w:tcPr>
          <w:p w14:paraId="6DF88897" w14:textId="77777777" w:rsidR="005D1A61" w:rsidRDefault="0045737E">
            <w:pPr>
              <w:spacing w:line="360" w:lineRule="auto"/>
              <w:jc w:val="both"/>
              <w:rPr>
                <w:sz w:val="24"/>
                <w:szCs w:val="24"/>
              </w:rPr>
            </w:pPr>
            <w:r>
              <w:rPr>
                <w:sz w:val="24"/>
                <w:szCs w:val="24"/>
              </w:rPr>
              <w:t>K – коэффициент размаха вариаций;</w:t>
            </w:r>
          </w:p>
          <w:p w14:paraId="729CFC64" w14:textId="77777777" w:rsidR="005D1A61" w:rsidRDefault="0045737E">
            <w:pPr>
              <w:spacing w:line="360" w:lineRule="auto"/>
              <w:jc w:val="both"/>
              <w:rPr>
                <w:sz w:val="24"/>
                <w:szCs w:val="24"/>
              </w:rPr>
            </w:pPr>
            <w:proofErr w:type="spellStart"/>
            <w:r>
              <w:rPr>
                <w:sz w:val="24"/>
                <w:szCs w:val="24"/>
              </w:rPr>
              <w:t>Xmax</w:t>
            </w:r>
            <w:proofErr w:type="spellEnd"/>
            <w:r>
              <w:rPr>
                <w:sz w:val="24"/>
                <w:szCs w:val="24"/>
              </w:rPr>
              <w:t xml:space="preserve"> – максимальное значение;</w:t>
            </w:r>
          </w:p>
          <w:p w14:paraId="0B8B8C21" w14:textId="77777777" w:rsidR="005D1A61" w:rsidRDefault="0045737E">
            <w:pPr>
              <w:spacing w:line="360" w:lineRule="auto"/>
              <w:jc w:val="both"/>
              <w:rPr>
                <w:sz w:val="24"/>
                <w:szCs w:val="24"/>
              </w:rPr>
            </w:pPr>
            <w:proofErr w:type="spellStart"/>
            <w:r>
              <w:rPr>
                <w:sz w:val="24"/>
                <w:szCs w:val="24"/>
              </w:rPr>
              <w:t>Xmin</w:t>
            </w:r>
            <w:proofErr w:type="spellEnd"/>
            <w:r>
              <w:rPr>
                <w:sz w:val="24"/>
                <w:szCs w:val="24"/>
              </w:rPr>
              <w:t xml:space="preserve"> – минимальное значение</w:t>
            </w:r>
          </w:p>
        </w:tc>
      </w:tr>
      <w:tr w:rsidR="005D1A61" w14:paraId="7589852C" w14:textId="77777777">
        <w:tc>
          <w:tcPr>
            <w:tcW w:w="2235" w:type="dxa"/>
          </w:tcPr>
          <w:p w14:paraId="1CDDE248" w14:textId="77777777" w:rsidR="005D1A61" w:rsidRDefault="0045737E">
            <w:pPr>
              <w:spacing w:line="360" w:lineRule="auto"/>
              <w:jc w:val="both"/>
              <w:rPr>
                <w:sz w:val="24"/>
                <w:szCs w:val="24"/>
              </w:rPr>
            </w:pPr>
            <w:r>
              <w:rPr>
                <w:sz w:val="24"/>
                <w:szCs w:val="24"/>
              </w:rPr>
              <w:t>Стандартное отклонение</w:t>
            </w:r>
          </w:p>
        </w:tc>
        <w:tc>
          <w:tcPr>
            <w:tcW w:w="4009" w:type="dxa"/>
          </w:tcPr>
          <w:p w14:paraId="073E99E2" w14:textId="77777777" w:rsidR="005D1A61" w:rsidRDefault="0045737E">
            <w:pPr>
              <w:spacing w:line="360" w:lineRule="auto"/>
              <w:jc w:val="both"/>
              <w:rPr>
                <w:sz w:val="24"/>
                <w:szCs w:val="24"/>
              </w:rPr>
            </w:pPr>
            <m:oMath>
              <m:r>
                <w:rPr>
                  <w:rFonts w:ascii="Cambria Math" w:hAnsi="Cambria Math"/>
                  <w:sz w:val="24"/>
                  <w:szCs w:val="24"/>
                </w:rPr>
                <m:t xml:space="preserve">σ= </m:t>
              </m:r>
              <m:rad>
                <m:radPr>
                  <m:degHide m:val="1"/>
                  <m:ctrlPr>
                    <w:rPr>
                      <w:rFonts w:ascii="Cambria Math" w:hAnsi="Cambria Math"/>
                      <w:sz w:val="24"/>
                      <w:szCs w:val="24"/>
                    </w:rPr>
                  </m:ctrlPr>
                </m:radPr>
                <m:deg/>
                <m:e>
                  <m:f>
                    <m:fPr>
                      <m:ctrlPr>
                        <w:rPr>
                          <w:rFonts w:ascii="Cambria Math" w:hAnsi="Cambria Math"/>
                          <w:sz w:val="24"/>
                          <w:szCs w:val="24"/>
                        </w:rPr>
                      </m:ctrlPr>
                    </m:fPr>
                    <m:num>
                      <m:sSup>
                        <m:sSupPr>
                          <m:ctrlPr>
                            <w:rPr>
                              <w:rFonts w:ascii="Cambria Math" w:hAnsi="Cambria Math"/>
                              <w:sz w:val="24"/>
                              <w:szCs w:val="24"/>
                            </w:rPr>
                          </m:ctrlPr>
                        </m:sSupPr>
                        <m:e>
                          <m:nary>
                            <m:naryPr>
                              <m:chr m:val="∑"/>
                              <m:ctrlPr>
                                <w:rPr>
                                  <w:rFonts w:ascii="Cambria Math" w:hAnsi="Cambria Math"/>
                                  <w:sz w:val="24"/>
                                  <w:szCs w:val="24"/>
                                </w:rPr>
                              </m:ctrlPr>
                            </m:naryPr>
                            <m:sub/>
                            <m:sup/>
                            <m:e/>
                          </m:nary>
                          <m:r>
                            <w:rPr>
                              <w:rFonts w:ascii="Cambria Math" w:hAnsi="Cambria Math"/>
                              <w:sz w:val="24"/>
                              <w:szCs w:val="24"/>
                            </w:rPr>
                            <m:t>(x- μ)</m:t>
                          </m:r>
                        </m:e>
                        <m:sup>
                          <m:r>
                            <w:rPr>
                              <w:rFonts w:ascii="Cambria Math" w:hAnsi="Cambria Math"/>
                              <w:sz w:val="24"/>
                              <w:szCs w:val="24"/>
                            </w:rPr>
                            <m:t>2</m:t>
                          </m:r>
                        </m:sup>
                      </m:sSup>
                    </m:num>
                    <m:den>
                      <m:r>
                        <w:rPr>
                          <w:rFonts w:ascii="Cambria Math" w:hAnsi="Cambria Math"/>
                          <w:sz w:val="24"/>
                          <w:szCs w:val="24"/>
                        </w:rPr>
                        <m:t>n</m:t>
                      </m:r>
                    </m:den>
                  </m:f>
                </m:e>
              </m:rad>
              <m:r>
                <w:rPr>
                  <w:rFonts w:ascii="Cambria Math" w:hAnsi="Cambria Math"/>
                  <w:sz w:val="24"/>
                  <w:szCs w:val="24"/>
                </w:rPr>
                <m:t xml:space="preserve"> </m:t>
              </m:r>
            </m:oMath>
            <w:r>
              <w:rPr>
                <w:sz w:val="24"/>
                <w:szCs w:val="24"/>
              </w:rPr>
              <w:t xml:space="preserve">    (3)</w:t>
            </w:r>
          </w:p>
        </w:tc>
        <w:tc>
          <w:tcPr>
            <w:tcW w:w="3327" w:type="dxa"/>
          </w:tcPr>
          <w:p w14:paraId="07A22FA6" w14:textId="77777777" w:rsidR="005D1A61" w:rsidRDefault="0045737E">
            <w:pPr>
              <w:spacing w:line="360" w:lineRule="auto"/>
              <w:jc w:val="both"/>
              <w:rPr>
                <w:sz w:val="24"/>
                <w:szCs w:val="24"/>
              </w:rPr>
            </w:pPr>
            <w:r>
              <w:rPr>
                <w:sz w:val="24"/>
                <w:szCs w:val="24"/>
              </w:rPr>
              <w:t>μ – среднее значение</w:t>
            </w:r>
          </w:p>
          <w:p w14:paraId="740A9DC9" w14:textId="77777777" w:rsidR="005D1A61" w:rsidRDefault="0045737E">
            <w:pPr>
              <w:spacing w:line="360" w:lineRule="auto"/>
              <w:jc w:val="both"/>
              <w:rPr>
                <w:sz w:val="24"/>
                <w:szCs w:val="24"/>
              </w:rPr>
            </w:pPr>
            <w:r>
              <w:rPr>
                <w:sz w:val="24"/>
                <w:szCs w:val="24"/>
              </w:rPr>
              <w:t>x – значение показателя</w:t>
            </w:r>
          </w:p>
          <w:p w14:paraId="565427D9" w14:textId="77777777" w:rsidR="005D1A61" w:rsidRDefault="0045737E">
            <w:pPr>
              <w:spacing w:line="360" w:lineRule="auto"/>
              <w:jc w:val="both"/>
              <w:rPr>
                <w:sz w:val="24"/>
                <w:szCs w:val="24"/>
              </w:rPr>
            </w:pPr>
            <w:r>
              <w:rPr>
                <w:sz w:val="24"/>
                <w:szCs w:val="24"/>
              </w:rPr>
              <w:t>n – количество наблюдений</w:t>
            </w:r>
          </w:p>
        </w:tc>
      </w:tr>
      <w:tr w:rsidR="005D1A61" w14:paraId="7C53AB41" w14:textId="77777777">
        <w:tc>
          <w:tcPr>
            <w:tcW w:w="2235" w:type="dxa"/>
          </w:tcPr>
          <w:p w14:paraId="37C6E4EB" w14:textId="77777777" w:rsidR="005D1A61" w:rsidRDefault="0045737E">
            <w:pPr>
              <w:spacing w:line="360" w:lineRule="auto"/>
              <w:jc w:val="both"/>
              <w:rPr>
                <w:sz w:val="24"/>
                <w:szCs w:val="24"/>
              </w:rPr>
            </w:pPr>
            <w:r>
              <w:rPr>
                <w:sz w:val="24"/>
                <w:szCs w:val="24"/>
              </w:rPr>
              <w:t>Коэффициент частного линейного отклонения</w:t>
            </w:r>
          </w:p>
        </w:tc>
        <w:tc>
          <w:tcPr>
            <w:tcW w:w="4009" w:type="dxa"/>
          </w:tcPr>
          <w:p w14:paraId="6448CFA1" w14:textId="77777777" w:rsidR="005D1A61" w:rsidRDefault="0045737E">
            <w:pPr>
              <w:spacing w:line="360" w:lineRule="auto"/>
              <w:jc w:val="both"/>
              <w:rPr>
                <w:sz w:val="24"/>
                <w:szCs w:val="24"/>
              </w:rPr>
            </w:pPr>
            <m:oMath>
              <m:r>
                <w:rPr>
                  <w:rFonts w:ascii="Cambria Math" w:hAnsi="Cambria Math"/>
                  <w:sz w:val="24"/>
                  <w:szCs w:val="24"/>
                </w:rPr>
                <m:t>Kl=</m:t>
              </m:r>
              <m:f>
                <m:fPr>
                  <m:ctrlPr>
                    <w:rPr>
                      <w:rFonts w:ascii="Cambria Math" w:hAnsi="Cambria Math"/>
                      <w:sz w:val="24"/>
                      <w:szCs w:val="24"/>
                    </w:rPr>
                  </m:ctrlPr>
                </m:fPr>
                <m:num>
                  <m:r>
                    <w:rPr>
                      <w:rFonts w:ascii="Cambria Math" w:hAnsi="Cambria Math"/>
                      <w:sz w:val="24"/>
                      <w:szCs w:val="24"/>
                    </w:rPr>
                    <m:t>x-μ</m:t>
                  </m:r>
                </m:num>
                <m:den>
                  <m:r>
                    <w:rPr>
                      <w:rFonts w:ascii="Cambria Math" w:hAnsi="Cambria Math"/>
                      <w:sz w:val="24"/>
                      <w:szCs w:val="24"/>
                    </w:rPr>
                    <m:t>μ</m:t>
                  </m:r>
                </m:den>
              </m:f>
              <m:r>
                <w:rPr>
                  <w:rFonts w:ascii="Cambria Math" w:hAnsi="Cambria Math"/>
                  <w:sz w:val="24"/>
                  <w:szCs w:val="24"/>
                </w:rPr>
                <m:t>*100%</m:t>
              </m:r>
            </m:oMath>
            <w:r>
              <w:rPr>
                <w:sz w:val="24"/>
                <w:szCs w:val="24"/>
              </w:rPr>
              <w:t xml:space="preserve">    (4)</w:t>
            </w:r>
          </w:p>
        </w:tc>
        <w:tc>
          <w:tcPr>
            <w:tcW w:w="3327" w:type="dxa"/>
          </w:tcPr>
          <w:p w14:paraId="58523F89" w14:textId="77777777" w:rsidR="005D1A61" w:rsidRDefault="0045737E">
            <w:pPr>
              <w:spacing w:line="360" w:lineRule="auto"/>
              <w:jc w:val="both"/>
              <w:rPr>
                <w:sz w:val="24"/>
                <w:szCs w:val="24"/>
              </w:rPr>
            </w:pPr>
            <w:r>
              <w:rPr>
                <w:sz w:val="24"/>
                <w:szCs w:val="24"/>
              </w:rPr>
              <w:t>x – значение показателя</w:t>
            </w:r>
          </w:p>
          <w:p w14:paraId="665C41C2" w14:textId="77777777" w:rsidR="005D1A61" w:rsidRDefault="0045737E">
            <w:pPr>
              <w:spacing w:line="360" w:lineRule="auto"/>
              <w:jc w:val="both"/>
              <w:rPr>
                <w:sz w:val="24"/>
                <w:szCs w:val="24"/>
              </w:rPr>
            </w:pPr>
            <w:r>
              <w:rPr>
                <w:sz w:val="24"/>
                <w:szCs w:val="24"/>
              </w:rPr>
              <w:t>μ – среднее значение</w:t>
            </w:r>
          </w:p>
        </w:tc>
      </w:tr>
      <w:tr w:rsidR="005D1A61" w14:paraId="504A84DF" w14:textId="77777777">
        <w:tc>
          <w:tcPr>
            <w:tcW w:w="2235" w:type="dxa"/>
          </w:tcPr>
          <w:p w14:paraId="30DDDF84" w14:textId="77777777" w:rsidR="005D1A61" w:rsidRDefault="0045737E">
            <w:pPr>
              <w:spacing w:line="360" w:lineRule="auto"/>
              <w:jc w:val="both"/>
              <w:rPr>
                <w:sz w:val="24"/>
                <w:szCs w:val="24"/>
              </w:rPr>
            </w:pPr>
            <w:r>
              <w:rPr>
                <w:sz w:val="24"/>
                <w:szCs w:val="24"/>
              </w:rPr>
              <w:t>Коэффициент вариации</w:t>
            </w:r>
          </w:p>
        </w:tc>
        <w:tc>
          <w:tcPr>
            <w:tcW w:w="4009" w:type="dxa"/>
          </w:tcPr>
          <w:p w14:paraId="4AD48B04" w14:textId="77777777" w:rsidR="005D1A61" w:rsidRDefault="0045737E">
            <w:pPr>
              <w:spacing w:line="360" w:lineRule="auto"/>
              <w:jc w:val="both"/>
              <w:rPr>
                <w:sz w:val="24"/>
                <w:szCs w:val="24"/>
              </w:rPr>
            </w:pPr>
            <m:oMath>
              <m:r>
                <w:rPr>
                  <w:rFonts w:ascii="Cambria Math" w:hAnsi="Cambria Math"/>
                  <w:sz w:val="24"/>
                  <w:szCs w:val="24"/>
                </w:rPr>
                <m:t>CV=</m:t>
              </m:r>
              <m:f>
                <m:fPr>
                  <m:ctrlPr>
                    <w:rPr>
                      <w:rFonts w:ascii="Cambria Math" w:hAnsi="Cambria Math"/>
                      <w:sz w:val="24"/>
                      <w:szCs w:val="24"/>
                    </w:rPr>
                  </m:ctrlPr>
                </m:fPr>
                <m:num>
                  <m:r>
                    <w:rPr>
                      <w:rFonts w:ascii="Cambria Math" w:hAnsi="Cambria Math"/>
                      <w:sz w:val="24"/>
                      <w:szCs w:val="24"/>
                    </w:rPr>
                    <m:t>σ</m:t>
                  </m:r>
                </m:num>
                <m:den>
                  <m:r>
                    <w:rPr>
                      <w:rFonts w:ascii="Cambria Math" w:hAnsi="Cambria Math"/>
                      <w:sz w:val="24"/>
                      <w:szCs w:val="24"/>
                    </w:rPr>
                    <m:t>μ</m:t>
                  </m:r>
                </m:den>
              </m:f>
              <m:r>
                <w:rPr>
                  <w:rFonts w:ascii="Cambria Math" w:hAnsi="Cambria Math"/>
                  <w:sz w:val="24"/>
                  <w:szCs w:val="24"/>
                </w:rPr>
                <m:t>*100%</m:t>
              </m:r>
            </m:oMath>
            <w:r>
              <w:rPr>
                <w:sz w:val="24"/>
                <w:szCs w:val="24"/>
              </w:rPr>
              <w:t xml:space="preserve">    (5)</w:t>
            </w:r>
          </w:p>
        </w:tc>
        <w:tc>
          <w:tcPr>
            <w:tcW w:w="3327" w:type="dxa"/>
          </w:tcPr>
          <w:p w14:paraId="56E5FDE8" w14:textId="77777777" w:rsidR="005D1A61" w:rsidRDefault="0045737E">
            <w:pPr>
              <w:spacing w:line="360" w:lineRule="auto"/>
              <w:jc w:val="both"/>
              <w:rPr>
                <w:sz w:val="24"/>
                <w:szCs w:val="24"/>
              </w:rPr>
            </w:pPr>
            <w:r>
              <w:rPr>
                <w:sz w:val="24"/>
                <w:szCs w:val="24"/>
              </w:rPr>
              <w:t xml:space="preserve">σ – стандартное отклонение (среднеквадратичное отклонение) </w:t>
            </w:r>
            <w:r>
              <w:rPr>
                <w:sz w:val="24"/>
                <w:szCs w:val="24"/>
              </w:rPr>
              <w:br/>
              <w:t>μ – среднее значение</w:t>
            </w:r>
          </w:p>
        </w:tc>
      </w:tr>
      <w:tr w:rsidR="005D1A61" w14:paraId="27ABF983" w14:textId="77777777">
        <w:tc>
          <w:tcPr>
            <w:tcW w:w="2235" w:type="dxa"/>
          </w:tcPr>
          <w:p w14:paraId="55D845D0" w14:textId="77777777" w:rsidR="005D1A61" w:rsidRDefault="0045737E">
            <w:pPr>
              <w:spacing w:line="360" w:lineRule="auto"/>
              <w:jc w:val="both"/>
              <w:rPr>
                <w:sz w:val="24"/>
                <w:szCs w:val="24"/>
              </w:rPr>
            </w:pPr>
            <w:r>
              <w:rPr>
                <w:sz w:val="24"/>
                <w:szCs w:val="24"/>
              </w:rPr>
              <w:t>Коэффициент осцилляции</w:t>
            </w:r>
          </w:p>
        </w:tc>
        <w:tc>
          <w:tcPr>
            <w:tcW w:w="4009" w:type="dxa"/>
          </w:tcPr>
          <w:p w14:paraId="64FB1E7E" w14:textId="77777777" w:rsidR="005D1A61" w:rsidRDefault="0045737E">
            <w:pPr>
              <w:spacing w:line="360" w:lineRule="auto"/>
              <w:jc w:val="both"/>
              <w:rPr>
                <w:sz w:val="24"/>
                <w:szCs w:val="24"/>
              </w:rPr>
            </w:pPr>
            <m:oMath>
              <m:r>
                <w:rPr>
                  <w:rFonts w:ascii="Cambria Math" w:hAnsi="Cambria Math"/>
                  <w:sz w:val="24"/>
                  <w:szCs w:val="24"/>
                </w:rPr>
                <m:t>К=</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μ</m:t>
                  </m:r>
                </m:den>
              </m:f>
              <m:r>
                <w:rPr>
                  <w:rFonts w:ascii="Cambria Math" w:hAnsi="Cambria Math"/>
                  <w:sz w:val="24"/>
                  <w:szCs w:val="24"/>
                </w:rPr>
                <m:t>*100%</m:t>
              </m:r>
            </m:oMath>
            <w:r>
              <w:rPr>
                <w:sz w:val="24"/>
                <w:szCs w:val="24"/>
              </w:rPr>
              <w:t xml:space="preserve">    (6)</w:t>
            </w:r>
          </w:p>
        </w:tc>
        <w:tc>
          <w:tcPr>
            <w:tcW w:w="3327" w:type="dxa"/>
          </w:tcPr>
          <w:p w14:paraId="10CDB120" w14:textId="77777777" w:rsidR="005D1A61" w:rsidRDefault="0045737E">
            <w:pPr>
              <w:spacing w:line="360" w:lineRule="auto"/>
              <w:jc w:val="both"/>
              <w:rPr>
                <w:sz w:val="24"/>
                <w:szCs w:val="24"/>
              </w:rPr>
            </w:pPr>
            <w:r>
              <w:rPr>
                <w:sz w:val="24"/>
                <w:szCs w:val="24"/>
              </w:rPr>
              <w:t>R – размах вариации</w:t>
            </w:r>
          </w:p>
          <w:p w14:paraId="3E10DAF0" w14:textId="77777777" w:rsidR="005D1A61" w:rsidRDefault="0045737E">
            <w:pPr>
              <w:spacing w:line="360" w:lineRule="auto"/>
              <w:jc w:val="both"/>
              <w:rPr>
                <w:sz w:val="24"/>
                <w:szCs w:val="24"/>
              </w:rPr>
            </w:pPr>
            <w:r>
              <w:rPr>
                <w:sz w:val="24"/>
                <w:szCs w:val="24"/>
              </w:rPr>
              <w:t>μ – среднее значение</w:t>
            </w:r>
          </w:p>
        </w:tc>
      </w:tr>
      <w:tr w:rsidR="005D1A61" w14:paraId="656CB063" w14:textId="77777777">
        <w:tc>
          <w:tcPr>
            <w:tcW w:w="2235" w:type="dxa"/>
          </w:tcPr>
          <w:p w14:paraId="0B8FE5A5" w14:textId="77777777" w:rsidR="005D1A61" w:rsidRDefault="0045737E">
            <w:pPr>
              <w:spacing w:line="360" w:lineRule="auto"/>
              <w:jc w:val="both"/>
              <w:rPr>
                <w:sz w:val="24"/>
                <w:szCs w:val="24"/>
              </w:rPr>
            </w:pPr>
            <w:r>
              <w:rPr>
                <w:sz w:val="24"/>
                <w:szCs w:val="24"/>
              </w:rPr>
              <w:t>Коэффициент неоднородности</w:t>
            </w:r>
          </w:p>
        </w:tc>
        <w:tc>
          <w:tcPr>
            <w:tcW w:w="4009" w:type="dxa"/>
          </w:tcPr>
          <w:p w14:paraId="2A699042" w14:textId="77777777" w:rsidR="005D1A61" w:rsidRPr="00F80D58" w:rsidRDefault="0045737E">
            <w:pPr>
              <w:spacing w:line="360" w:lineRule="auto"/>
              <w:jc w:val="both"/>
              <w:rPr>
                <w:sz w:val="24"/>
                <w:szCs w:val="24"/>
              </w:rPr>
            </w:pPr>
            <m:oMath>
              <m:r>
                <w:rPr>
                  <w:rFonts w:ascii="Cambria Math" w:hAnsi="Cambria Math"/>
                  <w:sz w:val="24"/>
                  <w:szCs w:val="24"/>
                </w:rPr>
                <m:t>K</m:t>
              </m:r>
              <m:d>
                <m:dPr>
                  <m:ctrlPr>
                    <w:rPr>
                      <w:rFonts w:ascii="Cambria Math" w:hAnsi="Cambria Math"/>
                      <w:sz w:val="24"/>
                      <w:szCs w:val="24"/>
                    </w:rPr>
                  </m:ctrlPr>
                </m:dPr>
                <m:e>
                  <m:r>
                    <w:rPr>
                      <w:rFonts w:ascii="Cambria Math" w:hAnsi="Cambria Math"/>
                      <w:sz w:val="24"/>
                      <w:szCs w:val="24"/>
                    </w:rPr>
                    <m:t>z,  q</m:t>
                  </m:r>
                </m:e>
              </m:d>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nary>
                        <m:naryPr>
                          <m:chr m:val="∑"/>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n</m:t>
                          </m:r>
                        </m:sup>
                        <m:e/>
                      </m:nary>
                      <m:r>
                        <w:rPr>
                          <w:rFonts w:ascii="Cambria Math" w:hAnsi="Cambria Math"/>
                          <w:sz w:val="24"/>
                          <w:szCs w:val="24"/>
                        </w:rPr>
                        <m:t>Zi*Qi</m:t>
                      </m:r>
                    </m:num>
                    <m:den>
                      <m:rad>
                        <m:radPr>
                          <m:degHide m:val="1"/>
                          <m:ctrlPr>
                            <w:rPr>
                              <w:rFonts w:ascii="Cambria Math" w:hAnsi="Cambria Math"/>
                              <w:sz w:val="24"/>
                              <w:szCs w:val="24"/>
                            </w:rPr>
                          </m:ctrlPr>
                        </m:radPr>
                        <m:deg/>
                        <m:e>
                          <m:nary>
                            <m:naryPr>
                              <m:chr m:val="∑"/>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n</m:t>
                              </m:r>
                            </m:sup>
                            <m:e/>
                          </m:nary>
                          <m:sSup>
                            <m:sSupPr>
                              <m:ctrlPr>
                                <w:rPr>
                                  <w:rFonts w:ascii="Cambria Math" w:hAnsi="Cambria Math"/>
                                  <w:sz w:val="24"/>
                                  <w:szCs w:val="24"/>
                                </w:rPr>
                              </m:ctrlPr>
                            </m:sSupPr>
                            <m:e>
                              <m:r>
                                <w:rPr>
                                  <w:rFonts w:ascii="Cambria Math" w:hAnsi="Cambria Math"/>
                                  <w:sz w:val="24"/>
                                  <w:szCs w:val="24"/>
                                </w:rPr>
                                <m:t>Zi</m:t>
                              </m:r>
                            </m:e>
                            <m:sup>
                              <m:r>
                                <w:rPr>
                                  <w:rFonts w:ascii="Cambria Math" w:hAnsi="Cambria Math"/>
                                  <w:sz w:val="24"/>
                                  <w:szCs w:val="24"/>
                                </w:rPr>
                                <m:t>2</m:t>
                              </m:r>
                            </m:sup>
                          </m:sSup>
                          <m:r>
                            <w:rPr>
                              <w:rFonts w:ascii="Cambria Math" w:hAnsi="Cambria Math"/>
                              <w:sz w:val="24"/>
                              <w:szCs w:val="24"/>
                            </w:rPr>
                            <m:t xml:space="preserve">* </m:t>
                          </m:r>
                          <m:nary>
                            <m:naryPr>
                              <m:chr m:val="∑"/>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n</m:t>
                              </m:r>
                            </m:sup>
                            <m:e/>
                          </m:nary>
                          <m:sSup>
                            <m:sSupPr>
                              <m:ctrlPr>
                                <w:rPr>
                                  <w:rFonts w:ascii="Cambria Math" w:hAnsi="Cambria Math"/>
                                  <w:sz w:val="24"/>
                                  <w:szCs w:val="24"/>
                                </w:rPr>
                              </m:ctrlPr>
                            </m:sSupPr>
                            <m:e>
                              <m:r>
                                <w:rPr>
                                  <w:rFonts w:ascii="Cambria Math" w:hAnsi="Cambria Math"/>
                                  <w:sz w:val="24"/>
                                  <w:szCs w:val="24"/>
                                </w:rPr>
                                <m:t>Qi</m:t>
                              </m:r>
                            </m:e>
                            <m:sup>
                              <m:r>
                                <w:rPr>
                                  <w:rFonts w:ascii="Cambria Math" w:hAnsi="Cambria Math"/>
                                  <w:sz w:val="24"/>
                                  <w:szCs w:val="24"/>
                                </w:rPr>
                                <m:t>2</m:t>
                              </m:r>
                            </m:sup>
                          </m:sSup>
                        </m:e>
                      </m:rad>
                    </m:den>
                  </m:f>
                </m:e>
              </m:d>
              <m:r>
                <w:rPr>
                  <w:rFonts w:ascii="Cambria Math" w:hAnsi="Cambria Math"/>
                  <w:sz w:val="24"/>
                  <w:szCs w:val="24"/>
                </w:rPr>
                <m:t>*100%</m:t>
              </m:r>
            </m:oMath>
            <w:r w:rsidRPr="00F80D58">
              <w:rPr>
                <w:sz w:val="24"/>
                <w:szCs w:val="24"/>
              </w:rPr>
              <w:t xml:space="preserve">    (7)</w:t>
            </w:r>
          </w:p>
        </w:tc>
        <w:tc>
          <w:tcPr>
            <w:tcW w:w="3327" w:type="dxa"/>
          </w:tcPr>
          <w:p w14:paraId="2ECFF8FD" w14:textId="77777777" w:rsidR="005D1A61" w:rsidRPr="00F80D58" w:rsidRDefault="0045737E">
            <w:pPr>
              <w:spacing w:line="360" w:lineRule="auto"/>
              <w:jc w:val="both"/>
              <w:rPr>
                <w:sz w:val="24"/>
                <w:szCs w:val="24"/>
              </w:rPr>
            </w:pPr>
            <w:proofErr w:type="spellStart"/>
            <w:r w:rsidRPr="00F80D58">
              <w:rPr>
                <w:sz w:val="24"/>
                <w:szCs w:val="24"/>
              </w:rPr>
              <w:t>Zi</w:t>
            </w:r>
            <w:proofErr w:type="spellEnd"/>
            <w:r w:rsidRPr="00F80D58">
              <w:rPr>
                <w:sz w:val="24"/>
                <w:szCs w:val="24"/>
              </w:rPr>
              <w:t xml:space="preserve">, </w:t>
            </w:r>
            <w:proofErr w:type="spellStart"/>
            <w:r w:rsidRPr="00F80D58">
              <w:rPr>
                <w:sz w:val="24"/>
                <w:szCs w:val="24"/>
              </w:rPr>
              <w:t>Qi</w:t>
            </w:r>
            <w:proofErr w:type="spellEnd"/>
            <w:r w:rsidRPr="00F80D58">
              <w:rPr>
                <w:sz w:val="24"/>
                <w:szCs w:val="24"/>
              </w:rPr>
              <w:t xml:space="preserve"> – значения одноименных показателей регионов Z, Q</w:t>
            </w:r>
          </w:p>
          <w:p w14:paraId="7B8FC08C" w14:textId="77777777" w:rsidR="005D1A61" w:rsidRPr="00F80D58" w:rsidRDefault="0045737E">
            <w:pPr>
              <w:spacing w:line="360" w:lineRule="auto"/>
              <w:jc w:val="both"/>
              <w:rPr>
                <w:sz w:val="24"/>
                <w:szCs w:val="24"/>
              </w:rPr>
            </w:pPr>
            <w:r w:rsidRPr="00F80D58">
              <w:rPr>
                <w:sz w:val="24"/>
                <w:szCs w:val="24"/>
              </w:rPr>
              <w:t>i – номер показателя</w:t>
            </w:r>
          </w:p>
          <w:p w14:paraId="54DAB55E" w14:textId="77777777" w:rsidR="005D1A61" w:rsidRPr="00F80D58" w:rsidRDefault="0045737E">
            <w:pPr>
              <w:spacing w:line="360" w:lineRule="auto"/>
              <w:jc w:val="both"/>
              <w:rPr>
                <w:sz w:val="24"/>
                <w:szCs w:val="24"/>
              </w:rPr>
            </w:pPr>
            <w:r w:rsidRPr="00F80D58">
              <w:rPr>
                <w:sz w:val="24"/>
                <w:szCs w:val="24"/>
              </w:rPr>
              <w:t>n – количество показателей, участвующих в расчете (Данилова, 2017).</w:t>
            </w:r>
          </w:p>
        </w:tc>
      </w:tr>
    </w:tbl>
    <w:p w14:paraId="15B7AC9F" w14:textId="77777777" w:rsidR="005D1A61" w:rsidRDefault="0045737E" w:rsidP="007A0A25">
      <w:pPr>
        <w:spacing w:after="0" w:line="360" w:lineRule="auto"/>
        <w:ind w:firstLine="851"/>
        <w:jc w:val="both"/>
        <w:rPr>
          <w:sz w:val="24"/>
          <w:szCs w:val="24"/>
        </w:rPr>
      </w:pPr>
      <w:r>
        <w:rPr>
          <w:sz w:val="24"/>
          <w:szCs w:val="24"/>
        </w:rPr>
        <w:lastRenderedPageBreak/>
        <w:t xml:space="preserve">Коэффициент </w:t>
      </w:r>
      <w:proofErr w:type="spellStart"/>
      <w:r>
        <w:rPr>
          <w:sz w:val="24"/>
          <w:szCs w:val="24"/>
        </w:rPr>
        <w:t>Херфиндаля-Хиршмана</w:t>
      </w:r>
      <w:proofErr w:type="spellEnd"/>
      <w:r>
        <w:rPr>
          <w:sz w:val="24"/>
          <w:szCs w:val="24"/>
        </w:rPr>
        <w:t xml:space="preserve">, </w:t>
      </w:r>
      <w:proofErr w:type="spellStart"/>
      <w:r>
        <w:rPr>
          <w:sz w:val="24"/>
          <w:szCs w:val="24"/>
        </w:rPr>
        <w:t>Децильный</w:t>
      </w:r>
      <w:proofErr w:type="spellEnd"/>
      <w:r>
        <w:rPr>
          <w:sz w:val="24"/>
          <w:szCs w:val="24"/>
        </w:rPr>
        <w:t xml:space="preserve"> коэффициент, коэффициент Джини и Лоренца, коэффициент региональной асимметрии</w:t>
      </w:r>
    </w:p>
    <w:p w14:paraId="4265FD65" w14:textId="77777777" w:rsidR="005D1A61" w:rsidRDefault="0045737E" w:rsidP="007A0A25">
      <w:pPr>
        <w:spacing w:after="0" w:line="360" w:lineRule="auto"/>
        <w:ind w:firstLine="851"/>
        <w:jc w:val="both"/>
        <w:rPr>
          <w:sz w:val="24"/>
          <w:szCs w:val="24"/>
        </w:rPr>
      </w:pPr>
      <w:bookmarkStart w:id="10" w:name="_gjdgxs" w:colFirst="0" w:colLast="0"/>
      <w:bookmarkEnd w:id="10"/>
      <w:r>
        <w:rPr>
          <w:sz w:val="24"/>
          <w:szCs w:val="24"/>
        </w:rPr>
        <w:t>Рассмотрим приведенные способы исследования дифференциации подробнее. Самыми простыми способами оценки дифференциации являются коэффициент разрыва полярных значений и размах вариации. Они показывают отношение максимального и минимального значений в распределении значений. Исследователи не пренебрегают этими инструментами для изучения, однако они, как самостоятельные инструменты анализа, дают мало информации о дифференциации, слабо интерпретируемы. Но вместе с другими показателями могут служить дополнением для раскрытия отдельных явлений и процессов.</w:t>
      </w:r>
    </w:p>
    <w:p w14:paraId="5DB6D6EB" w14:textId="77777777" w:rsidR="005D1A61" w:rsidRDefault="0045737E" w:rsidP="007A0A25">
      <w:pPr>
        <w:spacing w:after="0" w:line="360" w:lineRule="auto"/>
        <w:ind w:firstLine="851"/>
        <w:jc w:val="both"/>
        <w:rPr>
          <w:sz w:val="24"/>
          <w:szCs w:val="24"/>
        </w:rPr>
      </w:pPr>
      <w:r>
        <w:rPr>
          <w:sz w:val="24"/>
          <w:szCs w:val="24"/>
        </w:rPr>
        <w:t>Стандартное отклонение (или среднеквадратичное отклонение, или линейное квадратичное отклонение) показывает, насколько в среднем отклоняются показатели от среднего значения. Исчисляется в первоначальных значениях. Используется в основном для вычисления коэффициента вариации.</w:t>
      </w:r>
    </w:p>
    <w:p w14:paraId="4A5FDD4C" w14:textId="77777777" w:rsidR="005D1A61" w:rsidRDefault="0045737E" w:rsidP="007A0A25">
      <w:pPr>
        <w:spacing w:after="0" w:line="360" w:lineRule="auto"/>
        <w:ind w:firstLine="851"/>
        <w:jc w:val="both"/>
        <w:rPr>
          <w:sz w:val="24"/>
          <w:szCs w:val="24"/>
        </w:rPr>
      </w:pPr>
      <w:r>
        <w:rPr>
          <w:sz w:val="24"/>
          <w:szCs w:val="24"/>
        </w:rPr>
        <w:t xml:space="preserve">Коэффициент частного линейного отклонения – показатель, отображающий степень и направление отклонения показателя от среднего. Является, по мнению автора, оптимальным вариантом для описания степени отличия региона от средних показателей, а при сопоставлении с другими аналогичными коэффициентами, помогает определить общие процессы и их взаимозависимость на рассматриваемой территории. </w:t>
      </w:r>
    </w:p>
    <w:p w14:paraId="5AB983F9" w14:textId="77777777" w:rsidR="005D1A61" w:rsidRDefault="0045737E" w:rsidP="007A0A25">
      <w:pPr>
        <w:spacing w:after="0" w:line="360" w:lineRule="auto"/>
        <w:ind w:firstLine="851"/>
        <w:jc w:val="both"/>
        <w:rPr>
          <w:sz w:val="24"/>
          <w:szCs w:val="24"/>
        </w:rPr>
      </w:pPr>
      <w:r>
        <w:rPr>
          <w:sz w:val="24"/>
          <w:szCs w:val="24"/>
        </w:rPr>
        <w:t xml:space="preserve">Коэффициент вариации или относительное стандартное отклонение является одним из самых популярных среди </w:t>
      </w:r>
      <w:proofErr w:type="spellStart"/>
      <w:r>
        <w:rPr>
          <w:sz w:val="24"/>
          <w:szCs w:val="24"/>
        </w:rPr>
        <w:t>регионалистов</w:t>
      </w:r>
      <w:proofErr w:type="spellEnd"/>
      <w:r>
        <w:rPr>
          <w:sz w:val="24"/>
          <w:szCs w:val="24"/>
        </w:rPr>
        <w:t xml:space="preserve">. Коэффициент отображает среднюю </w:t>
      </w:r>
      <w:proofErr w:type="spellStart"/>
      <w:r>
        <w:rPr>
          <w:sz w:val="24"/>
          <w:szCs w:val="24"/>
        </w:rPr>
        <w:t>колеблемость</w:t>
      </w:r>
      <w:proofErr w:type="spellEnd"/>
      <w:r>
        <w:rPr>
          <w:sz w:val="24"/>
          <w:szCs w:val="24"/>
        </w:rPr>
        <w:t xml:space="preserve"> значений вокруг среднего. Обычно измеряется в процентах от среднего, что позволяет сравнивать дифференциацию разных показателей и сопоставлять их. Варьируется от 0 – отсутствие вариативности значений относительно среднего (все значения совпадают) до бесконечности. Для интерпретации полученных данных часто используют пороговое значение однородности для коэффициента – 33%, то есть если полученные данные больше, то распределение не однородно и наоборот.</w:t>
      </w:r>
    </w:p>
    <w:p w14:paraId="1A08DFB8" w14:textId="77777777" w:rsidR="005D1A61" w:rsidRDefault="0045737E" w:rsidP="007A0A25">
      <w:pPr>
        <w:spacing w:after="0" w:line="360" w:lineRule="auto"/>
        <w:ind w:firstLine="851"/>
        <w:jc w:val="both"/>
        <w:rPr>
          <w:sz w:val="24"/>
          <w:szCs w:val="24"/>
        </w:rPr>
      </w:pPr>
      <w:r>
        <w:rPr>
          <w:sz w:val="24"/>
          <w:szCs w:val="24"/>
        </w:rPr>
        <w:t>Коэффициент осцилляции схож с коэффициентом вариации, однако он отображает насколько значительно различаются размах значений относительно среднего значения. Большое значение коэффициента осцилляции указывает на большой разброс крайних данных, в то время как коэффициент вариации покажет средний разброс всех данных.</w:t>
      </w:r>
    </w:p>
    <w:p w14:paraId="617B5DC6" w14:textId="77777777" w:rsidR="005D1A61" w:rsidRPr="00F80D58" w:rsidRDefault="0045737E" w:rsidP="007A0A25">
      <w:pPr>
        <w:spacing w:after="0" w:line="360" w:lineRule="auto"/>
        <w:ind w:firstLine="851"/>
        <w:jc w:val="both"/>
        <w:rPr>
          <w:sz w:val="24"/>
          <w:szCs w:val="24"/>
        </w:rPr>
      </w:pPr>
      <w:r>
        <w:rPr>
          <w:sz w:val="24"/>
          <w:szCs w:val="24"/>
        </w:rPr>
        <w:t xml:space="preserve">Коэффициент неоднородности построен на основе коэффициент пропорционального сходства </w:t>
      </w:r>
      <w:proofErr w:type="spellStart"/>
      <w:r>
        <w:rPr>
          <w:sz w:val="24"/>
          <w:szCs w:val="24"/>
        </w:rPr>
        <w:t>Имбри-</w:t>
      </w:r>
      <w:r w:rsidRPr="00F80D58">
        <w:rPr>
          <w:sz w:val="24"/>
          <w:szCs w:val="24"/>
        </w:rPr>
        <w:t>Парди</w:t>
      </w:r>
      <w:proofErr w:type="spellEnd"/>
      <w:r w:rsidRPr="00F80D58">
        <w:rPr>
          <w:sz w:val="24"/>
          <w:szCs w:val="24"/>
        </w:rPr>
        <w:t xml:space="preserve"> (Данилова, 2017). Такой коэффициент позволит комплексно оценить дифференциацию на основе всего множества показателей. </w:t>
      </w:r>
    </w:p>
    <w:p w14:paraId="54C95D27" w14:textId="77777777" w:rsidR="005D1A61" w:rsidRPr="00F80D58" w:rsidRDefault="0045737E" w:rsidP="007A0A25">
      <w:pPr>
        <w:spacing w:after="0" w:line="360" w:lineRule="auto"/>
        <w:ind w:firstLine="851"/>
        <w:jc w:val="both"/>
        <w:rPr>
          <w:sz w:val="24"/>
          <w:szCs w:val="24"/>
        </w:rPr>
      </w:pPr>
      <w:r w:rsidRPr="00F80D58">
        <w:rPr>
          <w:sz w:val="24"/>
          <w:szCs w:val="24"/>
        </w:rPr>
        <w:lastRenderedPageBreak/>
        <w:t xml:space="preserve">Также существуют другие способы определения дифференциации, такие как индекс энтропии </w:t>
      </w:r>
      <w:proofErr w:type="spellStart"/>
      <w:r w:rsidRPr="00F80D58">
        <w:rPr>
          <w:sz w:val="24"/>
          <w:szCs w:val="24"/>
        </w:rPr>
        <w:t>Тейла</w:t>
      </w:r>
      <w:proofErr w:type="spellEnd"/>
      <w:r w:rsidRPr="00F80D58">
        <w:rPr>
          <w:sz w:val="24"/>
          <w:szCs w:val="24"/>
        </w:rPr>
        <w:t xml:space="preserve">, индекс степени монополизации </w:t>
      </w:r>
      <w:proofErr w:type="spellStart"/>
      <w:r w:rsidRPr="00F80D58">
        <w:rPr>
          <w:sz w:val="24"/>
          <w:szCs w:val="24"/>
        </w:rPr>
        <w:t>Херфиндаля-Хиршмана</w:t>
      </w:r>
      <w:proofErr w:type="spellEnd"/>
      <w:r w:rsidRPr="00F80D58">
        <w:rPr>
          <w:sz w:val="24"/>
          <w:szCs w:val="24"/>
        </w:rPr>
        <w:t xml:space="preserve">, коэффициент региональной асимметрии. Однако они малоприменимы в рамках данного исследования, поскольку малое количество регионов не имеет смысла проверять на нормальность распределения, а также не взяты во внимание детальная внутренняя структура бизнеса в регионах в виду выхода этого исследования за рамки поставленных цели и задач. Коэффициент Джини и Лоренца по распределению общего объема денежных доходов взяты как исходные данные без собственных вычислений. Часто используемый </w:t>
      </w:r>
      <w:proofErr w:type="spellStart"/>
      <w:r w:rsidRPr="00F80D58">
        <w:rPr>
          <w:sz w:val="24"/>
          <w:szCs w:val="24"/>
        </w:rPr>
        <w:t>децильный</w:t>
      </w:r>
      <w:proofErr w:type="spellEnd"/>
      <w:r w:rsidRPr="00F80D58">
        <w:rPr>
          <w:sz w:val="24"/>
          <w:szCs w:val="24"/>
        </w:rPr>
        <w:t xml:space="preserve"> коэффициент также не подходит для анализа динамических рядов.</w:t>
      </w:r>
    </w:p>
    <w:p w14:paraId="4C079468" w14:textId="77777777" w:rsidR="005D1A61" w:rsidRPr="00F80D58" w:rsidRDefault="0045737E" w:rsidP="007A0A25">
      <w:pPr>
        <w:spacing w:after="0" w:line="360" w:lineRule="auto"/>
        <w:ind w:firstLine="851"/>
        <w:jc w:val="both"/>
        <w:rPr>
          <w:sz w:val="24"/>
          <w:szCs w:val="24"/>
        </w:rPr>
      </w:pPr>
      <w:r w:rsidRPr="00F80D58">
        <w:rPr>
          <w:sz w:val="24"/>
          <w:szCs w:val="24"/>
        </w:rPr>
        <w:t>После рассмотрения всех дифференциаций следует определить их значимость для развития региона, округа и страны (по крайней мере там, где это возможно). Для этого предлагается использовать корреляционно-регрессионный анализ, с помощью которого станет возможным:</w:t>
      </w:r>
    </w:p>
    <w:p w14:paraId="59D5418E" w14:textId="77777777" w:rsidR="005D1A61" w:rsidRPr="007A0A25" w:rsidRDefault="0045737E" w:rsidP="007A0A25">
      <w:pPr>
        <w:pStyle w:val="ac"/>
        <w:numPr>
          <w:ilvl w:val="0"/>
          <w:numId w:val="6"/>
        </w:numPr>
        <w:pBdr>
          <w:top w:val="nil"/>
          <w:left w:val="nil"/>
          <w:bottom w:val="nil"/>
          <w:right w:val="nil"/>
          <w:between w:val="nil"/>
        </w:pBdr>
        <w:spacing w:after="0" w:line="360" w:lineRule="auto"/>
        <w:jc w:val="both"/>
        <w:rPr>
          <w:sz w:val="24"/>
          <w:szCs w:val="24"/>
        </w:rPr>
      </w:pPr>
      <w:r w:rsidRPr="00F80D58">
        <w:rPr>
          <w:color w:val="000000"/>
          <w:sz w:val="24"/>
          <w:szCs w:val="24"/>
        </w:rPr>
        <w:t>определить степень детерминированности отдельных</w:t>
      </w:r>
      <w:r w:rsidRPr="007A0A25">
        <w:rPr>
          <w:color w:val="000000"/>
          <w:sz w:val="24"/>
          <w:szCs w:val="24"/>
        </w:rPr>
        <w:t xml:space="preserve"> показателей или интегральной оценки развития дифференциацией на уровне одного региона, разных регионов и округа в целом;</w:t>
      </w:r>
    </w:p>
    <w:p w14:paraId="6540D461" w14:textId="77777777" w:rsidR="005D1A61" w:rsidRPr="007A0A25" w:rsidRDefault="0045737E" w:rsidP="007A0A25">
      <w:pPr>
        <w:pStyle w:val="ac"/>
        <w:numPr>
          <w:ilvl w:val="0"/>
          <w:numId w:val="6"/>
        </w:numPr>
        <w:pBdr>
          <w:top w:val="nil"/>
          <w:left w:val="nil"/>
          <w:bottom w:val="nil"/>
          <w:right w:val="nil"/>
          <w:between w:val="nil"/>
        </w:pBdr>
        <w:spacing w:after="0" w:line="360" w:lineRule="auto"/>
        <w:jc w:val="both"/>
        <w:rPr>
          <w:sz w:val="24"/>
          <w:szCs w:val="24"/>
        </w:rPr>
      </w:pPr>
      <w:r w:rsidRPr="007A0A25">
        <w:rPr>
          <w:color w:val="000000"/>
          <w:sz w:val="24"/>
          <w:szCs w:val="24"/>
        </w:rPr>
        <w:t>составление модели изменения и прогнозирования показателей;</w:t>
      </w:r>
    </w:p>
    <w:p w14:paraId="03206762" w14:textId="77777777" w:rsidR="005D1A61" w:rsidRPr="007A0A25" w:rsidRDefault="0045737E" w:rsidP="007A0A25">
      <w:pPr>
        <w:pStyle w:val="ac"/>
        <w:numPr>
          <w:ilvl w:val="0"/>
          <w:numId w:val="6"/>
        </w:numPr>
        <w:pBdr>
          <w:top w:val="nil"/>
          <w:left w:val="nil"/>
          <w:bottom w:val="nil"/>
          <w:right w:val="nil"/>
          <w:between w:val="nil"/>
        </w:pBdr>
        <w:spacing w:after="0" w:line="360" w:lineRule="auto"/>
        <w:jc w:val="both"/>
        <w:rPr>
          <w:sz w:val="24"/>
          <w:szCs w:val="24"/>
        </w:rPr>
      </w:pPr>
      <w:r w:rsidRPr="007A0A25">
        <w:rPr>
          <w:color w:val="000000"/>
          <w:sz w:val="24"/>
          <w:szCs w:val="24"/>
        </w:rPr>
        <w:t>определение наиболее значимых приоритетов развития региона.</w:t>
      </w:r>
    </w:p>
    <w:p w14:paraId="0D2ABB6C" w14:textId="77777777" w:rsidR="005D1A61" w:rsidRDefault="0045737E" w:rsidP="007A0A25">
      <w:pPr>
        <w:spacing w:after="0" w:line="360" w:lineRule="auto"/>
        <w:ind w:firstLine="851"/>
        <w:jc w:val="both"/>
        <w:rPr>
          <w:sz w:val="24"/>
          <w:szCs w:val="24"/>
        </w:rPr>
      </w:pPr>
      <w:r>
        <w:rPr>
          <w:sz w:val="24"/>
          <w:szCs w:val="24"/>
        </w:rPr>
        <w:t>Так как предполагается проверять связность динамических рядов показателей, то будет правильным сделать выбор метода расчета корреляции в пользу коэффициента Пирсона, который варьируется от -1 с отрицательной функциональной связью до 1 с положительной функциональной связью и отсутствием связи в точке 0. Динамический ряд состоит из наблюдений, количество которых варьируется от 25 до 30, что в целом позволяет интерпретировать полученные данные с определенной осторожностью.</w:t>
      </w:r>
    </w:p>
    <w:p w14:paraId="3B64E724" w14:textId="77777777" w:rsidR="005D1A61" w:rsidRDefault="0045737E" w:rsidP="007A0A25">
      <w:pPr>
        <w:spacing w:after="0" w:line="360" w:lineRule="auto"/>
        <w:ind w:firstLine="851"/>
        <w:jc w:val="both"/>
        <w:rPr>
          <w:sz w:val="24"/>
          <w:szCs w:val="24"/>
        </w:rPr>
      </w:pPr>
      <w:r>
        <w:rPr>
          <w:sz w:val="24"/>
          <w:szCs w:val="24"/>
        </w:rPr>
        <w:t>Стоит заметить, что некоторые показатели, взятые для анализа развития регионов являются абсолютными, а их грубое усреднение по регионам или по стране в целом будет являться нерепрезентативным ни по отношению к рассматриваемым регионам, ни к России в общем, но их рассмотрение обязательно для понимания отдельных процессов, с одной стороны, и для получения производных показателей, с другой стороны.</w:t>
      </w:r>
    </w:p>
    <w:p w14:paraId="290436CC" w14:textId="77777777" w:rsidR="005D1A61" w:rsidRDefault="0045737E" w:rsidP="007A0A25">
      <w:pPr>
        <w:spacing w:after="0" w:line="360" w:lineRule="auto"/>
        <w:ind w:firstLine="851"/>
        <w:jc w:val="both"/>
        <w:rPr>
          <w:sz w:val="24"/>
          <w:szCs w:val="24"/>
        </w:rPr>
      </w:pPr>
      <w:r>
        <w:rPr>
          <w:sz w:val="24"/>
          <w:szCs w:val="24"/>
        </w:rPr>
        <w:t xml:space="preserve">Также необходимо принимать во внимание то, что практически до 2010 (в отдельных случаях до 2013) года данные по Тюменской области отдельно без Ханты-Мансийского автономного округа (ХМАО) и Ямало-Ненецкого автономного округа (ЯНАО) не предоставлялись, при том, что отдельно по округам и всей Тюменской области – были. Поэтому отсутствующая информация </w:t>
      </w:r>
      <w:proofErr w:type="gramStart"/>
      <w:r>
        <w:rPr>
          <w:sz w:val="24"/>
          <w:szCs w:val="24"/>
        </w:rPr>
        <w:t>восполнялась</w:t>
      </w:r>
      <w:proofErr w:type="gramEnd"/>
      <w:r>
        <w:rPr>
          <w:sz w:val="24"/>
          <w:szCs w:val="24"/>
        </w:rPr>
        <w:t xml:space="preserve"> где это возможно – обычной </w:t>
      </w:r>
      <w:r>
        <w:rPr>
          <w:sz w:val="24"/>
          <w:szCs w:val="24"/>
        </w:rPr>
        <w:lastRenderedPageBreak/>
        <w:t xml:space="preserve">разницей показателей. По относительным показателям были произведены вычисления на основе формулы 8 (на примере показателя «обеспеченность детей дошкольного возраста местами в организациях, осуществляющих образовательную деятельность по образовательным программам дошкольного образования, присмотр и уход за детьми, приходится мест на 1 000 детей, человек»): </w:t>
      </w:r>
    </w:p>
    <w:p w14:paraId="21B6FBCA" w14:textId="77777777" w:rsidR="005D1A61" w:rsidRDefault="0045737E" w:rsidP="007A0A25">
      <w:pPr>
        <w:spacing w:after="0" w:line="360" w:lineRule="auto"/>
        <w:ind w:firstLine="851"/>
        <w:jc w:val="both"/>
        <w:rPr>
          <w:sz w:val="24"/>
          <w:szCs w:val="24"/>
        </w:rPr>
      </w:pPr>
      <m:oMath>
        <m:r>
          <w:rPr>
            <w:rFonts w:ascii="Cambria Math" w:hAnsi="Cambria Math"/>
            <w:sz w:val="24"/>
            <w:szCs w:val="24"/>
          </w:rPr>
          <m:t>xi=</m:t>
        </m:r>
        <m:f>
          <m:fPr>
            <m:ctrlPr>
              <w:rPr>
                <w:rFonts w:ascii="Cambria Math" w:hAnsi="Cambria Math"/>
                <w:sz w:val="24"/>
                <w:szCs w:val="24"/>
              </w:rPr>
            </m:ctrlPr>
          </m:fPr>
          <m:num>
            <m:r>
              <w:rPr>
                <w:rFonts w:ascii="Cambria Math" w:hAnsi="Cambria Math"/>
                <w:sz w:val="24"/>
                <w:szCs w:val="24"/>
              </w:rPr>
              <m:t xml:space="preserve">Pit*Xit- Pih*Xih-Piy*Xiy </m:t>
            </m:r>
          </m:num>
          <m:den>
            <m:r>
              <w:rPr>
                <w:rFonts w:ascii="Cambria Math" w:hAnsi="Cambria Math"/>
                <w:sz w:val="24"/>
                <w:szCs w:val="24"/>
              </w:rPr>
              <m:t>Pi</m:t>
            </m:r>
          </m:den>
        </m:f>
        <m:r>
          <w:rPr>
            <w:rFonts w:ascii="Cambria Math" w:hAnsi="Cambria Math"/>
            <w:sz w:val="24"/>
            <w:szCs w:val="24"/>
          </w:rPr>
          <m:t>,</m:t>
        </m:r>
      </m:oMath>
      <w:r>
        <w:rPr>
          <w:sz w:val="24"/>
          <w:szCs w:val="24"/>
        </w:rPr>
        <w:t xml:space="preserve">   </w:t>
      </w:r>
      <w:r>
        <w:rPr>
          <w:sz w:val="24"/>
          <w:szCs w:val="24"/>
        </w:rPr>
        <w:tab/>
        <w:t>(8)</w:t>
      </w:r>
    </w:p>
    <w:p w14:paraId="03E63965" w14:textId="77777777" w:rsidR="005D1A61" w:rsidRDefault="0045737E" w:rsidP="007A0A25">
      <w:pPr>
        <w:spacing w:after="0" w:line="360" w:lineRule="auto"/>
        <w:jc w:val="both"/>
        <w:rPr>
          <w:sz w:val="24"/>
          <w:szCs w:val="24"/>
        </w:rPr>
      </w:pPr>
      <w:r>
        <w:rPr>
          <w:sz w:val="24"/>
          <w:szCs w:val="24"/>
        </w:rPr>
        <w:t xml:space="preserve">где </w:t>
      </w:r>
      <w:proofErr w:type="spellStart"/>
      <w:r>
        <w:rPr>
          <w:sz w:val="24"/>
          <w:szCs w:val="24"/>
        </w:rPr>
        <w:t>xi</w:t>
      </w:r>
      <w:proofErr w:type="spellEnd"/>
      <w:r>
        <w:rPr>
          <w:sz w:val="24"/>
          <w:szCs w:val="24"/>
        </w:rPr>
        <w:t xml:space="preserve"> – искомое значения показателя в i период для Тюменской области без ХМАО и ЯНАО; </w:t>
      </w:r>
      <w:proofErr w:type="spellStart"/>
      <w:r>
        <w:rPr>
          <w:sz w:val="24"/>
          <w:szCs w:val="24"/>
        </w:rPr>
        <w:t>Pit</w:t>
      </w:r>
      <w:proofErr w:type="spellEnd"/>
      <w:r>
        <w:rPr>
          <w:sz w:val="24"/>
          <w:szCs w:val="24"/>
        </w:rPr>
        <w:t xml:space="preserve"> – население в i период для t – Тюменской области; </w:t>
      </w:r>
      <w:proofErr w:type="spellStart"/>
      <w:r>
        <w:rPr>
          <w:sz w:val="24"/>
          <w:szCs w:val="24"/>
        </w:rPr>
        <w:t>Xit</w:t>
      </w:r>
      <w:proofErr w:type="spellEnd"/>
      <w:r>
        <w:rPr>
          <w:sz w:val="24"/>
          <w:szCs w:val="24"/>
        </w:rPr>
        <w:t xml:space="preserve"> – известное значение показателя в I период для t – Тюменской области; </w:t>
      </w:r>
      <w:proofErr w:type="spellStart"/>
      <w:r>
        <w:rPr>
          <w:sz w:val="24"/>
          <w:szCs w:val="24"/>
        </w:rPr>
        <w:t>Pih</w:t>
      </w:r>
      <w:proofErr w:type="spellEnd"/>
      <w:r>
        <w:rPr>
          <w:sz w:val="24"/>
          <w:szCs w:val="24"/>
        </w:rPr>
        <w:t xml:space="preserve"> и </w:t>
      </w:r>
      <w:proofErr w:type="spellStart"/>
      <w:r>
        <w:rPr>
          <w:sz w:val="24"/>
          <w:szCs w:val="24"/>
        </w:rPr>
        <w:t>Xih</w:t>
      </w:r>
      <w:proofErr w:type="spellEnd"/>
      <w:r>
        <w:rPr>
          <w:sz w:val="24"/>
          <w:szCs w:val="24"/>
        </w:rPr>
        <w:t xml:space="preserve"> – значения для ХМАО; </w:t>
      </w:r>
      <w:proofErr w:type="spellStart"/>
      <w:r>
        <w:rPr>
          <w:sz w:val="24"/>
          <w:szCs w:val="24"/>
        </w:rPr>
        <w:t>Piy</w:t>
      </w:r>
      <w:proofErr w:type="spellEnd"/>
      <w:r>
        <w:rPr>
          <w:sz w:val="24"/>
          <w:szCs w:val="24"/>
        </w:rPr>
        <w:t xml:space="preserve"> и </w:t>
      </w:r>
      <w:proofErr w:type="spellStart"/>
      <w:r>
        <w:rPr>
          <w:sz w:val="24"/>
          <w:szCs w:val="24"/>
        </w:rPr>
        <w:t>Xiy</w:t>
      </w:r>
      <w:proofErr w:type="spellEnd"/>
      <w:r>
        <w:rPr>
          <w:sz w:val="24"/>
          <w:szCs w:val="24"/>
        </w:rPr>
        <w:t xml:space="preserve"> – значения для ЯНАО.</w:t>
      </w:r>
    </w:p>
    <w:p w14:paraId="32349655" w14:textId="77777777" w:rsidR="005D1A61" w:rsidRDefault="0045737E" w:rsidP="007A0A25">
      <w:pPr>
        <w:spacing w:after="0" w:line="360" w:lineRule="auto"/>
        <w:ind w:firstLine="851"/>
        <w:jc w:val="both"/>
        <w:rPr>
          <w:sz w:val="24"/>
          <w:szCs w:val="24"/>
        </w:rPr>
      </w:pPr>
      <w:r>
        <w:rPr>
          <w:sz w:val="24"/>
          <w:szCs w:val="24"/>
        </w:rPr>
        <w:t>Такие расчеты позволили оценить положение Тюменской области без округов за более продолжительный период. Погрешность, проверяемая расчетом на известный период, составила менее 2%, что не нарушает распространенный уровень доверительного интервала в 95%. Однако нельзя упускать из внимания то, что такой способ получения данных может искажать картину в виду недостоверных начальных статистических данных.</w:t>
      </w:r>
    </w:p>
    <w:p w14:paraId="26780F06" w14:textId="77777777" w:rsidR="007A0A25" w:rsidRDefault="007A0A25" w:rsidP="007A0A25">
      <w:pPr>
        <w:spacing w:after="0" w:line="360" w:lineRule="auto"/>
        <w:ind w:firstLine="851"/>
        <w:jc w:val="both"/>
        <w:rPr>
          <w:sz w:val="24"/>
          <w:szCs w:val="24"/>
        </w:rPr>
      </w:pPr>
    </w:p>
    <w:p w14:paraId="66E53258" w14:textId="77777777" w:rsidR="007A0A25" w:rsidRDefault="007A0A25" w:rsidP="007A0A25">
      <w:pPr>
        <w:spacing w:after="0" w:line="360" w:lineRule="auto"/>
        <w:ind w:firstLine="851"/>
        <w:jc w:val="both"/>
        <w:rPr>
          <w:sz w:val="24"/>
          <w:szCs w:val="24"/>
        </w:rPr>
      </w:pPr>
    </w:p>
    <w:p w14:paraId="01C939A8" w14:textId="77777777" w:rsidR="007A0A25" w:rsidRDefault="007A0A25" w:rsidP="007A0A25">
      <w:pPr>
        <w:spacing w:after="0" w:line="360" w:lineRule="auto"/>
        <w:ind w:firstLine="851"/>
        <w:jc w:val="both"/>
        <w:rPr>
          <w:sz w:val="24"/>
          <w:szCs w:val="24"/>
        </w:rPr>
      </w:pPr>
    </w:p>
    <w:p w14:paraId="1FB593C9" w14:textId="77777777" w:rsidR="007A0A25" w:rsidRDefault="007A0A25" w:rsidP="007A0A25">
      <w:pPr>
        <w:spacing w:after="0" w:line="360" w:lineRule="auto"/>
        <w:ind w:firstLine="851"/>
        <w:jc w:val="both"/>
        <w:rPr>
          <w:sz w:val="24"/>
          <w:szCs w:val="24"/>
        </w:rPr>
      </w:pPr>
    </w:p>
    <w:p w14:paraId="13F350E1" w14:textId="77777777" w:rsidR="007A0A25" w:rsidRDefault="007A0A25" w:rsidP="007A0A25">
      <w:pPr>
        <w:spacing w:after="0" w:line="360" w:lineRule="auto"/>
        <w:ind w:firstLine="851"/>
        <w:jc w:val="both"/>
        <w:rPr>
          <w:sz w:val="24"/>
          <w:szCs w:val="24"/>
        </w:rPr>
      </w:pPr>
    </w:p>
    <w:p w14:paraId="78727D75" w14:textId="77777777" w:rsidR="007A0A25" w:rsidRDefault="007A0A25" w:rsidP="007A0A25">
      <w:pPr>
        <w:spacing w:after="0" w:line="360" w:lineRule="auto"/>
        <w:ind w:firstLine="851"/>
        <w:jc w:val="both"/>
        <w:rPr>
          <w:sz w:val="24"/>
          <w:szCs w:val="24"/>
        </w:rPr>
      </w:pPr>
    </w:p>
    <w:p w14:paraId="5B43FAC5" w14:textId="77777777" w:rsidR="007A0A25" w:rsidRDefault="007A0A25" w:rsidP="007A0A25">
      <w:pPr>
        <w:spacing w:after="0" w:line="360" w:lineRule="auto"/>
        <w:ind w:firstLine="851"/>
        <w:jc w:val="both"/>
        <w:rPr>
          <w:sz w:val="24"/>
          <w:szCs w:val="24"/>
        </w:rPr>
      </w:pPr>
    </w:p>
    <w:p w14:paraId="59F84EC7" w14:textId="77777777" w:rsidR="007A0A25" w:rsidRDefault="007A0A25" w:rsidP="007A0A25">
      <w:pPr>
        <w:spacing w:after="0" w:line="360" w:lineRule="auto"/>
        <w:ind w:firstLine="851"/>
        <w:jc w:val="both"/>
        <w:rPr>
          <w:sz w:val="24"/>
          <w:szCs w:val="24"/>
        </w:rPr>
      </w:pPr>
    </w:p>
    <w:p w14:paraId="25F301C2" w14:textId="77777777" w:rsidR="007A0A25" w:rsidRDefault="007A0A25" w:rsidP="007A0A25">
      <w:pPr>
        <w:spacing w:after="0" w:line="360" w:lineRule="auto"/>
        <w:ind w:firstLine="851"/>
        <w:jc w:val="both"/>
        <w:rPr>
          <w:sz w:val="24"/>
          <w:szCs w:val="24"/>
        </w:rPr>
      </w:pPr>
    </w:p>
    <w:p w14:paraId="769744AB" w14:textId="77777777" w:rsidR="007A0A25" w:rsidRDefault="007A0A25" w:rsidP="007A0A25">
      <w:pPr>
        <w:spacing w:after="0" w:line="360" w:lineRule="auto"/>
        <w:ind w:firstLine="851"/>
        <w:jc w:val="both"/>
        <w:rPr>
          <w:sz w:val="24"/>
          <w:szCs w:val="24"/>
        </w:rPr>
      </w:pPr>
    </w:p>
    <w:p w14:paraId="2432421E" w14:textId="77777777" w:rsidR="007A0A25" w:rsidRDefault="007A0A25" w:rsidP="007A0A25">
      <w:pPr>
        <w:spacing w:after="0" w:line="360" w:lineRule="auto"/>
        <w:ind w:firstLine="851"/>
        <w:jc w:val="both"/>
        <w:rPr>
          <w:sz w:val="24"/>
          <w:szCs w:val="24"/>
        </w:rPr>
      </w:pPr>
    </w:p>
    <w:p w14:paraId="371F4540" w14:textId="77777777" w:rsidR="007A0A25" w:rsidRDefault="007A0A25" w:rsidP="007A0A25">
      <w:pPr>
        <w:spacing w:after="0" w:line="360" w:lineRule="auto"/>
        <w:ind w:firstLine="851"/>
        <w:jc w:val="both"/>
        <w:rPr>
          <w:sz w:val="24"/>
          <w:szCs w:val="24"/>
        </w:rPr>
      </w:pPr>
    </w:p>
    <w:p w14:paraId="45B0859C" w14:textId="77777777" w:rsidR="007A0A25" w:rsidRDefault="007A0A25" w:rsidP="007A0A25">
      <w:pPr>
        <w:spacing w:after="0" w:line="360" w:lineRule="auto"/>
        <w:ind w:firstLine="851"/>
        <w:jc w:val="both"/>
        <w:rPr>
          <w:sz w:val="24"/>
          <w:szCs w:val="24"/>
        </w:rPr>
      </w:pPr>
    </w:p>
    <w:p w14:paraId="200297F4" w14:textId="77777777" w:rsidR="007A0A25" w:rsidRDefault="007A0A25" w:rsidP="007A0A25">
      <w:pPr>
        <w:spacing w:after="0" w:line="360" w:lineRule="auto"/>
        <w:ind w:firstLine="851"/>
        <w:jc w:val="both"/>
        <w:rPr>
          <w:sz w:val="24"/>
          <w:szCs w:val="24"/>
        </w:rPr>
      </w:pPr>
    </w:p>
    <w:p w14:paraId="1E8C1CCC" w14:textId="77777777" w:rsidR="007A0A25" w:rsidRDefault="007A0A25" w:rsidP="007A0A25">
      <w:pPr>
        <w:spacing w:after="0" w:line="360" w:lineRule="auto"/>
        <w:ind w:firstLine="851"/>
        <w:jc w:val="both"/>
      </w:pPr>
    </w:p>
    <w:p w14:paraId="00397795" w14:textId="1D0CC2F6" w:rsidR="005D1A61" w:rsidRDefault="0045737E">
      <w:pPr>
        <w:pStyle w:val="1"/>
        <w:jc w:val="center"/>
        <w:rPr>
          <w:sz w:val="28"/>
          <w:szCs w:val="28"/>
        </w:rPr>
      </w:pPr>
      <w:bookmarkStart w:id="11" w:name="_Toc136642117"/>
      <w:bookmarkStart w:id="12" w:name="_Toc136642360"/>
      <w:r>
        <w:rPr>
          <w:sz w:val="28"/>
          <w:szCs w:val="28"/>
        </w:rPr>
        <w:lastRenderedPageBreak/>
        <w:t>Г</w:t>
      </w:r>
      <w:r w:rsidR="00C02501">
        <w:rPr>
          <w:sz w:val="28"/>
          <w:szCs w:val="28"/>
        </w:rPr>
        <w:t>лава</w:t>
      </w:r>
      <w:r>
        <w:rPr>
          <w:sz w:val="28"/>
          <w:szCs w:val="28"/>
        </w:rPr>
        <w:t xml:space="preserve"> 2. Социально-экономическое развитие регионов Уральского федерального округа Российской Федерации</w:t>
      </w:r>
      <w:bookmarkEnd w:id="11"/>
      <w:bookmarkEnd w:id="12"/>
      <w:r>
        <w:rPr>
          <w:sz w:val="28"/>
          <w:szCs w:val="28"/>
        </w:rPr>
        <w:t xml:space="preserve"> </w:t>
      </w:r>
    </w:p>
    <w:p w14:paraId="37AD4ED2" w14:textId="77777777" w:rsidR="005D1A61" w:rsidRDefault="0045737E">
      <w:pPr>
        <w:pStyle w:val="1"/>
        <w:jc w:val="center"/>
        <w:rPr>
          <w:sz w:val="28"/>
          <w:szCs w:val="28"/>
        </w:rPr>
      </w:pPr>
      <w:bookmarkStart w:id="13" w:name="_Toc136642118"/>
      <w:bookmarkStart w:id="14" w:name="_Toc136642361"/>
      <w:r>
        <w:rPr>
          <w:sz w:val="28"/>
          <w:szCs w:val="28"/>
        </w:rPr>
        <w:t>2.1. Природно-территориальная структура</w:t>
      </w:r>
      <w:bookmarkEnd w:id="13"/>
      <w:bookmarkEnd w:id="14"/>
    </w:p>
    <w:p w14:paraId="0EB590E8" w14:textId="77777777" w:rsidR="005D1A61" w:rsidRDefault="0045737E" w:rsidP="007A0A25">
      <w:pPr>
        <w:spacing w:after="0" w:line="360" w:lineRule="auto"/>
        <w:ind w:firstLine="851"/>
        <w:jc w:val="both"/>
        <w:rPr>
          <w:sz w:val="24"/>
          <w:szCs w:val="24"/>
        </w:rPr>
      </w:pPr>
      <w:r>
        <w:rPr>
          <w:sz w:val="24"/>
          <w:szCs w:val="24"/>
        </w:rPr>
        <w:t>Уральский федеральный округ вбирает в себя четыре области (Свердловская, Челябинская, Курганская и Тюменская) и два автономных округа (Ямало-Ненецкий и Ханты-Мансийский) на северо-западе граничит с Северо-Западным федеральным округом (Ненецкий автономный округ и Республика Коми), на юго-западе -  с Приволжским федеральным округом (Пермский Край, Республика Башкортостан, Оренбургская область), на востоке - с Сибирским федеральным округом (Красноярский край, Томская область, Омская область), на юге – с  Республикой Казахстан (рис. 1).</w:t>
      </w:r>
    </w:p>
    <w:p w14:paraId="6684C223" w14:textId="77777777" w:rsidR="005D1A61" w:rsidRDefault="0045737E" w:rsidP="007A0A25">
      <w:pPr>
        <w:spacing w:line="360" w:lineRule="auto"/>
        <w:jc w:val="center"/>
        <w:rPr>
          <w:sz w:val="24"/>
          <w:szCs w:val="24"/>
          <w:shd w:val="clear" w:color="auto" w:fill="B6D7A8"/>
        </w:rPr>
      </w:pPr>
      <w:r>
        <w:rPr>
          <w:noProof/>
          <w:sz w:val="24"/>
          <w:szCs w:val="24"/>
          <w:shd w:val="clear" w:color="auto" w:fill="B6D7A8"/>
        </w:rPr>
        <w:drawing>
          <wp:inline distT="0" distB="0" distL="0" distR="0" wp14:anchorId="18C20DE4" wp14:editId="679B97FA">
            <wp:extent cx="3831590" cy="5410200"/>
            <wp:effectExtent l="0" t="0" r="0" b="0"/>
            <wp:docPr id="33" name="image48.png" descr="общая карта"/>
            <wp:cNvGraphicFramePr/>
            <a:graphic xmlns:a="http://schemas.openxmlformats.org/drawingml/2006/main">
              <a:graphicData uri="http://schemas.openxmlformats.org/drawingml/2006/picture">
                <pic:pic xmlns:pic="http://schemas.openxmlformats.org/drawingml/2006/picture">
                  <pic:nvPicPr>
                    <pic:cNvPr id="0" name="image48.png" descr="общая карта"/>
                    <pic:cNvPicPr preferRelativeResize="0"/>
                  </pic:nvPicPr>
                  <pic:blipFill>
                    <a:blip r:embed="rId6"/>
                    <a:srcRect/>
                    <a:stretch>
                      <a:fillRect/>
                    </a:stretch>
                  </pic:blipFill>
                  <pic:spPr>
                    <a:xfrm>
                      <a:off x="0" y="0"/>
                      <a:ext cx="3831590" cy="5410200"/>
                    </a:xfrm>
                    <a:prstGeom prst="rect">
                      <a:avLst/>
                    </a:prstGeom>
                    <a:ln/>
                  </pic:spPr>
                </pic:pic>
              </a:graphicData>
            </a:graphic>
          </wp:inline>
        </w:drawing>
      </w:r>
    </w:p>
    <w:p w14:paraId="0E1898DA" w14:textId="77777777" w:rsidR="005D1A61" w:rsidRDefault="0045737E">
      <w:pPr>
        <w:spacing w:line="360" w:lineRule="auto"/>
        <w:jc w:val="both"/>
        <w:rPr>
          <w:sz w:val="24"/>
          <w:szCs w:val="24"/>
        </w:rPr>
      </w:pPr>
      <w:r>
        <w:rPr>
          <w:sz w:val="24"/>
          <w:szCs w:val="24"/>
        </w:rPr>
        <w:t xml:space="preserve">Рис. 1. Состав и границы Уральского Федерального округа Российской Федерации (составлено по данным из </w:t>
      </w:r>
      <w:proofErr w:type="spellStart"/>
      <w:r>
        <w:rPr>
          <w:sz w:val="24"/>
          <w:szCs w:val="24"/>
        </w:rPr>
        <w:t>OpenStreetMap</w:t>
      </w:r>
      <w:proofErr w:type="spellEnd"/>
      <w:r>
        <w:rPr>
          <w:sz w:val="24"/>
          <w:szCs w:val="24"/>
        </w:rPr>
        <w:t>).</w:t>
      </w:r>
    </w:p>
    <w:p w14:paraId="60AC9865" w14:textId="77777777" w:rsidR="005D1A61" w:rsidRDefault="0045737E" w:rsidP="0045737E">
      <w:pPr>
        <w:spacing w:after="0" w:line="360" w:lineRule="auto"/>
        <w:ind w:firstLine="851"/>
        <w:jc w:val="both"/>
        <w:rPr>
          <w:sz w:val="24"/>
          <w:szCs w:val="24"/>
        </w:rPr>
      </w:pPr>
      <w:r>
        <w:rPr>
          <w:sz w:val="24"/>
          <w:szCs w:val="24"/>
        </w:rPr>
        <w:lastRenderedPageBreak/>
        <w:t xml:space="preserve">Хотя федеральный округ и называется Уральским, к Уралу, как к физико-географической стране, не относится </w:t>
      </w:r>
      <w:r w:rsidRPr="00F80D58">
        <w:rPr>
          <w:sz w:val="24"/>
          <w:szCs w:val="24"/>
        </w:rPr>
        <w:t>полностью ни один субъект. Горный хребет проходит по востоку УрФО и занимает 79,2% площади в Челябинской области, 4,5% в ХМАО, 40,5% в Свердловской области, 3,8% в ЯНАО (Шакиров, 2012). Курганская и Тюменская области полностью располагаются в Западной Сибири.</w:t>
      </w:r>
      <w:r>
        <w:rPr>
          <w:sz w:val="24"/>
          <w:szCs w:val="24"/>
        </w:rPr>
        <w:t xml:space="preserve"> </w:t>
      </w:r>
    </w:p>
    <w:p w14:paraId="585F332E" w14:textId="77777777" w:rsidR="005D1A61" w:rsidRDefault="0045737E" w:rsidP="0045737E">
      <w:pPr>
        <w:spacing w:after="0" w:line="360" w:lineRule="auto"/>
        <w:ind w:firstLine="851"/>
        <w:jc w:val="both"/>
        <w:rPr>
          <w:sz w:val="24"/>
          <w:szCs w:val="24"/>
        </w:rPr>
      </w:pPr>
      <w:r>
        <w:rPr>
          <w:sz w:val="24"/>
          <w:szCs w:val="24"/>
        </w:rPr>
        <w:t>Территория УрФО располагается в бассейнах Волги (западная часть Челябинской и Свердловской областей), Урала (юго-западная часть Челябинской области), Оби (полностью Тюменская и Курганская области и ХМАО, частично ЯНАО) и Надыма и Таза (северная часть ЯНАО). Крупнейшими реками территории, соответственно, являются Обь и ее притоки – Ишим, Иртыш; Урал, Надым, Таз. ЯНАО имеет выход к Карскому морю Северного Ледовитого океана.</w:t>
      </w:r>
    </w:p>
    <w:p w14:paraId="573B5968" w14:textId="77777777" w:rsidR="005D1A61" w:rsidRDefault="0045737E" w:rsidP="0045737E">
      <w:pPr>
        <w:spacing w:after="0" w:line="360" w:lineRule="auto"/>
        <w:ind w:firstLine="851"/>
        <w:jc w:val="both"/>
        <w:rPr>
          <w:sz w:val="24"/>
          <w:szCs w:val="24"/>
        </w:rPr>
      </w:pPr>
      <w:r>
        <w:rPr>
          <w:sz w:val="24"/>
          <w:szCs w:val="24"/>
        </w:rPr>
        <w:t xml:space="preserve">Регион находится в глубине Евразийского материка и имеет континентальный климат. Челябинская, Курганская, Тюменская, Свердловская области и ХМАО располагаются в умеренном поясе, Ямало-Ненецкий автономный округ разделен между умеренным, субарктическим и арктическим поясами. </w:t>
      </w:r>
    </w:p>
    <w:p w14:paraId="1AE1C1A0" w14:textId="77777777" w:rsidR="005D1A61" w:rsidRDefault="0045737E" w:rsidP="0045737E">
      <w:pPr>
        <w:spacing w:after="0" w:line="360" w:lineRule="auto"/>
        <w:ind w:firstLine="851"/>
        <w:jc w:val="both"/>
        <w:rPr>
          <w:sz w:val="24"/>
          <w:szCs w:val="24"/>
        </w:rPr>
      </w:pPr>
      <w:r>
        <w:rPr>
          <w:sz w:val="24"/>
          <w:szCs w:val="24"/>
        </w:rPr>
        <w:t xml:space="preserve">Для оценки возможности ведения сельскохозяйственной деятельности на территории используют гидротермический коэффициент (ГТК) Селянинова, который вычисляется как отношение количества осадков к суммарному количеству температур за вегетационный период (обычно за период со среднесуточной температурой выше 10 градусов Цельсия). Градация увлажненности территории </w:t>
      </w:r>
      <w:proofErr w:type="gramStart"/>
      <w:r>
        <w:rPr>
          <w:sz w:val="24"/>
          <w:szCs w:val="24"/>
        </w:rPr>
        <w:t>по показателю</w:t>
      </w:r>
      <w:proofErr w:type="gramEnd"/>
      <w:r>
        <w:rPr>
          <w:sz w:val="24"/>
          <w:szCs w:val="24"/>
        </w:rPr>
        <w:t xml:space="preserve"> следующая: 1,6 – 1,3 – избыточное увлажнение; 1,3 – 1,0 – достаточное увлажнение; 1,0 – 0,7 – засушливая; 0,7 – 0,4 – очень засушливая; менее 0,4 – сухая. </w:t>
      </w:r>
    </w:p>
    <w:p w14:paraId="61CDDE9B" w14:textId="77777777" w:rsidR="005D1A61" w:rsidRDefault="0045737E" w:rsidP="0045737E">
      <w:pPr>
        <w:spacing w:after="0" w:line="360" w:lineRule="auto"/>
        <w:ind w:firstLine="851"/>
        <w:jc w:val="both"/>
        <w:rPr>
          <w:sz w:val="24"/>
          <w:szCs w:val="24"/>
        </w:rPr>
      </w:pPr>
      <w:r>
        <w:rPr>
          <w:sz w:val="24"/>
          <w:szCs w:val="24"/>
        </w:rPr>
        <w:t>В УрФО засушливое увлажнение установлено в южной части Челябинской и Курганской областей, достаточное увлажнение в северной части Челябинской и Курганской областей, в южной части Тюменской и Свердловской областей (приложение 2). В остальной части федерального округа увлажнение избыточное, что резко препятствует ведению там сельского хозяйства.</w:t>
      </w:r>
    </w:p>
    <w:p w14:paraId="31E1C517" w14:textId="77777777" w:rsidR="005D1A61" w:rsidRDefault="0045737E" w:rsidP="0045737E">
      <w:pPr>
        <w:spacing w:after="0" w:line="360" w:lineRule="auto"/>
        <w:ind w:firstLine="851"/>
        <w:jc w:val="both"/>
        <w:rPr>
          <w:sz w:val="24"/>
          <w:szCs w:val="24"/>
        </w:rPr>
      </w:pPr>
      <w:r>
        <w:rPr>
          <w:sz w:val="24"/>
          <w:szCs w:val="24"/>
        </w:rPr>
        <w:t xml:space="preserve">Продолжительность вегетационного периода (дни с среднесуточной температурой выше 10 градусов Цельсия) изменяется от 150 дней на юге Челябинской области к 120 в Курганской и Тюменской областях и до нулевых значений в арктической части ЯНАО (приложение 3). Для оценки этих значений необходимо привести справочные данные о вызревании некоторых сельскохозяйственных культур: мягкая яровая пшеница </w:t>
      </w:r>
      <w:proofErr w:type="gramStart"/>
      <w:r>
        <w:rPr>
          <w:sz w:val="24"/>
          <w:szCs w:val="24"/>
        </w:rPr>
        <w:t>–  85</w:t>
      </w:r>
      <w:proofErr w:type="gramEnd"/>
      <w:r>
        <w:rPr>
          <w:sz w:val="24"/>
          <w:szCs w:val="24"/>
        </w:rPr>
        <w:t>-105 дней, твердая яровая пшеница – 110-115 дней, овес – 100-120 дней, картофель – 100-110 дней. Можно сделать вывод, что зерновой сельское хозяйство возможно только</w:t>
      </w:r>
    </w:p>
    <w:p w14:paraId="3D52C298" w14:textId="77777777" w:rsidR="005D1A61" w:rsidRDefault="0045737E" w:rsidP="0045737E">
      <w:pPr>
        <w:spacing w:after="0" w:line="360" w:lineRule="auto"/>
        <w:ind w:firstLine="851"/>
        <w:jc w:val="both"/>
        <w:rPr>
          <w:sz w:val="24"/>
          <w:szCs w:val="24"/>
          <w:shd w:val="clear" w:color="auto" w:fill="93C47D"/>
        </w:rPr>
      </w:pPr>
      <w:r>
        <w:rPr>
          <w:sz w:val="24"/>
          <w:szCs w:val="24"/>
        </w:rPr>
        <w:lastRenderedPageBreak/>
        <w:t xml:space="preserve"> В южной части УрФО – в Челябинской и Курганской областях. В более северных территориях меньшее количество теплых дней в сочетании с избыточным увлажнением препятствуют выращивание большинства сельскохозяйственных культур. </w:t>
      </w:r>
    </w:p>
    <w:p w14:paraId="2B0026C0" w14:textId="77777777" w:rsidR="005D1A61" w:rsidRDefault="0045737E" w:rsidP="0045737E">
      <w:pPr>
        <w:spacing w:after="0" w:line="360" w:lineRule="auto"/>
        <w:ind w:firstLine="851"/>
        <w:jc w:val="both"/>
        <w:rPr>
          <w:sz w:val="24"/>
          <w:szCs w:val="24"/>
        </w:rPr>
      </w:pPr>
      <w:r>
        <w:rPr>
          <w:sz w:val="24"/>
          <w:szCs w:val="24"/>
        </w:rPr>
        <w:t xml:space="preserve">Уральский регион исторически развивался за счет добычи полезных ископаемых и производств, использующих ископаемые как сырье. Хотя Уральский регион и УрФО не одно и то же, на территории последнего открыто и разрабатывается большое количество месторождений самых разных ресурсов, основные отображены в приложениях 4 и 5. </w:t>
      </w:r>
    </w:p>
    <w:p w14:paraId="3FDB4BF2" w14:textId="77777777" w:rsidR="005D1A61" w:rsidRDefault="0045737E" w:rsidP="0045737E">
      <w:pPr>
        <w:spacing w:after="0" w:line="360" w:lineRule="auto"/>
        <w:ind w:firstLine="851"/>
        <w:jc w:val="both"/>
        <w:rPr>
          <w:sz w:val="24"/>
          <w:szCs w:val="24"/>
        </w:rPr>
      </w:pPr>
      <w:r>
        <w:rPr>
          <w:sz w:val="24"/>
          <w:szCs w:val="24"/>
        </w:rPr>
        <w:t xml:space="preserve">В общем виде расположение полезных ископаемых можно описать следующим образом: черные и цветные металлы располагаются вдоль Уральских гор – В Челябинской и Свердловской областях, нефть располагается преимущественно в Ханты-Мансийском АО, а газ в Ямало-Ненецком АО, есть также залежи бурого угля возле Челябинска. Единичные месторождения нефти открыты на севере Тюменской области. В Курганской области кроме строительных материалов, важным полезным ископаемым является урановая руда. </w:t>
      </w:r>
    </w:p>
    <w:p w14:paraId="5AFD6598" w14:textId="77777777" w:rsidR="005D1A61" w:rsidRDefault="0045737E" w:rsidP="0045737E">
      <w:pPr>
        <w:spacing w:after="0" w:line="360" w:lineRule="auto"/>
        <w:ind w:firstLine="720"/>
        <w:jc w:val="both"/>
        <w:rPr>
          <w:sz w:val="24"/>
          <w:szCs w:val="24"/>
        </w:rPr>
      </w:pPr>
      <w:r>
        <w:rPr>
          <w:sz w:val="24"/>
          <w:szCs w:val="24"/>
        </w:rPr>
        <w:t>Другим важным фактором развития территории является ее хозяйственная освоенность, рассмотрение которой возможно с разных сторон. Транспортная сеть отражает структуру расселения и показывает основной экономический каркас территории. Для определения общего развития транспортной сети используется коэффициент Энгеля, вычисляемый отношением для транспортных путей к корню произведения площади территории и населения в ней. Динамика этого показателя отображена на графике на рис. 2.</w:t>
      </w:r>
    </w:p>
    <w:p w14:paraId="462F5A86" w14:textId="77777777" w:rsidR="005D1A61" w:rsidRDefault="0045737E">
      <w:pPr>
        <w:rPr>
          <w:sz w:val="24"/>
          <w:szCs w:val="24"/>
        </w:rPr>
      </w:pPr>
      <w:r>
        <w:rPr>
          <w:noProof/>
        </w:rPr>
        <w:lastRenderedPageBreak/>
        <w:drawing>
          <wp:inline distT="0" distB="0" distL="0" distR="0" wp14:anchorId="57223BD8" wp14:editId="575EA822">
            <wp:extent cx="6103620" cy="4015740"/>
            <wp:effectExtent l="0" t="0" r="11430" b="2286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1B0AC82" w14:textId="77777777" w:rsidR="005D1A61" w:rsidRDefault="0045737E">
      <w:pPr>
        <w:rPr>
          <w:sz w:val="24"/>
          <w:szCs w:val="24"/>
        </w:rPr>
      </w:pPr>
      <w:r>
        <w:rPr>
          <w:sz w:val="24"/>
          <w:szCs w:val="24"/>
        </w:rPr>
        <w:t xml:space="preserve">Рис. 2. Динамика коэффициента Энгеля </w:t>
      </w:r>
      <w:r w:rsidRPr="00EC239E">
        <w:rPr>
          <w:sz w:val="24"/>
          <w:szCs w:val="24"/>
        </w:rPr>
        <w:t>по Уральскому федеральному округу и входящим в его состав субъектам Российской Федерации</w:t>
      </w:r>
      <w:r>
        <w:rPr>
          <w:sz w:val="24"/>
          <w:szCs w:val="24"/>
        </w:rPr>
        <w:t xml:space="preserve"> (составлен по данным Росстата и результатам расчетов автора).</w:t>
      </w:r>
    </w:p>
    <w:p w14:paraId="11D6CB4D" w14:textId="77777777" w:rsidR="005D1A61" w:rsidRDefault="0045737E">
      <w:pPr>
        <w:spacing w:line="360" w:lineRule="auto"/>
        <w:ind w:firstLine="851"/>
        <w:jc w:val="both"/>
        <w:rPr>
          <w:sz w:val="24"/>
          <w:szCs w:val="24"/>
        </w:rPr>
      </w:pPr>
      <w:r>
        <w:rPr>
          <w:sz w:val="24"/>
          <w:szCs w:val="24"/>
        </w:rPr>
        <w:t xml:space="preserve">Как видно из графика, динамика показателей по всем рассмотренным территориям является положительной. Наибольшее увеличение коэффициента в Тюменской области (без автономных округов) – 88,7%; в Курганской и Челябинской областях 68% и 63% соответственно; на 47% увеличились значения в Свердловской области, что немного ниже увеличения значений всего федерального округа (52%) и РФ (58%); наименьшее увеличение произошло в ХМАО (25%) и ЯНАО (28%). Наибольшие значения показателя в Курганской области объясняются уменьшением количества населения вместе с продолжающимся строительством дорог, что приводит к увеличению числителя и уменьшению знаменателя. </w:t>
      </w:r>
    </w:p>
    <w:p w14:paraId="7841F4CD" w14:textId="77777777" w:rsidR="005D1A61" w:rsidRDefault="0045737E" w:rsidP="00EC239E">
      <w:pPr>
        <w:spacing w:line="360" w:lineRule="auto"/>
        <w:ind w:firstLine="851"/>
        <w:jc w:val="both"/>
        <w:rPr>
          <w:sz w:val="24"/>
          <w:szCs w:val="24"/>
        </w:rPr>
      </w:pPr>
      <w:r>
        <w:rPr>
          <w:sz w:val="24"/>
          <w:szCs w:val="24"/>
        </w:rPr>
        <w:t>В целом плотность дорог значительно увеличилась во всех ре</w:t>
      </w:r>
      <w:r w:rsidR="00EC239E">
        <w:rPr>
          <w:sz w:val="24"/>
          <w:szCs w:val="24"/>
        </w:rPr>
        <w:t>гионах, что отображено на рис. 3</w:t>
      </w:r>
      <w:r>
        <w:rPr>
          <w:sz w:val="24"/>
          <w:szCs w:val="24"/>
        </w:rPr>
        <w:t xml:space="preserve">. Резкие увеличения значений в динамике обусловлены не большим строительством дорог за год, а постановкой на учет большого количества дорожных участков. Плотность дорог наибольшая в Челябинской, Курганской и Свердловской областях (240, 135 и 131 километр на километр квадратный на 2021 год соответственно), что объясняется наибольшей освоенностью этих регионов, наиболее длительной историей освоения этих территорий, а также относительно хорошими условиями для проживания и </w:t>
      </w:r>
      <w:r>
        <w:rPr>
          <w:sz w:val="24"/>
          <w:szCs w:val="24"/>
        </w:rPr>
        <w:lastRenderedPageBreak/>
        <w:t>ведения здесь деятельности (в первую очередь сельскохозяйственной, поскольку для обслуживания полей необходима плотная автодорожная сеть).</w:t>
      </w:r>
    </w:p>
    <w:p w14:paraId="155966A5" w14:textId="77777777" w:rsidR="00EC239E" w:rsidRDefault="00EC239E">
      <w:pPr>
        <w:spacing w:line="360" w:lineRule="auto"/>
        <w:jc w:val="both"/>
        <w:rPr>
          <w:sz w:val="24"/>
          <w:szCs w:val="24"/>
        </w:rPr>
      </w:pPr>
      <w:r>
        <w:rPr>
          <w:noProof/>
        </w:rPr>
        <w:drawing>
          <wp:inline distT="0" distB="0" distL="0" distR="0" wp14:anchorId="6564F1F2" wp14:editId="6CA2C9B2">
            <wp:extent cx="5940425" cy="4315460"/>
            <wp:effectExtent l="0" t="0" r="22225" b="2794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1C37952" w14:textId="77777777" w:rsidR="005D1A61" w:rsidRDefault="00EC239E">
      <w:pPr>
        <w:spacing w:line="360" w:lineRule="auto"/>
        <w:jc w:val="both"/>
        <w:rPr>
          <w:sz w:val="24"/>
          <w:szCs w:val="24"/>
        </w:rPr>
      </w:pPr>
      <w:r>
        <w:rPr>
          <w:sz w:val="24"/>
          <w:szCs w:val="24"/>
        </w:rPr>
        <w:t>Рис. 3</w:t>
      </w:r>
      <w:r w:rsidR="0045737E">
        <w:rPr>
          <w:sz w:val="24"/>
          <w:szCs w:val="24"/>
        </w:rPr>
        <w:t>. Плотность автомобильных дорог в РФ, Уральскому федеральному округу и входящим в его состав субъектам РФ (составлен по результатам расчетов автора).</w:t>
      </w:r>
    </w:p>
    <w:p w14:paraId="63120D2A" w14:textId="77777777" w:rsidR="005D1A61" w:rsidRDefault="0045737E">
      <w:pPr>
        <w:spacing w:line="360" w:lineRule="auto"/>
        <w:ind w:firstLine="851"/>
        <w:jc w:val="both"/>
        <w:rPr>
          <w:sz w:val="24"/>
          <w:szCs w:val="24"/>
          <w:highlight w:val="white"/>
        </w:rPr>
      </w:pPr>
      <w:r>
        <w:rPr>
          <w:sz w:val="24"/>
          <w:szCs w:val="24"/>
        </w:rPr>
        <w:t xml:space="preserve">Наиболее простым при исследовании транспортного каркаса большой территории представляется вариант транспортной доступности городов, построенный на основе дорожного графа, в который включены дороги федерального, регионального, муниципального и местного значения. На основе дорожной сети построены буферные зоны населенных </w:t>
      </w:r>
      <w:r w:rsidRPr="00F80D58">
        <w:rPr>
          <w:sz w:val="24"/>
          <w:szCs w:val="24"/>
        </w:rPr>
        <w:t>пунктов разной населенности, категории населенности выбраны на основе градостроительной практики, где выделяют малые города – до 50 тысяч населения, средние города – 50-100 тысяч человек, крупные 100-250 тысяч человек и крупнейшие – население свыше 1 млн. человек (Старовойтов, Медведева, 2008). Средние скорости на дорогах взяты из исследования транспортной связанности муниципальных образований Красноярского края, являющегося соседом УрФО и имеет схожую широтную протяженность. Скорость на дорогах федерального значения – 78 км/ч, для региональных и межмуниципальных – 63 км/ч, для местных – 41 км/ч (</w:t>
      </w:r>
      <w:proofErr w:type="spellStart"/>
      <w:r w:rsidRPr="00F80D58">
        <w:rPr>
          <w:sz w:val="24"/>
          <w:szCs w:val="24"/>
        </w:rPr>
        <w:t>Житин</w:t>
      </w:r>
      <w:proofErr w:type="spellEnd"/>
      <w:r w:rsidRPr="00F80D58">
        <w:rPr>
          <w:sz w:val="24"/>
          <w:szCs w:val="24"/>
        </w:rPr>
        <w:t xml:space="preserve">, </w:t>
      </w:r>
      <w:proofErr w:type="spellStart"/>
      <w:r w:rsidRPr="00F80D58">
        <w:rPr>
          <w:sz w:val="24"/>
          <w:szCs w:val="24"/>
        </w:rPr>
        <w:t>Морачевская</w:t>
      </w:r>
      <w:proofErr w:type="spellEnd"/>
      <w:r w:rsidRPr="00F80D58">
        <w:rPr>
          <w:sz w:val="24"/>
          <w:szCs w:val="24"/>
        </w:rPr>
        <w:t xml:space="preserve">, 2021). </w:t>
      </w:r>
      <w:r>
        <w:rPr>
          <w:sz w:val="24"/>
          <w:szCs w:val="24"/>
          <w:highlight w:val="white"/>
        </w:rPr>
        <w:lastRenderedPageBreak/>
        <w:t>Таким образом была получена карта с временными расстояниями от городов с населением свыше 50 тысяч</w:t>
      </w:r>
      <w:r w:rsidR="00EC239E">
        <w:rPr>
          <w:sz w:val="24"/>
          <w:szCs w:val="24"/>
          <w:highlight w:val="white"/>
        </w:rPr>
        <w:t xml:space="preserve"> (рис. 4 и 5</w:t>
      </w:r>
      <w:r>
        <w:rPr>
          <w:sz w:val="24"/>
          <w:szCs w:val="24"/>
          <w:highlight w:val="white"/>
        </w:rPr>
        <w:t>).</w:t>
      </w:r>
    </w:p>
    <w:p w14:paraId="468FDDF2" w14:textId="77777777" w:rsidR="005D1A61" w:rsidRDefault="0045737E">
      <w:pPr>
        <w:spacing w:line="360" w:lineRule="auto"/>
        <w:jc w:val="both"/>
        <w:rPr>
          <w:color w:val="222222"/>
          <w:sz w:val="24"/>
          <w:szCs w:val="24"/>
          <w:highlight w:val="white"/>
        </w:rPr>
      </w:pPr>
      <w:r>
        <w:rPr>
          <w:noProof/>
          <w:color w:val="222222"/>
          <w:sz w:val="24"/>
          <w:szCs w:val="24"/>
          <w:highlight w:val="white"/>
        </w:rPr>
        <w:drawing>
          <wp:inline distT="0" distB="0" distL="0" distR="0" wp14:anchorId="3C20AA60" wp14:editId="4C34F054">
            <wp:extent cx="5113020" cy="3566160"/>
            <wp:effectExtent l="0" t="0" r="0" b="0"/>
            <wp:docPr id="38" name="image36.png" descr="osv"/>
            <wp:cNvGraphicFramePr/>
            <a:graphic xmlns:a="http://schemas.openxmlformats.org/drawingml/2006/main">
              <a:graphicData uri="http://schemas.openxmlformats.org/drawingml/2006/picture">
                <pic:pic xmlns:pic="http://schemas.openxmlformats.org/drawingml/2006/picture">
                  <pic:nvPicPr>
                    <pic:cNvPr id="0" name="image36.png" descr="osv"/>
                    <pic:cNvPicPr preferRelativeResize="0"/>
                  </pic:nvPicPr>
                  <pic:blipFill>
                    <a:blip r:embed="rId9"/>
                    <a:srcRect/>
                    <a:stretch>
                      <a:fillRect/>
                    </a:stretch>
                  </pic:blipFill>
                  <pic:spPr>
                    <a:xfrm>
                      <a:off x="0" y="0"/>
                      <a:ext cx="5115556" cy="3567929"/>
                    </a:xfrm>
                    <a:prstGeom prst="rect">
                      <a:avLst/>
                    </a:prstGeom>
                    <a:ln/>
                  </pic:spPr>
                </pic:pic>
              </a:graphicData>
            </a:graphic>
          </wp:inline>
        </w:drawing>
      </w:r>
    </w:p>
    <w:p w14:paraId="18427704" w14:textId="77777777" w:rsidR="005D1A61" w:rsidRDefault="00EC239E">
      <w:pPr>
        <w:spacing w:line="360" w:lineRule="auto"/>
        <w:jc w:val="both"/>
        <w:rPr>
          <w:color w:val="222222"/>
          <w:sz w:val="24"/>
          <w:szCs w:val="24"/>
        </w:rPr>
      </w:pPr>
      <w:r>
        <w:rPr>
          <w:color w:val="222222"/>
          <w:sz w:val="24"/>
          <w:szCs w:val="24"/>
        </w:rPr>
        <w:t>Рис. 4</w:t>
      </w:r>
      <w:r w:rsidR="0045737E">
        <w:rPr>
          <w:color w:val="222222"/>
          <w:sz w:val="24"/>
          <w:szCs w:val="24"/>
        </w:rPr>
        <w:t xml:space="preserve">. Временная доступность городов южной части Уральского федерального округа с населением свыше 50 тыс. человек (составлен автором по данным </w:t>
      </w:r>
      <w:proofErr w:type="spellStart"/>
      <w:r w:rsidR="0045737E">
        <w:rPr>
          <w:color w:val="222222"/>
          <w:sz w:val="24"/>
          <w:szCs w:val="24"/>
        </w:rPr>
        <w:t>OpenStreetMap</w:t>
      </w:r>
      <w:proofErr w:type="spellEnd"/>
      <w:r w:rsidR="0045737E">
        <w:rPr>
          <w:color w:val="222222"/>
          <w:sz w:val="24"/>
          <w:szCs w:val="24"/>
        </w:rPr>
        <w:t>)</w:t>
      </w:r>
    </w:p>
    <w:p w14:paraId="48DC8FB9" w14:textId="77777777" w:rsidR="005D1A61" w:rsidRDefault="0045737E">
      <w:pPr>
        <w:spacing w:line="360" w:lineRule="auto"/>
        <w:jc w:val="both"/>
        <w:rPr>
          <w:color w:val="222222"/>
          <w:sz w:val="24"/>
          <w:szCs w:val="24"/>
        </w:rPr>
      </w:pPr>
      <w:r>
        <w:rPr>
          <w:noProof/>
          <w:color w:val="222222"/>
          <w:sz w:val="24"/>
          <w:szCs w:val="24"/>
        </w:rPr>
        <w:drawing>
          <wp:inline distT="0" distB="0" distL="0" distR="0" wp14:anchorId="25F49CFC" wp14:editId="34373A8D">
            <wp:extent cx="4861560" cy="3360420"/>
            <wp:effectExtent l="0" t="0" r="0" b="0"/>
            <wp:docPr id="44" name="image45.png" descr="E:\data\Диплом\Глава 2\Карты\osv_2.png"/>
            <wp:cNvGraphicFramePr/>
            <a:graphic xmlns:a="http://schemas.openxmlformats.org/drawingml/2006/main">
              <a:graphicData uri="http://schemas.openxmlformats.org/drawingml/2006/picture">
                <pic:pic xmlns:pic="http://schemas.openxmlformats.org/drawingml/2006/picture">
                  <pic:nvPicPr>
                    <pic:cNvPr id="0" name="image45.png" descr="E:\data\Диплом\Глава 2\Карты\osv_2.png"/>
                    <pic:cNvPicPr preferRelativeResize="0"/>
                  </pic:nvPicPr>
                  <pic:blipFill>
                    <a:blip r:embed="rId10"/>
                    <a:srcRect/>
                    <a:stretch>
                      <a:fillRect/>
                    </a:stretch>
                  </pic:blipFill>
                  <pic:spPr>
                    <a:xfrm>
                      <a:off x="0" y="0"/>
                      <a:ext cx="4863294" cy="3361619"/>
                    </a:xfrm>
                    <a:prstGeom prst="rect">
                      <a:avLst/>
                    </a:prstGeom>
                    <a:ln/>
                  </pic:spPr>
                </pic:pic>
              </a:graphicData>
            </a:graphic>
          </wp:inline>
        </w:drawing>
      </w:r>
    </w:p>
    <w:p w14:paraId="508279AF" w14:textId="77777777" w:rsidR="005D1A61" w:rsidRPr="00EC239E" w:rsidRDefault="00EC239E">
      <w:pPr>
        <w:spacing w:line="360" w:lineRule="auto"/>
        <w:jc w:val="both"/>
        <w:rPr>
          <w:color w:val="222222"/>
          <w:sz w:val="24"/>
          <w:szCs w:val="24"/>
        </w:rPr>
      </w:pPr>
      <w:r>
        <w:rPr>
          <w:color w:val="222222"/>
          <w:sz w:val="24"/>
          <w:szCs w:val="24"/>
        </w:rPr>
        <w:t>Рис. 5</w:t>
      </w:r>
      <w:r w:rsidR="0045737E">
        <w:rPr>
          <w:color w:val="222222"/>
          <w:sz w:val="24"/>
          <w:szCs w:val="24"/>
        </w:rPr>
        <w:t xml:space="preserve">. Временная доступность городов северной части Уральского федерального округа с населением свыше 50 тыс. человек (составлен автором по данным </w:t>
      </w:r>
      <w:proofErr w:type="spellStart"/>
      <w:r w:rsidR="0045737E">
        <w:rPr>
          <w:color w:val="222222"/>
          <w:sz w:val="24"/>
          <w:szCs w:val="24"/>
        </w:rPr>
        <w:t>OpenStreetMap</w:t>
      </w:r>
      <w:proofErr w:type="spellEnd"/>
      <w:r w:rsidR="0045737E">
        <w:rPr>
          <w:color w:val="222222"/>
          <w:sz w:val="24"/>
          <w:szCs w:val="24"/>
        </w:rPr>
        <w:t>)</w:t>
      </w:r>
    </w:p>
    <w:p w14:paraId="3883015F" w14:textId="77777777" w:rsidR="005D1A61" w:rsidRDefault="0045737E" w:rsidP="00EC239E">
      <w:pPr>
        <w:spacing w:after="0" w:line="360" w:lineRule="auto"/>
        <w:ind w:firstLine="851"/>
        <w:jc w:val="both"/>
        <w:rPr>
          <w:color w:val="222222"/>
          <w:sz w:val="24"/>
          <w:szCs w:val="24"/>
          <w:highlight w:val="white"/>
        </w:rPr>
      </w:pPr>
      <w:r>
        <w:rPr>
          <w:color w:val="222222"/>
          <w:sz w:val="24"/>
          <w:szCs w:val="24"/>
          <w:highlight w:val="white"/>
        </w:rPr>
        <w:lastRenderedPageBreak/>
        <w:t>На карте видно, что в УрФО есть агломерации вокруг городов миллионников, которые не сливаются, несмотря на свою близость и смежный контур, этому препятствуют территории между ними – ЗАТО Снежинский и ЗАТО Озерский Челябинской области, территория которых является изолированной и непроницаемой для широкого круга лиц. Однако все равно вокруг городов складываются крупные зоны плотного расселения людей: Челябинская зона, включающая города: Челябинск, Копейск, Миасс, Златоуст, Троицк; Екатеринбургская зона: Екатеринбург, Первоуральск, Каменск-Уральский, Нижний Тагил и другие средние города; также такую зону образуют города Сургут и Нефтеюганск, куда с оговоркой о несколько больших расстояниях можно отнести Нижневартовск, Ноябрьск и Когалым. Остальные города являются относительно изолированными зонами расселения: Тюмень, Ханты-Мансийск, Нягань, Новый Уренгой, Салехард, Тобольск, Ишим. Стоит обговорить, что Магнитогорск является изолированным в рамках УрФО, однако он имеет транспортную связанность с городами республики Башкортостан; Курган следует отнести к отдельной зоне, поскольку связь с Екатеринбургской зоной опосредованная, проходит через два промежуточных города и не имеет в этой зоне большой плотности населенных пунктов.</w:t>
      </w:r>
    </w:p>
    <w:p w14:paraId="14D86857" w14:textId="77777777" w:rsidR="005D1A61" w:rsidRDefault="0045737E" w:rsidP="00EC239E">
      <w:pPr>
        <w:spacing w:after="0" w:line="360" w:lineRule="auto"/>
        <w:ind w:firstLine="851"/>
        <w:jc w:val="both"/>
        <w:rPr>
          <w:color w:val="222222"/>
          <w:sz w:val="24"/>
          <w:szCs w:val="24"/>
          <w:highlight w:val="white"/>
        </w:rPr>
      </w:pPr>
      <w:r>
        <w:rPr>
          <w:color w:val="222222"/>
          <w:sz w:val="24"/>
          <w:szCs w:val="24"/>
          <w:highlight w:val="white"/>
        </w:rPr>
        <w:t xml:space="preserve">Исследователи освоенности территории также выделяют другие различные показатели, такие как </w:t>
      </w:r>
      <w:proofErr w:type="spellStart"/>
      <w:r>
        <w:rPr>
          <w:color w:val="222222"/>
          <w:sz w:val="24"/>
          <w:szCs w:val="24"/>
          <w:highlight w:val="white"/>
        </w:rPr>
        <w:t>фондообеспеченность</w:t>
      </w:r>
      <w:proofErr w:type="spellEnd"/>
      <w:r>
        <w:rPr>
          <w:color w:val="222222"/>
          <w:sz w:val="24"/>
          <w:szCs w:val="24"/>
          <w:highlight w:val="white"/>
        </w:rPr>
        <w:t>, они будут рассмотрены в следующих параграфах.</w:t>
      </w:r>
    </w:p>
    <w:p w14:paraId="4D278861" w14:textId="77777777" w:rsidR="005D1A61" w:rsidRDefault="0045737E" w:rsidP="00EC239E">
      <w:pPr>
        <w:spacing w:after="0" w:line="360" w:lineRule="auto"/>
        <w:ind w:firstLine="851"/>
        <w:jc w:val="both"/>
        <w:rPr>
          <w:color w:val="222222"/>
          <w:sz w:val="24"/>
          <w:szCs w:val="24"/>
          <w:highlight w:val="white"/>
        </w:rPr>
      </w:pPr>
      <w:r>
        <w:rPr>
          <w:color w:val="222222"/>
          <w:sz w:val="24"/>
          <w:szCs w:val="24"/>
          <w:highlight w:val="white"/>
        </w:rPr>
        <w:t>Структура землепользования является довольно устойчивой, изменения с 2005 (первая официальная статистика по этим данным) по 2021 годы менее 1 %, за исключением ЯНАО, где за этот период увеличилась площадь поверхностных вод с болотами на 2,1%. Таблица с площадями и структурой территории представлена ниже (табл. 4).</w:t>
      </w:r>
    </w:p>
    <w:p w14:paraId="00A7C29D" w14:textId="77777777" w:rsidR="005D1A61" w:rsidRDefault="00AC4805" w:rsidP="00EC239E">
      <w:pPr>
        <w:spacing w:after="0" w:line="360" w:lineRule="auto"/>
        <w:jc w:val="both"/>
        <w:rPr>
          <w:color w:val="222222"/>
          <w:sz w:val="24"/>
          <w:szCs w:val="24"/>
          <w:highlight w:val="white"/>
        </w:rPr>
      </w:pPr>
      <w:r>
        <w:rPr>
          <w:color w:val="222222"/>
          <w:sz w:val="24"/>
          <w:szCs w:val="24"/>
          <w:highlight w:val="white"/>
        </w:rPr>
        <w:t xml:space="preserve">Таблица 4. Площади и структура территории Уральского федерального округа. </w:t>
      </w:r>
    </w:p>
    <w:tbl>
      <w:tblPr>
        <w:tblStyle w:val="20"/>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134"/>
        <w:gridCol w:w="992"/>
        <w:gridCol w:w="1134"/>
        <w:gridCol w:w="1134"/>
        <w:gridCol w:w="993"/>
        <w:gridCol w:w="1272"/>
        <w:gridCol w:w="961"/>
      </w:tblGrid>
      <w:tr w:rsidR="005D1A61" w14:paraId="0D3EE18C" w14:textId="77777777">
        <w:trPr>
          <w:trHeight w:val="288"/>
        </w:trPr>
        <w:tc>
          <w:tcPr>
            <w:tcW w:w="1951" w:type="dxa"/>
            <w:vMerge w:val="restart"/>
          </w:tcPr>
          <w:p w14:paraId="3EE1BE8D" w14:textId="77777777" w:rsidR="005D1A61" w:rsidRDefault="0045737E">
            <w:pPr>
              <w:spacing w:line="360" w:lineRule="auto"/>
              <w:jc w:val="both"/>
              <w:rPr>
                <w:color w:val="222222"/>
                <w:sz w:val="24"/>
                <w:szCs w:val="24"/>
                <w:highlight w:val="white"/>
              </w:rPr>
            </w:pPr>
            <w:r>
              <w:rPr>
                <w:color w:val="222222"/>
                <w:sz w:val="24"/>
                <w:szCs w:val="24"/>
                <w:highlight w:val="white"/>
              </w:rPr>
              <w:t>Территория</w:t>
            </w:r>
          </w:p>
        </w:tc>
        <w:tc>
          <w:tcPr>
            <w:tcW w:w="3260" w:type="dxa"/>
            <w:gridSpan w:val="3"/>
          </w:tcPr>
          <w:p w14:paraId="755805EE" w14:textId="77777777" w:rsidR="005D1A61" w:rsidRDefault="0045737E">
            <w:pPr>
              <w:spacing w:line="360" w:lineRule="auto"/>
              <w:jc w:val="both"/>
              <w:rPr>
                <w:color w:val="222222"/>
                <w:sz w:val="24"/>
                <w:szCs w:val="24"/>
                <w:highlight w:val="white"/>
              </w:rPr>
            </w:pPr>
            <w:r>
              <w:rPr>
                <w:color w:val="222222"/>
                <w:sz w:val="24"/>
                <w:szCs w:val="24"/>
                <w:highlight w:val="white"/>
              </w:rPr>
              <w:t>Общие показатели площади территории</w:t>
            </w:r>
          </w:p>
        </w:tc>
        <w:tc>
          <w:tcPr>
            <w:tcW w:w="4360" w:type="dxa"/>
            <w:gridSpan w:val="4"/>
          </w:tcPr>
          <w:p w14:paraId="4CE8778B" w14:textId="77777777" w:rsidR="005D1A61" w:rsidRDefault="0045737E" w:rsidP="00EC239E">
            <w:pPr>
              <w:spacing w:line="360" w:lineRule="auto"/>
              <w:jc w:val="center"/>
              <w:rPr>
                <w:color w:val="222222"/>
                <w:sz w:val="24"/>
                <w:szCs w:val="24"/>
                <w:highlight w:val="white"/>
              </w:rPr>
            </w:pPr>
            <w:r>
              <w:rPr>
                <w:color w:val="222222"/>
                <w:sz w:val="24"/>
                <w:szCs w:val="24"/>
                <w:highlight w:val="white"/>
              </w:rPr>
              <w:t>Структура территории, %</w:t>
            </w:r>
          </w:p>
        </w:tc>
      </w:tr>
      <w:tr w:rsidR="005D1A61" w14:paraId="22E0E2A2" w14:textId="77777777">
        <w:trPr>
          <w:trHeight w:val="672"/>
        </w:trPr>
        <w:tc>
          <w:tcPr>
            <w:tcW w:w="1951" w:type="dxa"/>
            <w:vMerge/>
          </w:tcPr>
          <w:p w14:paraId="405F675D" w14:textId="77777777" w:rsidR="005D1A61" w:rsidRDefault="005D1A61">
            <w:pPr>
              <w:widowControl w:val="0"/>
              <w:pBdr>
                <w:top w:val="nil"/>
                <w:left w:val="nil"/>
                <w:bottom w:val="nil"/>
                <w:right w:val="nil"/>
                <w:between w:val="nil"/>
              </w:pBdr>
              <w:spacing w:line="360" w:lineRule="auto"/>
              <w:jc w:val="both"/>
              <w:rPr>
                <w:color w:val="222222"/>
                <w:sz w:val="24"/>
                <w:szCs w:val="24"/>
                <w:highlight w:val="white"/>
              </w:rPr>
            </w:pPr>
          </w:p>
        </w:tc>
        <w:tc>
          <w:tcPr>
            <w:tcW w:w="1134" w:type="dxa"/>
          </w:tcPr>
          <w:p w14:paraId="270D3AC5" w14:textId="77777777" w:rsidR="005D1A61" w:rsidRDefault="0045737E">
            <w:pPr>
              <w:spacing w:line="360" w:lineRule="auto"/>
              <w:jc w:val="both"/>
              <w:rPr>
                <w:color w:val="222222"/>
                <w:sz w:val="24"/>
                <w:szCs w:val="24"/>
                <w:highlight w:val="white"/>
              </w:rPr>
            </w:pPr>
            <w:r>
              <w:rPr>
                <w:color w:val="222222"/>
                <w:sz w:val="24"/>
                <w:szCs w:val="24"/>
                <w:highlight w:val="white"/>
              </w:rPr>
              <w:t xml:space="preserve">Общая площадь, </w:t>
            </w:r>
            <w:proofErr w:type="spellStart"/>
            <w:r>
              <w:rPr>
                <w:color w:val="222222"/>
                <w:sz w:val="24"/>
                <w:szCs w:val="24"/>
                <w:highlight w:val="white"/>
              </w:rPr>
              <w:t>тыс</w:t>
            </w:r>
            <w:proofErr w:type="spellEnd"/>
            <w:r>
              <w:rPr>
                <w:color w:val="222222"/>
                <w:sz w:val="24"/>
                <w:szCs w:val="24"/>
                <w:highlight w:val="white"/>
              </w:rPr>
              <w:t xml:space="preserve"> км. кв.</w:t>
            </w:r>
          </w:p>
        </w:tc>
        <w:tc>
          <w:tcPr>
            <w:tcW w:w="992" w:type="dxa"/>
          </w:tcPr>
          <w:p w14:paraId="41946531" w14:textId="77777777" w:rsidR="005D1A61" w:rsidRDefault="0045737E">
            <w:pPr>
              <w:spacing w:line="360" w:lineRule="auto"/>
              <w:jc w:val="both"/>
              <w:rPr>
                <w:color w:val="222222"/>
                <w:sz w:val="24"/>
                <w:szCs w:val="24"/>
                <w:highlight w:val="white"/>
              </w:rPr>
            </w:pPr>
            <w:r>
              <w:rPr>
                <w:color w:val="222222"/>
                <w:sz w:val="24"/>
                <w:szCs w:val="24"/>
                <w:highlight w:val="white"/>
              </w:rPr>
              <w:t>Доля площади в площади страны, %</w:t>
            </w:r>
          </w:p>
        </w:tc>
        <w:tc>
          <w:tcPr>
            <w:tcW w:w="1134" w:type="dxa"/>
          </w:tcPr>
          <w:p w14:paraId="74FAE988" w14:textId="77777777" w:rsidR="005D1A61" w:rsidRDefault="0045737E">
            <w:pPr>
              <w:spacing w:line="360" w:lineRule="auto"/>
              <w:jc w:val="both"/>
              <w:rPr>
                <w:color w:val="222222"/>
                <w:sz w:val="24"/>
                <w:szCs w:val="24"/>
                <w:highlight w:val="white"/>
              </w:rPr>
            </w:pPr>
            <w:r>
              <w:rPr>
                <w:color w:val="222222"/>
                <w:sz w:val="24"/>
                <w:szCs w:val="24"/>
                <w:highlight w:val="white"/>
              </w:rPr>
              <w:t>Доля площади в площади УрФО, %</w:t>
            </w:r>
          </w:p>
        </w:tc>
        <w:tc>
          <w:tcPr>
            <w:tcW w:w="1134" w:type="dxa"/>
          </w:tcPr>
          <w:p w14:paraId="58DDF35A" w14:textId="77777777" w:rsidR="005D1A61" w:rsidRDefault="0045737E">
            <w:pPr>
              <w:spacing w:line="360" w:lineRule="auto"/>
              <w:jc w:val="both"/>
              <w:rPr>
                <w:color w:val="222222"/>
                <w:sz w:val="24"/>
                <w:szCs w:val="24"/>
                <w:highlight w:val="white"/>
              </w:rPr>
            </w:pPr>
            <w:proofErr w:type="gramStart"/>
            <w:r>
              <w:rPr>
                <w:color w:val="222222"/>
                <w:sz w:val="24"/>
                <w:szCs w:val="24"/>
                <w:highlight w:val="white"/>
              </w:rPr>
              <w:t>Поверх-</w:t>
            </w:r>
            <w:proofErr w:type="spellStart"/>
            <w:r>
              <w:rPr>
                <w:color w:val="222222"/>
                <w:sz w:val="24"/>
                <w:szCs w:val="24"/>
                <w:highlight w:val="white"/>
              </w:rPr>
              <w:t>ностные</w:t>
            </w:r>
            <w:proofErr w:type="spellEnd"/>
            <w:proofErr w:type="gramEnd"/>
            <w:r>
              <w:rPr>
                <w:color w:val="222222"/>
                <w:sz w:val="24"/>
                <w:szCs w:val="24"/>
                <w:highlight w:val="white"/>
              </w:rPr>
              <w:t xml:space="preserve"> воды, включая болота</w:t>
            </w:r>
          </w:p>
        </w:tc>
        <w:tc>
          <w:tcPr>
            <w:tcW w:w="993" w:type="dxa"/>
          </w:tcPr>
          <w:p w14:paraId="55CDA1BB" w14:textId="77777777" w:rsidR="005D1A61" w:rsidRDefault="0045737E">
            <w:pPr>
              <w:spacing w:line="360" w:lineRule="auto"/>
              <w:jc w:val="both"/>
              <w:rPr>
                <w:color w:val="222222"/>
                <w:sz w:val="24"/>
                <w:szCs w:val="24"/>
                <w:highlight w:val="white"/>
              </w:rPr>
            </w:pPr>
            <w:r>
              <w:rPr>
                <w:color w:val="222222"/>
                <w:sz w:val="24"/>
                <w:szCs w:val="24"/>
                <w:highlight w:val="white"/>
              </w:rPr>
              <w:t>Лесные земли</w:t>
            </w:r>
          </w:p>
        </w:tc>
        <w:tc>
          <w:tcPr>
            <w:tcW w:w="1272" w:type="dxa"/>
          </w:tcPr>
          <w:p w14:paraId="4CC25B33" w14:textId="77777777" w:rsidR="005D1A61" w:rsidRDefault="0045737E">
            <w:pPr>
              <w:spacing w:line="360" w:lineRule="auto"/>
              <w:jc w:val="both"/>
              <w:rPr>
                <w:color w:val="222222"/>
                <w:sz w:val="24"/>
                <w:szCs w:val="24"/>
                <w:highlight w:val="white"/>
              </w:rPr>
            </w:pPr>
            <w:proofErr w:type="gramStart"/>
            <w:r>
              <w:rPr>
                <w:color w:val="222222"/>
                <w:sz w:val="24"/>
                <w:szCs w:val="24"/>
                <w:highlight w:val="white"/>
              </w:rPr>
              <w:t>Сельско-</w:t>
            </w:r>
            <w:proofErr w:type="spellStart"/>
            <w:r>
              <w:rPr>
                <w:color w:val="222222"/>
                <w:sz w:val="24"/>
                <w:szCs w:val="24"/>
                <w:highlight w:val="white"/>
              </w:rPr>
              <w:t>хозяйс</w:t>
            </w:r>
            <w:proofErr w:type="spellEnd"/>
            <w:r>
              <w:rPr>
                <w:color w:val="222222"/>
                <w:sz w:val="24"/>
                <w:szCs w:val="24"/>
                <w:highlight w:val="white"/>
              </w:rPr>
              <w:t>-</w:t>
            </w:r>
            <w:proofErr w:type="spellStart"/>
            <w:r>
              <w:rPr>
                <w:color w:val="222222"/>
                <w:sz w:val="24"/>
                <w:szCs w:val="24"/>
                <w:highlight w:val="white"/>
              </w:rPr>
              <w:t>твенные</w:t>
            </w:r>
            <w:proofErr w:type="spellEnd"/>
            <w:proofErr w:type="gramEnd"/>
            <w:r>
              <w:rPr>
                <w:color w:val="222222"/>
                <w:sz w:val="24"/>
                <w:szCs w:val="24"/>
                <w:highlight w:val="white"/>
              </w:rPr>
              <w:t xml:space="preserve"> угодья</w:t>
            </w:r>
          </w:p>
        </w:tc>
        <w:tc>
          <w:tcPr>
            <w:tcW w:w="961" w:type="dxa"/>
          </w:tcPr>
          <w:p w14:paraId="57318C51" w14:textId="77777777" w:rsidR="005D1A61" w:rsidRDefault="0045737E">
            <w:pPr>
              <w:spacing w:line="360" w:lineRule="auto"/>
              <w:jc w:val="both"/>
              <w:rPr>
                <w:color w:val="222222"/>
                <w:sz w:val="24"/>
                <w:szCs w:val="24"/>
                <w:highlight w:val="white"/>
              </w:rPr>
            </w:pPr>
            <w:proofErr w:type="gramStart"/>
            <w:r>
              <w:rPr>
                <w:color w:val="222222"/>
                <w:sz w:val="24"/>
                <w:szCs w:val="24"/>
                <w:highlight w:val="white"/>
              </w:rPr>
              <w:t>Ос-таль-</w:t>
            </w:r>
            <w:proofErr w:type="spellStart"/>
            <w:r>
              <w:rPr>
                <w:color w:val="222222"/>
                <w:sz w:val="24"/>
                <w:szCs w:val="24"/>
                <w:highlight w:val="white"/>
              </w:rPr>
              <w:t>ное</w:t>
            </w:r>
            <w:proofErr w:type="spellEnd"/>
            <w:proofErr w:type="gramEnd"/>
          </w:p>
        </w:tc>
      </w:tr>
      <w:tr w:rsidR="005D1A61" w14:paraId="6E8DE536" w14:textId="77777777">
        <w:trPr>
          <w:trHeight w:val="432"/>
        </w:trPr>
        <w:tc>
          <w:tcPr>
            <w:tcW w:w="1951" w:type="dxa"/>
          </w:tcPr>
          <w:p w14:paraId="28632736" w14:textId="77777777" w:rsidR="005D1A61" w:rsidRDefault="0045737E">
            <w:pPr>
              <w:spacing w:line="360" w:lineRule="auto"/>
              <w:jc w:val="both"/>
              <w:rPr>
                <w:color w:val="222222"/>
                <w:sz w:val="24"/>
                <w:szCs w:val="24"/>
                <w:highlight w:val="white"/>
              </w:rPr>
            </w:pPr>
            <w:r>
              <w:rPr>
                <w:color w:val="222222"/>
                <w:sz w:val="24"/>
                <w:szCs w:val="24"/>
                <w:highlight w:val="white"/>
              </w:rPr>
              <w:t xml:space="preserve">Российская </w:t>
            </w:r>
            <w:r>
              <w:rPr>
                <w:color w:val="222222"/>
                <w:sz w:val="24"/>
                <w:szCs w:val="24"/>
                <w:highlight w:val="white"/>
              </w:rPr>
              <w:lastRenderedPageBreak/>
              <w:t>Федерация</w:t>
            </w:r>
          </w:p>
        </w:tc>
        <w:tc>
          <w:tcPr>
            <w:tcW w:w="1134" w:type="dxa"/>
          </w:tcPr>
          <w:p w14:paraId="7EE40B98" w14:textId="77777777" w:rsidR="005D1A61" w:rsidRDefault="0045737E">
            <w:pPr>
              <w:spacing w:line="360" w:lineRule="auto"/>
              <w:jc w:val="both"/>
              <w:rPr>
                <w:color w:val="222222"/>
                <w:sz w:val="24"/>
                <w:szCs w:val="24"/>
                <w:highlight w:val="white"/>
              </w:rPr>
            </w:pPr>
            <w:r>
              <w:rPr>
                <w:color w:val="222222"/>
                <w:sz w:val="24"/>
                <w:szCs w:val="24"/>
                <w:highlight w:val="white"/>
              </w:rPr>
              <w:lastRenderedPageBreak/>
              <w:t>17125</w:t>
            </w:r>
          </w:p>
        </w:tc>
        <w:tc>
          <w:tcPr>
            <w:tcW w:w="992" w:type="dxa"/>
          </w:tcPr>
          <w:p w14:paraId="0D9DC347" w14:textId="77777777" w:rsidR="005D1A61" w:rsidRDefault="0045737E">
            <w:pPr>
              <w:spacing w:line="360" w:lineRule="auto"/>
              <w:jc w:val="both"/>
              <w:rPr>
                <w:color w:val="222222"/>
                <w:sz w:val="24"/>
                <w:szCs w:val="24"/>
                <w:highlight w:val="white"/>
              </w:rPr>
            </w:pPr>
            <w:r>
              <w:rPr>
                <w:color w:val="222222"/>
                <w:sz w:val="24"/>
                <w:szCs w:val="24"/>
                <w:highlight w:val="white"/>
              </w:rPr>
              <w:t>-</w:t>
            </w:r>
          </w:p>
        </w:tc>
        <w:tc>
          <w:tcPr>
            <w:tcW w:w="1134" w:type="dxa"/>
          </w:tcPr>
          <w:p w14:paraId="78593469" w14:textId="77777777" w:rsidR="005D1A61" w:rsidRDefault="0045737E">
            <w:pPr>
              <w:spacing w:line="360" w:lineRule="auto"/>
              <w:jc w:val="both"/>
              <w:rPr>
                <w:color w:val="222222"/>
                <w:sz w:val="24"/>
                <w:szCs w:val="24"/>
                <w:highlight w:val="white"/>
              </w:rPr>
            </w:pPr>
            <w:r>
              <w:rPr>
                <w:color w:val="222222"/>
                <w:sz w:val="24"/>
                <w:szCs w:val="24"/>
                <w:highlight w:val="white"/>
              </w:rPr>
              <w:t>-</w:t>
            </w:r>
          </w:p>
        </w:tc>
        <w:tc>
          <w:tcPr>
            <w:tcW w:w="1134" w:type="dxa"/>
          </w:tcPr>
          <w:p w14:paraId="113C9423" w14:textId="77777777" w:rsidR="005D1A61" w:rsidRDefault="0045737E">
            <w:pPr>
              <w:spacing w:line="360" w:lineRule="auto"/>
              <w:jc w:val="both"/>
              <w:rPr>
                <w:color w:val="222222"/>
                <w:sz w:val="24"/>
                <w:szCs w:val="24"/>
                <w:highlight w:val="white"/>
              </w:rPr>
            </w:pPr>
            <w:r>
              <w:rPr>
                <w:color w:val="222222"/>
                <w:sz w:val="24"/>
                <w:szCs w:val="24"/>
                <w:highlight w:val="white"/>
              </w:rPr>
              <w:t>13,2</w:t>
            </w:r>
          </w:p>
        </w:tc>
        <w:tc>
          <w:tcPr>
            <w:tcW w:w="993" w:type="dxa"/>
          </w:tcPr>
          <w:p w14:paraId="5C0BBD15" w14:textId="77777777" w:rsidR="005D1A61" w:rsidRDefault="0045737E">
            <w:pPr>
              <w:spacing w:line="360" w:lineRule="auto"/>
              <w:jc w:val="both"/>
              <w:rPr>
                <w:color w:val="222222"/>
                <w:sz w:val="24"/>
                <w:szCs w:val="24"/>
                <w:highlight w:val="white"/>
              </w:rPr>
            </w:pPr>
            <w:r>
              <w:rPr>
                <w:color w:val="222222"/>
                <w:sz w:val="24"/>
                <w:szCs w:val="24"/>
                <w:highlight w:val="white"/>
              </w:rPr>
              <w:t>50,8</w:t>
            </w:r>
          </w:p>
        </w:tc>
        <w:tc>
          <w:tcPr>
            <w:tcW w:w="1272" w:type="dxa"/>
          </w:tcPr>
          <w:p w14:paraId="4961BB93" w14:textId="77777777" w:rsidR="005D1A61" w:rsidRDefault="0045737E">
            <w:pPr>
              <w:spacing w:line="360" w:lineRule="auto"/>
              <w:jc w:val="both"/>
              <w:rPr>
                <w:color w:val="222222"/>
                <w:sz w:val="24"/>
                <w:szCs w:val="24"/>
                <w:highlight w:val="white"/>
              </w:rPr>
            </w:pPr>
            <w:r>
              <w:rPr>
                <w:color w:val="222222"/>
                <w:sz w:val="24"/>
                <w:szCs w:val="24"/>
                <w:highlight w:val="white"/>
              </w:rPr>
              <w:t>13</w:t>
            </w:r>
          </w:p>
        </w:tc>
        <w:tc>
          <w:tcPr>
            <w:tcW w:w="961" w:type="dxa"/>
          </w:tcPr>
          <w:p w14:paraId="4565D44A" w14:textId="77777777" w:rsidR="005D1A61" w:rsidRDefault="0045737E">
            <w:pPr>
              <w:spacing w:line="360" w:lineRule="auto"/>
              <w:jc w:val="both"/>
              <w:rPr>
                <w:color w:val="222222"/>
                <w:sz w:val="24"/>
                <w:szCs w:val="24"/>
                <w:highlight w:val="white"/>
              </w:rPr>
            </w:pPr>
            <w:r>
              <w:rPr>
                <w:color w:val="222222"/>
                <w:sz w:val="24"/>
                <w:szCs w:val="24"/>
                <w:highlight w:val="white"/>
              </w:rPr>
              <w:t>23</w:t>
            </w:r>
          </w:p>
        </w:tc>
      </w:tr>
      <w:tr w:rsidR="005D1A61" w14:paraId="0F918756" w14:textId="77777777">
        <w:trPr>
          <w:trHeight w:val="288"/>
        </w:trPr>
        <w:tc>
          <w:tcPr>
            <w:tcW w:w="1951" w:type="dxa"/>
          </w:tcPr>
          <w:p w14:paraId="549F29A6" w14:textId="77777777" w:rsidR="005D1A61" w:rsidRDefault="0045737E">
            <w:pPr>
              <w:spacing w:line="360" w:lineRule="auto"/>
              <w:jc w:val="both"/>
              <w:rPr>
                <w:color w:val="222222"/>
                <w:sz w:val="24"/>
                <w:szCs w:val="24"/>
                <w:highlight w:val="white"/>
              </w:rPr>
            </w:pPr>
            <w:r>
              <w:rPr>
                <w:color w:val="222222"/>
                <w:sz w:val="24"/>
                <w:szCs w:val="24"/>
                <w:highlight w:val="white"/>
              </w:rPr>
              <w:t>Уральский федеральный округ</w:t>
            </w:r>
          </w:p>
        </w:tc>
        <w:tc>
          <w:tcPr>
            <w:tcW w:w="1134" w:type="dxa"/>
          </w:tcPr>
          <w:p w14:paraId="790DA7D5" w14:textId="77777777" w:rsidR="005D1A61" w:rsidRDefault="0045737E">
            <w:pPr>
              <w:spacing w:line="360" w:lineRule="auto"/>
              <w:jc w:val="both"/>
              <w:rPr>
                <w:color w:val="222222"/>
                <w:sz w:val="24"/>
                <w:szCs w:val="24"/>
                <w:highlight w:val="white"/>
              </w:rPr>
            </w:pPr>
            <w:r>
              <w:rPr>
                <w:color w:val="222222"/>
                <w:sz w:val="24"/>
                <w:szCs w:val="24"/>
                <w:highlight w:val="white"/>
              </w:rPr>
              <w:t>1818,4</w:t>
            </w:r>
          </w:p>
        </w:tc>
        <w:tc>
          <w:tcPr>
            <w:tcW w:w="992" w:type="dxa"/>
          </w:tcPr>
          <w:p w14:paraId="1BEC911D" w14:textId="77777777" w:rsidR="005D1A61" w:rsidRDefault="0045737E">
            <w:pPr>
              <w:spacing w:line="360" w:lineRule="auto"/>
              <w:jc w:val="both"/>
              <w:rPr>
                <w:color w:val="222222"/>
                <w:sz w:val="24"/>
                <w:szCs w:val="24"/>
                <w:highlight w:val="white"/>
              </w:rPr>
            </w:pPr>
            <w:r>
              <w:rPr>
                <w:color w:val="222222"/>
                <w:sz w:val="24"/>
                <w:szCs w:val="24"/>
                <w:highlight w:val="white"/>
              </w:rPr>
              <w:t>10,62</w:t>
            </w:r>
          </w:p>
        </w:tc>
        <w:tc>
          <w:tcPr>
            <w:tcW w:w="1134" w:type="dxa"/>
          </w:tcPr>
          <w:p w14:paraId="5D87CD64" w14:textId="77777777" w:rsidR="005D1A61" w:rsidRDefault="0045737E">
            <w:pPr>
              <w:spacing w:line="360" w:lineRule="auto"/>
              <w:jc w:val="both"/>
              <w:rPr>
                <w:color w:val="222222"/>
                <w:sz w:val="24"/>
                <w:szCs w:val="24"/>
                <w:highlight w:val="white"/>
              </w:rPr>
            </w:pPr>
            <w:r>
              <w:rPr>
                <w:color w:val="222222"/>
                <w:sz w:val="24"/>
                <w:szCs w:val="24"/>
                <w:highlight w:val="white"/>
              </w:rPr>
              <w:t>-</w:t>
            </w:r>
          </w:p>
        </w:tc>
        <w:tc>
          <w:tcPr>
            <w:tcW w:w="1134" w:type="dxa"/>
          </w:tcPr>
          <w:p w14:paraId="3DDF5696" w14:textId="77777777" w:rsidR="005D1A61" w:rsidRDefault="0045737E">
            <w:pPr>
              <w:spacing w:line="360" w:lineRule="auto"/>
              <w:jc w:val="both"/>
              <w:rPr>
                <w:color w:val="222222"/>
                <w:sz w:val="24"/>
                <w:szCs w:val="24"/>
                <w:highlight w:val="white"/>
              </w:rPr>
            </w:pPr>
            <w:r>
              <w:rPr>
                <w:color w:val="222222"/>
                <w:sz w:val="24"/>
                <w:szCs w:val="24"/>
                <w:highlight w:val="white"/>
              </w:rPr>
              <w:t>32,9</w:t>
            </w:r>
          </w:p>
        </w:tc>
        <w:tc>
          <w:tcPr>
            <w:tcW w:w="993" w:type="dxa"/>
          </w:tcPr>
          <w:p w14:paraId="3C09897E" w14:textId="77777777" w:rsidR="005D1A61" w:rsidRDefault="0045737E">
            <w:pPr>
              <w:spacing w:line="360" w:lineRule="auto"/>
              <w:jc w:val="both"/>
              <w:rPr>
                <w:color w:val="222222"/>
                <w:sz w:val="24"/>
                <w:szCs w:val="24"/>
                <w:highlight w:val="white"/>
              </w:rPr>
            </w:pPr>
            <w:r>
              <w:rPr>
                <w:color w:val="222222"/>
                <w:sz w:val="24"/>
                <w:szCs w:val="24"/>
                <w:highlight w:val="white"/>
              </w:rPr>
              <w:t>40</w:t>
            </w:r>
          </w:p>
        </w:tc>
        <w:tc>
          <w:tcPr>
            <w:tcW w:w="1272" w:type="dxa"/>
          </w:tcPr>
          <w:p w14:paraId="54EC67CF" w14:textId="77777777" w:rsidR="005D1A61" w:rsidRDefault="0045737E">
            <w:pPr>
              <w:spacing w:line="360" w:lineRule="auto"/>
              <w:jc w:val="both"/>
              <w:rPr>
                <w:color w:val="222222"/>
                <w:sz w:val="24"/>
                <w:szCs w:val="24"/>
                <w:highlight w:val="white"/>
              </w:rPr>
            </w:pPr>
            <w:r>
              <w:rPr>
                <w:color w:val="222222"/>
                <w:sz w:val="24"/>
                <w:szCs w:val="24"/>
                <w:highlight w:val="white"/>
              </w:rPr>
              <w:t>9</w:t>
            </w:r>
          </w:p>
        </w:tc>
        <w:tc>
          <w:tcPr>
            <w:tcW w:w="961" w:type="dxa"/>
          </w:tcPr>
          <w:p w14:paraId="0C576384" w14:textId="77777777" w:rsidR="005D1A61" w:rsidRDefault="0045737E">
            <w:pPr>
              <w:spacing w:line="360" w:lineRule="auto"/>
              <w:jc w:val="both"/>
              <w:rPr>
                <w:color w:val="222222"/>
                <w:sz w:val="24"/>
                <w:szCs w:val="24"/>
                <w:highlight w:val="white"/>
              </w:rPr>
            </w:pPr>
            <w:r>
              <w:rPr>
                <w:color w:val="222222"/>
                <w:sz w:val="24"/>
                <w:szCs w:val="24"/>
                <w:highlight w:val="white"/>
              </w:rPr>
              <w:t>18,1</w:t>
            </w:r>
          </w:p>
        </w:tc>
      </w:tr>
      <w:tr w:rsidR="005D1A61" w14:paraId="73DA5D06" w14:textId="77777777">
        <w:trPr>
          <w:trHeight w:val="288"/>
        </w:trPr>
        <w:tc>
          <w:tcPr>
            <w:tcW w:w="1951" w:type="dxa"/>
          </w:tcPr>
          <w:p w14:paraId="5D01B38D" w14:textId="77777777" w:rsidR="005D1A61" w:rsidRDefault="0045737E">
            <w:pPr>
              <w:spacing w:line="360" w:lineRule="auto"/>
              <w:jc w:val="both"/>
              <w:rPr>
                <w:color w:val="222222"/>
                <w:sz w:val="24"/>
                <w:szCs w:val="24"/>
                <w:highlight w:val="white"/>
              </w:rPr>
            </w:pPr>
            <w:r>
              <w:rPr>
                <w:color w:val="222222"/>
                <w:sz w:val="24"/>
                <w:szCs w:val="24"/>
                <w:highlight w:val="white"/>
              </w:rPr>
              <w:t>Курганская область</w:t>
            </w:r>
          </w:p>
        </w:tc>
        <w:tc>
          <w:tcPr>
            <w:tcW w:w="1134" w:type="dxa"/>
          </w:tcPr>
          <w:p w14:paraId="255202BD" w14:textId="77777777" w:rsidR="005D1A61" w:rsidRDefault="0045737E">
            <w:pPr>
              <w:spacing w:line="360" w:lineRule="auto"/>
              <w:jc w:val="both"/>
              <w:rPr>
                <w:color w:val="222222"/>
                <w:sz w:val="24"/>
                <w:szCs w:val="24"/>
                <w:highlight w:val="white"/>
              </w:rPr>
            </w:pPr>
            <w:r>
              <w:rPr>
                <w:color w:val="222222"/>
                <w:sz w:val="24"/>
                <w:szCs w:val="24"/>
                <w:highlight w:val="white"/>
              </w:rPr>
              <w:t>71,4</w:t>
            </w:r>
          </w:p>
        </w:tc>
        <w:tc>
          <w:tcPr>
            <w:tcW w:w="992" w:type="dxa"/>
          </w:tcPr>
          <w:p w14:paraId="563FD052" w14:textId="77777777" w:rsidR="005D1A61" w:rsidRDefault="0045737E">
            <w:pPr>
              <w:spacing w:line="360" w:lineRule="auto"/>
              <w:jc w:val="both"/>
              <w:rPr>
                <w:color w:val="222222"/>
                <w:sz w:val="24"/>
                <w:szCs w:val="24"/>
                <w:highlight w:val="white"/>
              </w:rPr>
            </w:pPr>
            <w:r>
              <w:rPr>
                <w:color w:val="222222"/>
                <w:sz w:val="24"/>
                <w:szCs w:val="24"/>
                <w:highlight w:val="white"/>
              </w:rPr>
              <w:t>0,42</w:t>
            </w:r>
          </w:p>
        </w:tc>
        <w:tc>
          <w:tcPr>
            <w:tcW w:w="1134" w:type="dxa"/>
          </w:tcPr>
          <w:p w14:paraId="6927B473" w14:textId="77777777" w:rsidR="005D1A61" w:rsidRDefault="0045737E">
            <w:pPr>
              <w:spacing w:line="360" w:lineRule="auto"/>
              <w:jc w:val="both"/>
              <w:rPr>
                <w:color w:val="222222"/>
                <w:sz w:val="24"/>
                <w:szCs w:val="24"/>
                <w:highlight w:val="white"/>
              </w:rPr>
            </w:pPr>
            <w:r>
              <w:rPr>
                <w:color w:val="222222"/>
                <w:sz w:val="24"/>
                <w:szCs w:val="24"/>
                <w:highlight w:val="white"/>
              </w:rPr>
              <w:t>3,93</w:t>
            </w:r>
          </w:p>
        </w:tc>
        <w:tc>
          <w:tcPr>
            <w:tcW w:w="1134" w:type="dxa"/>
          </w:tcPr>
          <w:p w14:paraId="334297BD" w14:textId="77777777" w:rsidR="005D1A61" w:rsidRDefault="0045737E">
            <w:pPr>
              <w:spacing w:line="360" w:lineRule="auto"/>
              <w:jc w:val="both"/>
              <w:rPr>
                <w:color w:val="222222"/>
                <w:sz w:val="24"/>
                <w:szCs w:val="24"/>
                <w:highlight w:val="white"/>
              </w:rPr>
            </w:pPr>
            <w:r>
              <w:rPr>
                <w:color w:val="222222"/>
                <w:sz w:val="24"/>
                <w:szCs w:val="24"/>
                <w:highlight w:val="white"/>
              </w:rPr>
              <w:t>9,8</w:t>
            </w:r>
          </w:p>
        </w:tc>
        <w:tc>
          <w:tcPr>
            <w:tcW w:w="993" w:type="dxa"/>
          </w:tcPr>
          <w:p w14:paraId="1CC40015" w14:textId="77777777" w:rsidR="005D1A61" w:rsidRDefault="0045737E">
            <w:pPr>
              <w:spacing w:line="360" w:lineRule="auto"/>
              <w:jc w:val="both"/>
              <w:rPr>
                <w:color w:val="222222"/>
                <w:sz w:val="24"/>
                <w:szCs w:val="24"/>
                <w:highlight w:val="white"/>
              </w:rPr>
            </w:pPr>
            <w:r>
              <w:rPr>
                <w:color w:val="222222"/>
                <w:sz w:val="24"/>
                <w:szCs w:val="24"/>
                <w:highlight w:val="white"/>
              </w:rPr>
              <w:t>24,6</w:t>
            </w:r>
          </w:p>
        </w:tc>
        <w:tc>
          <w:tcPr>
            <w:tcW w:w="1272" w:type="dxa"/>
          </w:tcPr>
          <w:p w14:paraId="2643F7FA" w14:textId="77777777" w:rsidR="005D1A61" w:rsidRDefault="0045737E">
            <w:pPr>
              <w:spacing w:line="360" w:lineRule="auto"/>
              <w:jc w:val="both"/>
              <w:rPr>
                <w:color w:val="222222"/>
                <w:sz w:val="24"/>
                <w:szCs w:val="24"/>
                <w:highlight w:val="white"/>
              </w:rPr>
            </w:pPr>
            <w:r>
              <w:rPr>
                <w:color w:val="222222"/>
                <w:sz w:val="24"/>
                <w:szCs w:val="24"/>
                <w:highlight w:val="white"/>
              </w:rPr>
              <w:t>62,4</w:t>
            </w:r>
          </w:p>
        </w:tc>
        <w:tc>
          <w:tcPr>
            <w:tcW w:w="961" w:type="dxa"/>
          </w:tcPr>
          <w:p w14:paraId="188CFD33" w14:textId="77777777" w:rsidR="005D1A61" w:rsidRDefault="0045737E">
            <w:pPr>
              <w:spacing w:line="360" w:lineRule="auto"/>
              <w:jc w:val="both"/>
              <w:rPr>
                <w:color w:val="222222"/>
                <w:sz w:val="24"/>
                <w:szCs w:val="24"/>
                <w:highlight w:val="white"/>
              </w:rPr>
            </w:pPr>
            <w:r>
              <w:rPr>
                <w:color w:val="222222"/>
                <w:sz w:val="24"/>
                <w:szCs w:val="24"/>
                <w:highlight w:val="white"/>
              </w:rPr>
              <w:t>3,2</w:t>
            </w:r>
          </w:p>
        </w:tc>
      </w:tr>
      <w:tr w:rsidR="005D1A61" w14:paraId="7E3063F7" w14:textId="77777777">
        <w:trPr>
          <w:trHeight w:val="288"/>
        </w:trPr>
        <w:tc>
          <w:tcPr>
            <w:tcW w:w="1951" w:type="dxa"/>
          </w:tcPr>
          <w:p w14:paraId="1B2FA4AB" w14:textId="77777777" w:rsidR="005D1A61" w:rsidRDefault="0045737E">
            <w:pPr>
              <w:spacing w:line="360" w:lineRule="auto"/>
              <w:jc w:val="both"/>
              <w:rPr>
                <w:color w:val="222222"/>
                <w:sz w:val="24"/>
                <w:szCs w:val="24"/>
                <w:highlight w:val="white"/>
              </w:rPr>
            </w:pPr>
            <w:r>
              <w:rPr>
                <w:color w:val="222222"/>
                <w:sz w:val="24"/>
                <w:szCs w:val="24"/>
                <w:highlight w:val="white"/>
              </w:rPr>
              <w:t>Свердловская область</w:t>
            </w:r>
          </w:p>
        </w:tc>
        <w:tc>
          <w:tcPr>
            <w:tcW w:w="1134" w:type="dxa"/>
          </w:tcPr>
          <w:p w14:paraId="0DCD06C5" w14:textId="77777777" w:rsidR="005D1A61" w:rsidRDefault="0045737E">
            <w:pPr>
              <w:spacing w:line="360" w:lineRule="auto"/>
              <w:jc w:val="both"/>
              <w:rPr>
                <w:color w:val="222222"/>
                <w:sz w:val="24"/>
                <w:szCs w:val="24"/>
                <w:highlight w:val="white"/>
              </w:rPr>
            </w:pPr>
            <w:r>
              <w:rPr>
                <w:color w:val="222222"/>
                <w:sz w:val="24"/>
                <w:szCs w:val="24"/>
                <w:highlight w:val="white"/>
              </w:rPr>
              <w:t>194,3</w:t>
            </w:r>
          </w:p>
        </w:tc>
        <w:tc>
          <w:tcPr>
            <w:tcW w:w="992" w:type="dxa"/>
          </w:tcPr>
          <w:p w14:paraId="0D897475" w14:textId="77777777" w:rsidR="005D1A61" w:rsidRDefault="0045737E">
            <w:pPr>
              <w:spacing w:line="360" w:lineRule="auto"/>
              <w:jc w:val="both"/>
              <w:rPr>
                <w:color w:val="222222"/>
                <w:sz w:val="24"/>
                <w:szCs w:val="24"/>
                <w:highlight w:val="white"/>
              </w:rPr>
            </w:pPr>
            <w:r>
              <w:rPr>
                <w:color w:val="222222"/>
                <w:sz w:val="24"/>
                <w:szCs w:val="24"/>
                <w:highlight w:val="white"/>
              </w:rPr>
              <w:t>1,13</w:t>
            </w:r>
          </w:p>
        </w:tc>
        <w:tc>
          <w:tcPr>
            <w:tcW w:w="1134" w:type="dxa"/>
          </w:tcPr>
          <w:p w14:paraId="6D456B84" w14:textId="77777777" w:rsidR="005D1A61" w:rsidRDefault="0045737E">
            <w:pPr>
              <w:spacing w:line="360" w:lineRule="auto"/>
              <w:jc w:val="both"/>
              <w:rPr>
                <w:color w:val="222222"/>
                <w:sz w:val="24"/>
                <w:szCs w:val="24"/>
                <w:highlight w:val="white"/>
              </w:rPr>
            </w:pPr>
            <w:r>
              <w:rPr>
                <w:color w:val="222222"/>
                <w:sz w:val="24"/>
                <w:szCs w:val="24"/>
                <w:highlight w:val="white"/>
              </w:rPr>
              <w:t>10,69</w:t>
            </w:r>
          </w:p>
        </w:tc>
        <w:tc>
          <w:tcPr>
            <w:tcW w:w="1134" w:type="dxa"/>
          </w:tcPr>
          <w:p w14:paraId="1B3A9DF1" w14:textId="77777777" w:rsidR="005D1A61" w:rsidRDefault="0045737E">
            <w:pPr>
              <w:spacing w:line="360" w:lineRule="auto"/>
              <w:jc w:val="both"/>
              <w:rPr>
                <w:color w:val="222222"/>
                <w:sz w:val="24"/>
                <w:szCs w:val="24"/>
                <w:highlight w:val="white"/>
              </w:rPr>
            </w:pPr>
            <w:r>
              <w:rPr>
                <w:color w:val="222222"/>
                <w:sz w:val="24"/>
                <w:szCs w:val="24"/>
                <w:highlight w:val="white"/>
              </w:rPr>
              <w:t>11,9</w:t>
            </w:r>
          </w:p>
        </w:tc>
        <w:tc>
          <w:tcPr>
            <w:tcW w:w="993" w:type="dxa"/>
          </w:tcPr>
          <w:p w14:paraId="32C9EB1C" w14:textId="77777777" w:rsidR="005D1A61" w:rsidRDefault="0045737E">
            <w:pPr>
              <w:spacing w:line="360" w:lineRule="auto"/>
              <w:jc w:val="both"/>
              <w:rPr>
                <w:color w:val="222222"/>
                <w:sz w:val="24"/>
                <w:szCs w:val="24"/>
                <w:highlight w:val="white"/>
              </w:rPr>
            </w:pPr>
            <w:r>
              <w:rPr>
                <w:color w:val="222222"/>
                <w:sz w:val="24"/>
                <w:szCs w:val="24"/>
                <w:highlight w:val="white"/>
              </w:rPr>
              <w:t>70,2</w:t>
            </w:r>
          </w:p>
        </w:tc>
        <w:tc>
          <w:tcPr>
            <w:tcW w:w="1272" w:type="dxa"/>
          </w:tcPr>
          <w:p w14:paraId="074D72BB" w14:textId="77777777" w:rsidR="005D1A61" w:rsidRDefault="0045737E">
            <w:pPr>
              <w:spacing w:line="360" w:lineRule="auto"/>
              <w:jc w:val="both"/>
              <w:rPr>
                <w:color w:val="222222"/>
                <w:sz w:val="24"/>
                <w:szCs w:val="24"/>
                <w:highlight w:val="white"/>
              </w:rPr>
            </w:pPr>
            <w:r>
              <w:rPr>
                <w:color w:val="222222"/>
                <w:sz w:val="24"/>
                <w:szCs w:val="24"/>
                <w:highlight w:val="white"/>
              </w:rPr>
              <w:t>13,2</w:t>
            </w:r>
          </w:p>
        </w:tc>
        <w:tc>
          <w:tcPr>
            <w:tcW w:w="961" w:type="dxa"/>
          </w:tcPr>
          <w:p w14:paraId="41373671" w14:textId="77777777" w:rsidR="005D1A61" w:rsidRDefault="0045737E">
            <w:pPr>
              <w:spacing w:line="360" w:lineRule="auto"/>
              <w:jc w:val="both"/>
              <w:rPr>
                <w:color w:val="222222"/>
                <w:sz w:val="24"/>
                <w:szCs w:val="24"/>
                <w:highlight w:val="white"/>
              </w:rPr>
            </w:pPr>
            <w:r>
              <w:rPr>
                <w:color w:val="222222"/>
                <w:sz w:val="24"/>
                <w:szCs w:val="24"/>
                <w:highlight w:val="white"/>
              </w:rPr>
              <w:t>4,7</w:t>
            </w:r>
          </w:p>
        </w:tc>
      </w:tr>
      <w:tr w:rsidR="005D1A61" w14:paraId="38377876" w14:textId="77777777">
        <w:trPr>
          <w:trHeight w:val="288"/>
        </w:trPr>
        <w:tc>
          <w:tcPr>
            <w:tcW w:w="1951" w:type="dxa"/>
          </w:tcPr>
          <w:p w14:paraId="2177EF8C" w14:textId="77777777" w:rsidR="005D1A61" w:rsidRDefault="0045737E">
            <w:pPr>
              <w:spacing w:line="360" w:lineRule="auto"/>
              <w:jc w:val="both"/>
              <w:rPr>
                <w:color w:val="222222"/>
                <w:sz w:val="24"/>
                <w:szCs w:val="24"/>
                <w:highlight w:val="white"/>
              </w:rPr>
            </w:pPr>
            <w:r>
              <w:rPr>
                <w:color w:val="222222"/>
                <w:sz w:val="24"/>
                <w:szCs w:val="24"/>
                <w:highlight w:val="white"/>
              </w:rPr>
              <w:t>ХМАО</w:t>
            </w:r>
          </w:p>
        </w:tc>
        <w:tc>
          <w:tcPr>
            <w:tcW w:w="1134" w:type="dxa"/>
          </w:tcPr>
          <w:p w14:paraId="112D883B" w14:textId="77777777" w:rsidR="005D1A61" w:rsidRDefault="0045737E">
            <w:pPr>
              <w:spacing w:line="360" w:lineRule="auto"/>
              <w:jc w:val="both"/>
              <w:rPr>
                <w:color w:val="222222"/>
                <w:sz w:val="24"/>
                <w:szCs w:val="24"/>
                <w:highlight w:val="white"/>
              </w:rPr>
            </w:pPr>
            <w:r>
              <w:rPr>
                <w:color w:val="222222"/>
                <w:sz w:val="24"/>
                <w:szCs w:val="24"/>
                <w:highlight w:val="white"/>
              </w:rPr>
              <w:t>534,8</w:t>
            </w:r>
          </w:p>
        </w:tc>
        <w:tc>
          <w:tcPr>
            <w:tcW w:w="992" w:type="dxa"/>
          </w:tcPr>
          <w:p w14:paraId="1AD00605" w14:textId="77777777" w:rsidR="005D1A61" w:rsidRDefault="0045737E">
            <w:pPr>
              <w:spacing w:line="360" w:lineRule="auto"/>
              <w:jc w:val="both"/>
              <w:rPr>
                <w:color w:val="222222"/>
                <w:sz w:val="24"/>
                <w:szCs w:val="24"/>
                <w:highlight w:val="white"/>
              </w:rPr>
            </w:pPr>
            <w:r>
              <w:rPr>
                <w:color w:val="222222"/>
                <w:sz w:val="24"/>
                <w:szCs w:val="24"/>
                <w:highlight w:val="white"/>
              </w:rPr>
              <w:t>3,12</w:t>
            </w:r>
          </w:p>
        </w:tc>
        <w:tc>
          <w:tcPr>
            <w:tcW w:w="1134" w:type="dxa"/>
          </w:tcPr>
          <w:p w14:paraId="3983A557" w14:textId="77777777" w:rsidR="005D1A61" w:rsidRDefault="0045737E">
            <w:pPr>
              <w:spacing w:line="360" w:lineRule="auto"/>
              <w:jc w:val="both"/>
              <w:rPr>
                <w:color w:val="222222"/>
                <w:sz w:val="24"/>
                <w:szCs w:val="24"/>
                <w:highlight w:val="white"/>
              </w:rPr>
            </w:pPr>
            <w:r>
              <w:rPr>
                <w:color w:val="222222"/>
                <w:sz w:val="24"/>
                <w:szCs w:val="24"/>
                <w:highlight w:val="white"/>
              </w:rPr>
              <w:t>29,41</w:t>
            </w:r>
          </w:p>
        </w:tc>
        <w:tc>
          <w:tcPr>
            <w:tcW w:w="1134" w:type="dxa"/>
          </w:tcPr>
          <w:p w14:paraId="0A6AC4F0" w14:textId="77777777" w:rsidR="005D1A61" w:rsidRDefault="0045737E">
            <w:pPr>
              <w:spacing w:line="360" w:lineRule="auto"/>
              <w:jc w:val="both"/>
              <w:rPr>
                <w:color w:val="222222"/>
                <w:sz w:val="24"/>
                <w:szCs w:val="24"/>
                <w:highlight w:val="white"/>
              </w:rPr>
            </w:pPr>
            <w:r>
              <w:rPr>
                <w:color w:val="222222"/>
                <w:sz w:val="24"/>
                <w:szCs w:val="24"/>
                <w:highlight w:val="white"/>
              </w:rPr>
              <w:t>43,2</w:t>
            </w:r>
          </w:p>
        </w:tc>
        <w:tc>
          <w:tcPr>
            <w:tcW w:w="993" w:type="dxa"/>
          </w:tcPr>
          <w:p w14:paraId="3D11E5DB" w14:textId="77777777" w:rsidR="005D1A61" w:rsidRDefault="0045737E">
            <w:pPr>
              <w:spacing w:line="360" w:lineRule="auto"/>
              <w:jc w:val="both"/>
              <w:rPr>
                <w:color w:val="222222"/>
                <w:sz w:val="24"/>
                <w:szCs w:val="24"/>
                <w:highlight w:val="white"/>
              </w:rPr>
            </w:pPr>
            <w:r>
              <w:rPr>
                <w:color w:val="222222"/>
                <w:sz w:val="24"/>
                <w:szCs w:val="24"/>
                <w:highlight w:val="white"/>
              </w:rPr>
              <w:t>53,7</w:t>
            </w:r>
          </w:p>
        </w:tc>
        <w:tc>
          <w:tcPr>
            <w:tcW w:w="1272" w:type="dxa"/>
          </w:tcPr>
          <w:p w14:paraId="72ABE503" w14:textId="77777777" w:rsidR="005D1A61" w:rsidRDefault="0045737E">
            <w:pPr>
              <w:spacing w:line="360" w:lineRule="auto"/>
              <w:jc w:val="both"/>
              <w:rPr>
                <w:color w:val="222222"/>
                <w:sz w:val="24"/>
                <w:szCs w:val="24"/>
                <w:highlight w:val="white"/>
              </w:rPr>
            </w:pPr>
            <w:r>
              <w:rPr>
                <w:color w:val="222222"/>
                <w:sz w:val="24"/>
                <w:szCs w:val="24"/>
                <w:highlight w:val="white"/>
              </w:rPr>
              <w:t>1,2</w:t>
            </w:r>
          </w:p>
        </w:tc>
        <w:tc>
          <w:tcPr>
            <w:tcW w:w="961" w:type="dxa"/>
          </w:tcPr>
          <w:p w14:paraId="477D97DB" w14:textId="77777777" w:rsidR="005D1A61" w:rsidRDefault="0045737E">
            <w:pPr>
              <w:spacing w:line="360" w:lineRule="auto"/>
              <w:jc w:val="both"/>
              <w:rPr>
                <w:color w:val="222222"/>
                <w:sz w:val="24"/>
                <w:szCs w:val="24"/>
                <w:highlight w:val="white"/>
              </w:rPr>
            </w:pPr>
            <w:r>
              <w:rPr>
                <w:color w:val="222222"/>
                <w:sz w:val="24"/>
                <w:szCs w:val="24"/>
                <w:highlight w:val="white"/>
              </w:rPr>
              <w:t>1,9</w:t>
            </w:r>
          </w:p>
        </w:tc>
      </w:tr>
      <w:tr w:rsidR="005D1A61" w14:paraId="5ADAAB4B" w14:textId="77777777">
        <w:trPr>
          <w:trHeight w:val="288"/>
        </w:trPr>
        <w:tc>
          <w:tcPr>
            <w:tcW w:w="1951" w:type="dxa"/>
          </w:tcPr>
          <w:p w14:paraId="431520C8" w14:textId="77777777" w:rsidR="005D1A61" w:rsidRDefault="0045737E">
            <w:pPr>
              <w:spacing w:line="360" w:lineRule="auto"/>
              <w:jc w:val="both"/>
              <w:rPr>
                <w:color w:val="222222"/>
                <w:sz w:val="24"/>
                <w:szCs w:val="24"/>
                <w:highlight w:val="white"/>
              </w:rPr>
            </w:pPr>
            <w:r>
              <w:rPr>
                <w:color w:val="222222"/>
                <w:sz w:val="24"/>
                <w:szCs w:val="24"/>
                <w:highlight w:val="white"/>
              </w:rPr>
              <w:t>ЯНАО</w:t>
            </w:r>
          </w:p>
        </w:tc>
        <w:tc>
          <w:tcPr>
            <w:tcW w:w="1134" w:type="dxa"/>
          </w:tcPr>
          <w:p w14:paraId="1C97714D" w14:textId="77777777" w:rsidR="005D1A61" w:rsidRDefault="0045737E">
            <w:pPr>
              <w:spacing w:line="360" w:lineRule="auto"/>
              <w:jc w:val="both"/>
              <w:rPr>
                <w:color w:val="222222"/>
                <w:sz w:val="24"/>
                <w:szCs w:val="24"/>
                <w:highlight w:val="white"/>
              </w:rPr>
            </w:pPr>
            <w:r>
              <w:rPr>
                <w:color w:val="222222"/>
                <w:sz w:val="24"/>
                <w:szCs w:val="24"/>
                <w:highlight w:val="white"/>
              </w:rPr>
              <w:t>769,3</w:t>
            </w:r>
          </w:p>
        </w:tc>
        <w:tc>
          <w:tcPr>
            <w:tcW w:w="992" w:type="dxa"/>
          </w:tcPr>
          <w:p w14:paraId="78E245E0" w14:textId="77777777" w:rsidR="005D1A61" w:rsidRDefault="0045737E">
            <w:pPr>
              <w:spacing w:line="360" w:lineRule="auto"/>
              <w:jc w:val="both"/>
              <w:rPr>
                <w:color w:val="222222"/>
                <w:sz w:val="24"/>
                <w:szCs w:val="24"/>
                <w:highlight w:val="white"/>
              </w:rPr>
            </w:pPr>
            <w:r>
              <w:rPr>
                <w:color w:val="222222"/>
                <w:sz w:val="24"/>
                <w:szCs w:val="24"/>
                <w:highlight w:val="white"/>
              </w:rPr>
              <w:t>4,49</w:t>
            </w:r>
          </w:p>
        </w:tc>
        <w:tc>
          <w:tcPr>
            <w:tcW w:w="1134" w:type="dxa"/>
          </w:tcPr>
          <w:p w14:paraId="1B9F9757" w14:textId="77777777" w:rsidR="005D1A61" w:rsidRDefault="0045737E">
            <w:pPr>
              <w:spacing w:line="360" w:lineRule="auto"/>
              <w:jc w:val="both"/>
              <w:rPr>
                <w:color w:val="222222"/>
                <w:sz w:val="24"/>
                <w:szCs w:val="24"/>
                <w:highlight w:val="white"/>
              </w:rPr>
            </w:pPr>
            <w:r>
              <w:rPr>
                <w:color w:val="222222"/>
                <w:sz w:val="24"/>
                <w:szCs w:val="24"/>
                <w:highlight w:val="white"/>
              </w:rPr>
              <w:t>42,31</w:t>
            </w:r>
          </w:p>
        </w:tc>
        <w:tc>
          <w:tcPr>
            <w:tcW w:w="1134" w:type="dxa"/>
          </w:tcPr>
          <w:p w14:paraId="547DACE9" w14:textId="77777777" w:rsidR="005D1A61" w:rsidRDefault="0045737E">
            <w:pPr>
              <w:spacing w:line="360" w:lineRule="auto"/>
              <w:jc w:val="both"/>
              <w:rPr>
                <w:color w:val="222222"/>
                <w:sz w:val="24"/>
                <w:szCs w:val="24"/>
                <w:highlight w:val="white"/>
              </w:rPr>
            </w:pPr>
            <w:r>
              <w:rPr>
                <w:color w:val="222222"/>
                <w:sz w:val="24"/>
                <w:szCs w:val="24"/>
                <w:highlight w:val="white"/>
              </w:rPr>
              <w:t>36,6</w:t>
            </w:r>
          </w:p>
        </w:tc>
        <w:tc>
          <w:tcPr>
            <w:tcW w:w="993" w:type="dxa"/>
          </w:tcPr>
          <w:p w14:paraId="745F4B58" w14:textId="77777777" w:rsidR="005D1A61" w:rsidRDefault="0045737E">
            <w:pPr>
              <w:spacing w:line="360" w:lineRule="auto"/>
              <w:jc w:val="both"/>
              <w:rPr>
                <w:color w:val="222222"/>
                <w:sz w:val="24"/>
                <w:szCs w:val="24"/>
                <w:highlight w:val="white"/>
              </w:rPr>
            </w:pPr>
            <w:r>
              <w:rPr>
                <w:color w:val="222222"/>
                <w:sz w:val="24"/>
                <w:szCs w:val="24"/>
                <w:highlight w:val="white"/>
              </w:rPr>
              <w:t>24,4</w:t>
            </w:r>
          </w:p>
        </w:tc>
        <w:tc>
          <w:tcPr>
            <w:tcW w:w="1272" w:type="dxa"/>
          </w:tcPr>
          <w:p w14:paraId="06DA73F8" w14:textId="77777777" w:rsidR="005D1A61" w:rsidRDefault="0045737E">
            <w:pPr>
              <w:spacing w:line="360" w:lineRule="auto"/>
              <w:jc w:val="both"/>
              <w:rPr>
                <w:color w:val="222222"/>
                <w:sz w:val="24"/>
                <w:szCs w:val="24"/>
                <w:highlight w:val="white"/>
              </w:rPr>
            </w:pPr>
            <w:r>
              <w:rPr>
                <w:color w:val="222222"/>
                <w:sz w:val="24"/>
                <w:szCs w:val="24"/>
                <w:highlight w:val="white"/>
              </w:rPr>
              <w:t>0,3</w:t>
            </w:r>
          </w:p>
        </w:tc>
        <w:tc>
          <w:tcPr>
            <w:tcW w:w="961" w:type="dxa"/>
          </w:tcPr>
          <w:p w14:paraId="059FB475" w14:textId="77777777" w:rsidR="005D1A61" w:rsidRDefault="0045737E">
            <w:pPr>
              <w:spacing w:line="360" w:lineRule="auto"/>
              <w:jc w:val="both"/>
              <w:rPr>
                <w:color w:val="222222"/>
                <w:sz w:val="24"/>
                <w:szCs w:val="24"/>
                <w:highlight w:val="white"/>
              </w:rPr>
            </w:pPr>
            <w:r>
              <w:rPr>
                <w:color w:val="222222"/>
                <w:sz w:val="24"/>
                <w:szCs w:val="24"/>
                <w:highlight w:val="white"/>
              </w:rPr>
              <w:t>38,7</w:t>
            </w:r>
          </w:p>
        </w:tc>
      </w:tr>
      <w:tr w:rsidR="005D1A61" w14:paraId="4CCBC4C2" w14:textId="77777777">
        <w:trPr>
          <w:trHeight w:val="288"/>
        </w:trPr>
        <w:tc>
          <w:tcPr>
            <w:tcW w:w="1951" w:type="dxa"/>
          </w:tcPr>
          <w:p w14:paraId="11EA3E55" w14:textId="77777777" w:rsidR="005D1A61" w:rsidRDefault="0045737E">
            <w:pPr>
              <w:spacing w:line="360" w:lineRule="auto"/>
              <w:jc w:val="both"/>
              <w:rPr>
                <w:color w:val="222222"/>
                <w:sz w:val="24"/>
                <w:szCs w:val="24"/>
                <w:highlight w:val="white"/>
              </w:rPr>
            </w:pPr>
            <w:r>
              <w:rPr>
                <w:color w:val="222222"/>
                <w:sz w:val="24"/>
                <w:szCs w:val="24"/>
                <w:highlight w:val="white"/>
              </w:rPr>
              <w:t>Тюменская область без АО</w:t>
            </w:r>
          </w:p>
        </w:tc>
        <w:tc>
          <w:tcPr>
            <w:tcW w:w="1134" w:type="dxa"/>
          </w:tcPr>
          <w:p w14:paraId="6265ED70" w14:textId="77777777" w:rsidR="005D1A61" w:rsidRDefault="0045737E">
            <w:pPr>
              <w:spacing w:line="360" w:lineRule="auto"/>
              <w:jc w:val="both"/>
              <w:rPr>
                <w:color w:val="222222"/>
                <w:sz w:val="24"/>
                <w:szCs w:val="24"/>
                <w:highlight w:val="white"/>
              </w:rPr>
            </w:pPr>
            <w:r>
              <w:rPr>
                <w:color w:val="222222"/>
                <w:sz w:val="24"/>
                <w:szCs w:val="24"/>
                <w:highlight w:val="white"/>
              </w:rPr>
              <w:t>160,1</w:t>
            </w:r>
          </w:p>
        </w:tc>
        <w:tc>
          <w:tcPr>
            <w:tcW w:w="992" w:type="dxa"/>
          </w:tcPr>
          <w:p w14:paraId="7B52C21E" w14:textId="77777777" w:rsidR="005D1A61" w:rsidRDefault="0045737E">
            <w:pPr>
              <w:spacing w:line="360" w:lineRule="auto"/>
              <w:jc w:val="both"/>
              <w:rPr>
                <w:color w:val="222222"/>
                <w:sz w:val="24"/>
                <w:szCs w:val="24"/>
                <w:highlight w:val="white"/>
              </w:rPr>
            </w:pPr>
            <w:r>
              <w:rPr>
                <w:color w:val="222222"/>
                <w:sz w:val="24"/>
                <w:szCs w:val="24"/>
                <w:highlight w:val="white"/>
              </w:rPr>
              <w:t>0,93</w:t>
            </w:r>
          </w:p>
        </w:tc>
        <w:tc>
          <w:tcPr>
            <w:tcW w:w="1134" w:type="dxa"/>
          </w:tcPr>
          <w:p w14:paraId="30EDF056" w14:textId="77777777" w:rsidR="005D1A61" w:rsidRDefault="0045737E">
            <w:pPr>
              <w:spacing w:line="360" w:lineRule="auto"/>
              <w:jc w:val="both"/>
              <w:rPr>
                <w:color w:val="222222"/>
                <w:sz w:val="24"/>
                <w:szCs w:val="24"/>
                <w:highlight w:val="white"/>
              </w:rPr>
            </w:pPr>
            <w:r>
              <w:rPr>
                <w:color w:val="222222"/>
                <w:sz w:val="24"/>
                <w:szCs w:val="24"/>
                <w:highlight w:val="white"/>
              </w:rPr>
              <w:t>8,8</w:t>
            </w:r>
          </w:p>
        </w:tc>
        <w:tc>
          <w:tcPr>
            <w:tcW w:w="1134" w:type="dxa"/>
          </w:tcPr>
          <w:p w14:paraId="3329DB66" w14:textId="77777777" w:rsidR="005D1A61" w:rsidRDefault="0045737E">
            <w:pPr>
              <w:spacing w:line="360" w:lineRule="auto"/>
              <w:jc w:val="both"/>
              <w:rPr>
                <w:color w:val="222222"/>
                <w:sz w:val="24"/>
                <w:szCs w:val="24"/>
                <w:highlight w:val="white"/>
              </w:rPr>
            </w:pPr>
            <w:r>
              <w:rPr>
                <w:color w:val="222222"/>
                <w:sz w:val="24"/>
                <w:szCs w:val="24"/>
                <w:highlight w:val="white"/>
              </w:rPr>
              <w:t>32</w:t>
            </w:r>
          </w:p>
        </w:tc>
        <w:tc>
          <w:tcPr>
            <w:tcW w:w="993" w:type="dxa"/>
          </w:tcPr>
          <w:p w14:paraId="67D2AED2" w14:textId="77777777" w:rsidR="005D1A61" w:rsidRDefault="0045737E">
            <w:pPr>
              <w:spacing w:line="360" w:lineRule="auto"/>
              <w:jc w:val="both"/>
              <w:rPr>
                <w:color w:val="222222"/>
                <w:sz w:val="24"/>
                <w:szCs w:val="24"/>
                <w:highlight w:val="white"/>
              </w:rPr>
            </w:pPr>
            <w:r>
              <w:rPr>
                <w:color w:val="222222"/>
                <w:sz w:val="24"/>
                <w:szCs w:val="24"/>
                <w:highlight w:val="white"/>
              </w:rPr>
              <w:t>44,4</w:t>
            </w:r>
          </w:p>
        </w:tc>
        <w:tc>
          <w:tcPr>
            <w:tcW w:w="1272" w:type="dxa"/>
          </w:tcPr>
          <w:p w14:paraId="1889952B" w14:textId="77777777" w:rsidR="005D1A61" w:rsidRDefault="0045737E">
            <w:pPr>
              <w:spacing w:line="360" w:lineRule="auto"/>
              <w:jc w:val="both"/>
              <w:rPr>
                <w:color w:val="222222"/>
                <w:sz w:val="24"/>
                <w:szCs w:val="24"/>
                <w:highlight w:val="white"/>
              </w:rPr>
            </w:pPr>
            <w:r>
              <w:rPr>
                <w:color w:val="222222"/>
                <w:sz w:val="24"/>
                <w:szCs w:val="24"/>
                <w:highlight w:val="white"/>
              </w:rPr>
              <w:t>21,1</w:t>
            </w:r>
          </w:p>
        </w:tc>
        <w:tc>
          <w:tcPr>
            <w:tcW w:w="961" w:type="dxa"/>
          </w:tcPr>
          <w:p w14:paraId="712C5528" w14:textId="77777777" w:rsidR="005D1A61" w:rsidRDefault="0045737E">
            <w:pPr>
              <w:spacing w:line="360" w:lineRule="auto"/>
              <w:jc w:val="both"/>
              <w:rPr>
                <w:color w:val="222222"/>
                <w:sz w:val="24"/>
                <w:szCs w:val="24"/>
                <w:highlight w:val="white"/>
              </w:rPr>
            </w:pPr>
            <w:r>
              <w:rPr>
                <w:color w:val="222222"/>
                <w:sz w:val="24"/>
                <w:szCs w:val="24"/>
                <w:highlight w:val="white"/>
              </w:rPr>
              <w:t>2,5</w:t>
            </w:r>
          </w:p>
        </w:tc>
      </w:tr>
      <w:tr w:rsidR="005D1A61" w14:paraId="60AAF921" w14:textId="77777777">
        <w:trPr>
          <w:trHeight w:val="288"/>
        </w:trPr>
        <w:tc>
          <w:tcPr>
            <w:tcW w:w="1951" w:type="dxa"/>
          </w:tcPr>
          <w:p w14:paraId="40482F9A" w14:textId="77777777" w:rsidR="005D1A61" w:rsidRDefault="0045737E">
            <w:pPr>
              <w:spacing w:line="360" w:lineRule="auto"/>
              <w:jc w:val="both"/>
              <w:rPr>
                <w:color w:val="222222"/>
                <w:sz w:val="24"/>
                <w:szCs w:val="24"/>
                <w:highlight w:val="white"/>
              </w:rPr>
            </w:pPr>
            <w:r>
              <w:rPr>
                <w:color w:val="222222"/>
                <w:sz w:val="24"/>
                <w:szCs w:val="24"/>
                <w:highlight w:val="white"/>
              </w:rPr>
              <w:t>Челябинская область</w:t>
            </w:r>
          </w:p>
        </w:tc>
        <w:tc>
          <w:tcPr>
            <w:tcW w:w="1134" w:type="dxa"/>
          </w:tcPr>
          <w:p w14:paraId="2C56FAB7" w14:textId="77777777" w:rsidR="005D1A61" w:rsidRDefault="0045737E">
            <w:pPr>
              <w:spacing w:line="360" w:lineRule="auto"/>
              <w:jc w:val="both"/>
              <w:rPr>
                <w:color w:val="222222"/>
                <w:sz w:val="24"/>
                <w:szCs w:val="24"/>
                <w:highlight w:val="white"/>
              </w:rPr>
            </w:pPr>
            <w:r>
              <w:rPr>
                <w:color w:val="222222"/>
                <w:sz w:val="24"/>
                <w:szCs w:val="24"/>
                <w:highlight w:val="white"/>
              </w:rPr>
              <w:t>88,5</w:t>
            </w:r>
          </w:p>
        </w:tc>
        <w:tc>
          <w:tcPr>
            <w:tcW w:w="992" w:type="dxa"/>
          </w:tcPr>
          <w:p w14:paraId="1FDD1B2B" w14:textId="77777777" w:rsidR="005D1A61" w:rsidRDefault="0045737E">
            <w:pPr>
              <w:spacing w:line="360" w:lineRule="auto"/>
              <w:jc w:val="both"/>
              <w:rPr>
                <w:color w:val="222222"/>
                <w:sz w:val="24"/>
                <w:szCs w:val="24"/>
                <w:highlight w:val="white"/>
              </w:rPr>
            </w:pPr>
            <w:r>
              <w:rPr>
                <w:color w:val="222222"/>
                <w:sz w:val="24"/>
                <w:szCs w:val="24"/>
                <w:highlight w:val="white"/>
              </w:rPr>
              <w:t>0,52</w:t>
            </w:r>
          </w:p>
        </w:tc>
        <w:tc>
          <w:tcPr>
            <w:tcW w:w="1134" w:type="dxa"/>
          </w:tcPr>
          <w:p w14:paraId="00680E8D" w14:textId="77777777" w:rsidR="005D1A61" w:rsidRDefault="0045737E">
            <w:pPr>
              <w:spacing w:line="360" w:lineRule="auto"/>
              <w:jc w:val="both"/>
              <w:rPr>
                <w:color w:val="222222"/>
                <w:sz w:val="24"/>
                <w:szCs w:val="24"/>
                <w:highlight w:val="white"/>
              </w:rPr>
            </w:pPr>
            <w:r>
              <w:rPr>
                <w:color w:val="222222"/>
                <w:sz w:val="24"/>
                <w:szCs w:val="24"/>
                <w:highlight w:val="white"/>
              </w:rPr>
              <w:t>4,87</w:t>
            </w:r>
          </w:p>
        </w:tc>
        <w:tc>
          <w:tcPr>
            <w:tcW w:w="1134" w:type="dxa"/>
          </w:tcPr>
          <w:p w14:paraId="3302E71A" w14:textId="77777777" w:rsidR="005D1A61" w:rsidRDefault="0045737E">
            <w:pPr>
              <w:spacing w:line="360" w:lineRule="auto"/>
              <w:jc w:val="both"/>
              <w:rPr>
                <w:color w:val="222222"/>
                <w:sz w:val="24"/>
                <w:szCs w:val="24"/>
                <w:highlight w:val="white"/>
              </w:rPr>
            </w:pPr>
            <w:r>
              <w:rPr>
                <w:color w:val="222222"/>
                <w:sz w:val="24"/>
                <w:szCs w:val="24"/>
                <w:highlight w:val="white"/>
              </w:rPr>
              <w:t>5,3</w:t>
            </w:r>
          </w:p>
        </w:tc>
        <w:tc>
          <w:tcPr>
            <w:tcW w:w="993" w:type="dxa"/>
          </w:tcPr>
          <w:p w14:paraId="1168ACE9" w14:textId="77777777" w:rsidR="005D1A61" w:rsidRDefault="0045737E">
            <w:pPr>
              <w:spacing w:line="360" w:lineRule="auto"/>
              <w:jc w:val="both"/>
              <w:rPr>
                <w:color w:val="222222"/>
                <w:sz w:val="24"/>
                <w:szCs w:val="24"/>
                <w:highlight w:val="white"/>
              </w:rPr>
            </w:pPr>
            <w:r>
              <w:rPr>
                <w:color w:val="222222"/>
                <w:sz w:val="24"/>
                <w:szCs w:val="24"/>
                <w:highlight w:val="white"/>
              </w:rPr>
              <w:t>30,6</w:t>
            </w:r>
          </w:p>
        </w:tc>
        <w:tc>
          <w:tcPr>
            <w:tcW w:w="1272" w:type="dxa"/>
          </w:tcPr>
          <w:p w14:paraId="77BE2E0C" w14:textId="77777777" w:rsidR="005D1A61" w:rsidRDefault="0045737E">
            <w:pPr>
              <w:spacing w:line="360" w:lineRule="auto"/>
              <w:jc w:val="both"/>
              <w:rPr>
                <w:color w:val="222222"/>
                <w:sz w:val="24"/>
                <w:szCs w:val="24"/>
                <w:highlight w:val="white"/>
              </w:rPr>
            </w:pPr>
            <w:r>
              <w:rPr>
                <w:color w:val="222222"/>
                <w:sz w:val="24"/>
                <w:szCs w:val="24"/>
                <w:highlight w:val="white"/>
              </w:rPr>
              <w:t>57,5</w:t>
            </w:r>
          </w:p>
        </w:tc>
        <w:tc>
          <w:tcPr>
            <w:tcW w:w="961" w:type="dxa"/>
          </w:tcPr>
          <w:p w14:paraId="55F98688" w14:textId="77777777" w:rsidR="005D1A61" w:rsidRDefault="0045737E">
            <w:pPr>
              <w:spacing w:line="360" w:lineRule="auto"/>
              <w:jc w:val="both"/>
              <w:rPr>
                <w:color w:val="222222"/>
                <w:sz w:val="24"/>
                <w:szCs w:val="24"/>
                <w:highlight w:val="white"/>
              </w:rPr>
            </w:pPr>
            <w:r>
              <w:rPr>
                <w:color w:val="222222"/>
                <w:sz w:val="24"/>
                <w:szCs w:val="24"/>
                <w:highlight w:val="white"/>
              </w:rPr>
              <w:t>6,6</w:t>
            </w:r>
          </w:p>
        </w:tc>
      </w:tr>
    </w:tbl>
    <w:p w14:paraId="1A244C25" w14:textId="77777777" w:rsidR="005D1A61" w:rsidRDefault="005D1A61">
      <w:pPr>
        <w:spacing w:line="360" w:lineRule="auto"/>
        <w:jc w:val="both"/>
        <w:rPr>
          <w:color w:val="222222"/>
          <w:sz w:val="24"/>
          <w:szCs w:val="24"/>
          <w:highlight w:val="white"/>
        </w:rPr>
      </w:pPr>
    </w:p>
    <w:p w14:paraId="7D89E328" w14:textId="77777777" w:rsidR="005D1A61" w:rsidRDefault="0045737E" w:rsidP="000248E2">
      <w:pPr>
        <w:spacing w:line="360" w:lineRule="auto"/>
        <w:ind w:firstLine="851"/>
        <w:jc w:val="both"/>
        <w:rPr>
          <w:color w:val="222222"/>
          <w:sz w:val="24"/>
          <w:szCs w:val="24"/>
          <w:highlight w:val="white"/>
        </w:rPr>
      </w:pPr>
      <w:r>
        <w:rPr>
          <w:color w:val="222222"/>
          <w:sz w:val="24"/>
          <w:szCs w:val="24"/>
          <w:highlight w:val="white"/>
        </w:rPr>
        <w:t>Структура субъектов бол</w:t>
      </w:r>
      <w:r w:rsidR="000248E2">
        <w:rPr>
          <w:color w:val="222222"/>
          <w:sz w:val="24"/>
          <w:szCs w:val="24"/>
          <w:highlight w:val="white"/>
        </w:rPr>
        <w:t>ее наглядно отображена на рис. 6</w:t>
      </w:r>
      <w:r>
        <w:rPr>
          <w:color w:val="222222"/>
          <w:sz w:val="24"/>
          <w:szCs w:val="24"/>
          <w:highlight w:val="white"/>
        </w:rPr>
        <w:t>.</w:t>
      </w:r>
    </w:p>
    <w:p w14:paraId="2DDC6CD2" w14:textId="77777777" w:rsidR="000248E2" w:rsidRDefault="000248E2">
      <w:pPr>
        <w:spacing w:line="360" w:lineRule="auto"/>
        <w:jc w:val="both"/>
        <w:rPr>
          <w:color w:val="222222"/>
          <w:sz w:val="24"/>
          <w:szCs w:val="24"/>
          <w:highlight w:val="white"/>
        </w:rPr>
      </w:pPr>
      <w:r>
        <w:rPr>
          <w:noProof/>
        </w:rPr>
        <w:drawing>
          <wp:inline distT="0" distB="0" distL="0" distR="0" wp14:anchorId="45CE063E" wp14:editId="0BD25C42">
            <wp:extent cx="5940425" cy="3566795"/>
            <wp:effectExtent l="0" t="0" r="22225" b="1460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476E5B" w14:textId="77777777" w:rsidR="005D1A61" w:rsidRDefault="000248E2">
      <w:pPr>
        <w:spacing w:line="360" w:lineRule="auto"/>
        <w:jc w:val="both"/>
        <w:rPr>
          <w:color w:val="222222"/>
          <w:sz w:val="24"/>
          <w:szCs w:val="24"/>
        </w:rPr>
      </w:pPr>
      <w:r>
        <w:rPr>
          <w:color w:val="222222"/>
          <w:sz w:val="24"/>
          <w:szCs w:val="24"/>
        </w:rPr>
        <w:t>Рис. 6</w:t>
      </w:r>
      <w:r w:rsidR="0045737E">
        <w:rPr>
          <w:color w:val="222222"/>
          <w:sz w:val="24"/>
          <w:szCs w:val="24"/>
        </w:rPr>
        <w:t>. Земельная структура регионов Уральского федерального округа (составлено автором по данным Росстата и расчетам автора)</w:t>
      </w:r>
      <w:r w:rsidR="00AC4805">
        <w:rPr>
          <w:color w:val="222222"/>
          <w:sz w:val="24"/>
          <w:szCs w:val="24"/>
        </w:rPr>
        <w:t>.</w:t>
      </w:r>
    </w:p>
    <w:p w14:paraId="5B61907E" w14:textId="77777777" w:rsidR="005D1A61" w:rsidRDefault="0045737E">
      <w:pPr>
        <w:spacing w:line="360" w:lineRule="auto"/>
        <w:ind w:firstLine="851"/>
        <w:jc w:val="both"/>
        <w:rPr>
          <w:color w:val="222222"/>
          <w:sz w:val="24"/>
          <w:szCs w:val="24"/>
          <w:highlight w:val="white"/>
        </w:rPr>
      </w:pPr>
      <w:r>
        <w:rPr>
          <w:color w:val="222222"/>
          <w:sz w:val="24"/>
          <w:szCs w:val="24"/>
          <w:highlight w:val="white"/>
        </w:rPr>
        <w:lastRenderedPageBreak/>
        <w:t>Из графика видно, что различие в природно-климатических условиях отражаются и в структуре угодий: в ХМАО и ЯНАО практически отсутствуют площади под сельскохозяйственными угодьями, в то время как в Челябинской и Курганской областях более 50% территории используются в сельском хозяйстве. Лесные угодья занимают большую часть территории в Свердловской области и ХМАО – 70 и 54 % соответственно, а меньше всего представлены в ЯНАО, Курганской и Челябинской областях – 24, 25, 30 % соответственно. Поверхностные воды больше всего площади занимают в ХМАО (43%) и в ЯНАО (37%), что объясняется высокой заболоченностью территории из-за равнинного рельефа местности, избыточного увлажнения и крупного водотока (р. Обь).</w:t>
      </w:r>
    </w:p>
    <w:p w14:paraId="48F1204B" w14:textId="77777777" w:rsidR="005D1A61" w:rsidRDefault="0045737E">
      <w:pPr>
        <w:spacing w:line="360" w:lineRule="auto"/>
        <w:ind w:firstLine="851"/>
        <w:jc w:val="both"/>
        <w:rPr>
          <w:color w:val="222222"/>
          <w:sz w:val="24"/>
          <w:szCs w:val="24"/>
          <w:highlight w:val="white"/>
        </w:rPr>
      </w:pPr>
      <w:r>
        <w:rPr>
          <w:color w:val="222222"/>
          <w:sz w:val="24"/>
          <w:szCs w:val="24"/>
          <w:highlight w:val="white"/>
        </w:rPr>
        <w:t>Уральский регион является развитым в промышленном плане, поэтому важным аспектом исследования окружающей среды также является рассмотрение аспектов природопользования. Доля выбросов загрязняющих веществ от стационарных источников в федеральном округе на 2021 год составляет 21% от валовых российских выбросов. При этом наибольшая часть выбросов приходится на ХМАО (7,2%), ЯНАО (5,5%), Свердловскую (4,56%) и Челябинскую (2,72%), а в Курганской и Тюменской областях доля составляет менее 1%. Однако такая территориальная структура не является постоянной</w:t>
      </w:r>
      <w:r w:rsidR="00AC4805">
        <w:rPr>
          <w:color w:val="222222"/>
          <w:sz w:val="24"/>
          <w:szCs w:val="24"/>
          <w:highlight w:val="white"/>
        </w:rPr>
        <w:t>, что видно из графика на рис. 7</w:t>
      </w:r>
      <w:r>
        <w:rPr>
          <w:color w:val="222222"/>
          <w:sz w:val="24"/>
          <w:szCs w:val="24"/>
          <w:highlight w:val="white"/>
        </w:rPr>
        <w:t xml:space="preserve">. Наибольшие выбросы в целом наблюдались в период с 2000 по 2014 годы с пиком в 2005 году. При этом большая часть роста выбросов пришлась на этот период на Ханты-Мансийский и Ямало-Ненецкий автономные округа, что может объясняться расширением добывающего производства нефти и газа. </w:t>
      </w:r>
    </w:p>
    <w:p w14:paraId="6570B403" w14:textId="77777777" w:rsidR="005D1A61" w:rsidRDefault="005D1A61">
      <w:pPr>
        <w:spacing w:line="360" w:lineRule="auto"/>
        <w:jc w:val="both"/>
        <w:rPr>
          <w:color w:val="222222"/>
          <w:sz w:val="24"/>
          <w:szCs w:val="24"/>
          <w:highlight w:val="white"/>
        </w:rPr>
      </w:pPr>
    </w:p>
    <w:p w14:paraId="2FB6BDF8" w14:textId="77777777" w:rsidR="00AC4805" w:rsidRDefault="00AC4805">
      <w:pPr>
        <w:spacing w:line="360" w:lineRule="auto"/>
        <w:jc w:val="both"/>
        <w:rPr>
          <w:color w:val="222222"/>
          <w:sz w:val="24"/>
          <w:szCs w:val="24"/>
        </w:rPr>
      </w:pPr>
      <w:r>
        <w:rPr>
          <w:noProof/>
        </w:rPr>
        <w:lastRenderedPageBreak/>
        <w:drawing>
          <wp:inline distT="0" distB="0" distL="0" distR="0" wp14:anchorId="2029FA63" wp14:editId="05777A77">
            <wp:extent cx="5940425" cy="3863340"/>
            <wp:effectExtent l="0" t="0" r="22225" b="2286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A295A2" w14:textId="77777777" w:rsidR="005D1A61" w:rsidRDefault="00AC4805">
      <w:pPr>
        <w:spacing w:line="360" w:lineRule="auto"/>
        <w:jc w:val="both"/>
        <w:rPr>
          <w:color w:val="222222"/>
          <w:sz w:val="24"/>
          <w:szCs w:val="24"/>
        </w:rPr>
      </w:pPr>
      <w:r>
        <w:rPr>
          <w:color w:val="222222"/>
          <w:sz w:val="24"/>
          <w:szCs w:val="24"/>
        </w:rPr>
        <w:t>Рис. 7</w:t>
      </w:r>
      <w:r w:rsidR="0045737E">
        <w:rPr>
          <w:color w:val="222222"/>
          <w:sz w:val="24"/>
          <w:szCs w:val="24"/>
        </w:rPr>
        <w:t>. Выбросы веществ от стационарных источников в регионах Уральского федерального округа, тыс. т</w:t>
      </w:r>
      <w:r>
        <w:rPr>
          <w:color w:val="222222"/>
          <w:sz w:val="24"/>
          <w:szCs w:val="24"/>
        </w:rPr>
        <w:t>.</w:t>
      </w:r>
      <w:r w:rsidR="0045737E">
        <w:rPr>
          <w:color w:val="222222"/>
          <w:sz w:val="24"/>
          <w:szCs w:val="24"/>
        </w:rPr>
        <w:t xml:space="preserve"> (составлено автором по данным Росстата).</w:t>
      </w:r>
    </w:p>
    <w:p w14:paraId="485326B7" w14:textId="77777777" w:rsidR="005D1A61" w:rsidRDefault="0045737E">
      <w:pPr>
        <w:spacing w:line="360" w:lineRule="auto"/>
        <w:ind w:firstLine="851"/>
        <w:jc w:val="both"/>
        <w:rPr>
          <w:color w:val="222222"/>
          <w:sz w:val="24"/>
          <w:szCs w:val="24"/>
          <w:highlight w:val="white"/>
        </w:rPr>
      </w:pPr>
      <w:r>
        <w:rPr>
          <w:color w:val="222222"/>
          <w:sz w:val="24"/>
          <w:szCs w:val="24"/>
          <w:highlight w:val="white"/>
        </w:rPr>
        <w:t xml:space="preserve">Распределение значений улавливания загрязняющих веществ происходит в несколько другом порядке: на УрФО в общем улавливании загрязняющих веществ в стране приходится 23,5%, при этом в Свердловской области улавливается 16,5% от валовых значений России, на втором месте с сильным отставанием идет Челябинская область с долей 6,1%, остальные 4 региона в сумме улавливают менее 1%. При этом тренд улавливания отрицательный, что также согласуется с общим количеством выбросов и говорит о повышении эффективности производств и меньшем образовании отходов на них в регионах (рис. </w:t>
      </w:r>
      <w:r w:rsidR="006E7248">
        <w:rPr>
          <w:color w:val="222222"/>
          <w:sz w:val="24"/>
          <w:szCs w:val="24"/>
          <w:highlight w:val="white"/>
        </w:rPr>
        <w:t>8</w:t>
      </w:r>
      <w:r>
        <w:rPr>
          <w:color w:val="222222"/>
          <w:sz w:val="24"/>
          <w:szCs w:val="24"/>
          <w:highlight w:val="white"/>
        </w:rPr>
        <w:t>).</w:t>
      </w:r>
    </w:p>
    <w:p w14:paraId="39012388" w14:textId="77777777" w:rsidR="005D1A61" w:rsidRDefault="005D1A61">
      <w:pPr>
        <w:spacing w:line="360" w:lineRule="auto"/>
        <w:jc w:val="both"/>
        <w:rPr>
          <w:color w:val="222222"/>
          <w:sz w:val="24"/>
          <w:szCs w:val="24"/>
          <w:highlight w:val="white"/>
        </w:rPr>
      </w:pPr>
    </w:p>
    <w:p w14:paraId="7BBCE534" w14:textId="77777777" w:rsidR="006E7248" w:rsidRDefault="006E7248">
      <w:pPr>
        <w:spacing w:line="360" w:lineRule="auto"/>
        <w:jc w:val="both"/>
        <w:rPr>
          <w:color w:val="222222"/>
          <w:sz w:val="24"/>
          <w:szCs w:val="24"/>
          <w:highlight w:val="white"/>
        </w:rPr>
      </w:pPr>
      <w:r>
        <w:rPr>
          <w:noProof/>
        </w:rPr>
        <w:lastRenderedPageBreak/>
        <w:drawing>
          <wp:inline distT="0" distB="0" distL="0" distR="0" wp14:anchorId="53A1DA2E" wp14:editId="033C0456">
            <wp:extent cx="5940425" cy="3312643"/>
            <wp:effectExtent l="0" t="0" r="22225" b="2159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B20310" w14:textId="2663C115" w:rsidR="005D1A61" w:rsidRDefault="0045737E">
      <w:pPr>
        <w:spacing w:line="360" w:lineRule="auto"/>
        <w:jc w:val="both"/>
        <w:rPr>
          <w:color w:val="222222"/>
          <w:sz w:val="24"/>
          <w:szCs w:val="24"/>
          <w:highlight w:val="white"/>
        </w:rPr>
      </w:pPr>
      <w:r>
        <w:rPr>
          <w:color w:val="222222"/>
          <w:sz w:val="24"/>
          <w:szCs w:val="24"/>
          <w:highlight w:val="white"/>
        </w:rPr>
        <w:t xml:space="preserve">Рис. </w:t>
      </w:r>
      <w:r w:rsidR="006E7248">
        <w:rPr>
          <w:color w:val="222222"/>
          <w:sz w:val="24"/>
          <w:szCs w:val="24"/>
          <w:highlight w:val="white"/>
        </w:rPr>
        <w:t>8</w:t>
      </w:r>
      <w:r>
        <w:rPr>
          <w:color w:val="222222"/>
          <w:sz w:val="24"/>
          <w:szCs w:val="24"/>
          <w:highlight w:val="white"/>
        </w:rPr>
        <w:t xml:space="preserve">. Динамика улавливания загрязняющих атмосферу веществ, отходящих от стационарных источников по регионам Уральского </w:t>
      </w:r>
      <w:r w:rsidRPr="008F438A">
        <w:rPr>
          <w:color w:val="222222"/>
          <w:sz w:val="24"/>
          <w:szCs w:val="24"/>
        </w:rPr>
        <w:t>федерального округа (составлено автором</w:t>
      </w:r>
      <w:r w:rsidR="008F438A">
        <w:rPr>
          <w:color w:val="222222"/>
          <w:sz w:val="24"/>
          <w:szCs w:val="24"/>
        </w:rPr>
        <w:t xml:space="preserve"> по данным Росстата</w:t>
      </w:r>
      <w:r w:rsidRPr="008F438A">
        <w:rPr>
          <w:color w:val="222222"/>
          <w:sz w:val="24"/>
          <w:szCs w:val="24"/>
        </w:rPr>
        <w:t>).</w:t>
      </w:r>
    </w:p>
    <w:p w14:paraId="002C4A5E" w14:textId="77777777" w:rsidR="005D1A61" w:rsidRDefault="0045737E">
      <w:pPr>
        <w:pStyle w:val="1"/>
        <w:spacing w:line="360" w:lineRule="auto"/>
        <w:jc w:val="center"/>
        <w:rPr>
          <w:sz w:val="26"/>
          <w:szCs w:val="26"/>
        </w:rPr>
      </w:pPr>
      <w:bookmarkStart w:id="15" w:name="_Toc136642119"/>
      <w:bookmarkStart w:id="16" w:name="_Toc136642362"/>
      <w:r>
        <w:rPr>
          <w:sz w:val="26"/>
          <w:szCs w:val="26"/>
        </w:rPr>
        <w:t>2.2. Демографическая сфера</w:t>
      </w:r>
      <w:bookmarkEnd w:id="15"/>
      <w:bookmarkEnd w:id="16"/>
      <w:r>
        <w:rPr>
          <w:sz w:val="26"/>
          <w:szCs w:val="26"/>
        </w:rPr>
        <w:t xml:space="preserve"> </w:t>
      </w:r>
    </w:p>
    <w:p w14:paraId="3E2DAB8D" w14:textId="77777777" w:rsidR="005D1A61" w:rsidRDefault="0045737E">
      <w:pPr>
        <w:spacing w:line="360" w:lineRule="auto"/>
        <w:ind w:firstLine="851"/>
        <w:jc w:val="both"/>
        <w:rPr>
          <w:sz w:val="24"/>
          <w:szCs w:val="24"/>
        </w:rPr>
      </w:pPr>
      <w:r>
        <w:rPr>
          <w:sz w:val="24"/>
          <w:szCs w:val="24"/>
        </w:rPr>
        <w:t xml:space="preserve">Население УрФО также неравномерно, как и явления и процессы в предыдущем параграфе. Всего в федеральном округе на 2021 год проживает 12,3 млн человек, что составляет от населения страны 8,5%. На 2021 год наибольшее население имеет Свердловская область – 4,3 млн человек или 2,9%, затем идет Челябинская область с населением 3,4 млн человек или 2,4%, далее идет Ханты-Мансийский автономный округ с населением в 1,7 млн человек или 1,2% и Тюменская область – 1,5 млн человек или 1,1%, меньше всего населения в Курганской области – 0,8 млн человек или 0,6% и в Ямало-Ненецком автономном округе – 0,5 млн. человек или 0,4%. Ниже на рис. </w:t>
      </w:r>
      <w:r w:rsidR="006E7248">
        <w:rPr>
          <w:sz w:val="24"/>
          <w:szCs w:val="24"/>
        </w:rPr>
        <w:t>9</w:t>
      </w:r>
      <w:r>
        <w:rPr>
          <w:sz w:val="24"/>
          <w:szCs w:val="24"/>
        </w:rPr>
        <w:t xml:space="preserve"> отображена динамика численности населения регионов федерального округа.</w:t>
      </w:r>
    </w:p>
    <w:p w14:paraId="791B0AED" w14:textId="77777777" w:rsidR="005D1A61" w:rsidRDefault="005D1A61">
      <w:pPr>
        <w:spacing w:line="360" w:lineRule="auto"/>
        <w:jc w:val="both"/>
        <w:rPr>
          <w:sz w:val="24"/>
          <w:szCs w:val="24"/>
        </w:rPr>
      </w:pPr>
    </w:p>
    <w:p w14:paraId="1D7F11FF" w14:textId="77777777" w:rsidR="006E7248" w:rsidRDefault="006E7248">
      <w:pPr>
        <w:spacing w:line="360" w:lineRule="auto"/>
        <w:jc w:val="both"/>
        <w:rPr>
          <w:sz w:val="24"/>
          <w:szCs w:val="24"/>
        </w:rPr>
      </w:pPr>
      <w:r>
        <w:rPr>
          <w:noProof/>
        </w:rPr>
        <w:lastRenderedPageBreak/>
        <w:drawing>
          <wp:inline distT="0" distB="0" distL="0" distR="0" wp14:anchorId="307F00C1" wp14:editId="134CB7B9">
            <wp:extent cx="5940425" cy="3710940"/>
            <wp:effectExtent l="0" t="0" r="22225" b="2286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E22CB1" w14:textId="04CF2146" w:rsidR="005D1A61" w:rsidRPr="008F438A" w:rsidRDefault="0045737E">
      <w:pPr>
        <w:spacing w:line="360" w:lineRule="auto"/>
        <w:jc w:val="both"/>
        <w:rPr>
          <w:color w:val="222222"/>
          <w:sz w:val="24"/>
          <w:szCs w:val="24"/>
          <w:highlight w:val="white"/>
        </w:rPr>
      </w:pPr>
      <w:r>
        <w:rPr>
          <w:sz w:val="24"/>
          <w:szCs w:val="24"/>
        </w:rPr>
        <w:t xml:space="preserve">Рис. </w:t>
      </w:r>
      <w:r w:rsidR="006E7248">
        <w:rPr>
          <w:sz w:val="24"/>
          <w:szCs w:val="24"/>
        </w:rPr>
        <w:t>9</w:t>
      </w:r>
      <w:r>
        <w:rPr>
          <w:sz w:val="24"/>
          <w:szCs w:val="24"/>
        </w:rPr>
        <w:t>. Динамика численности населения субъектов УрФО, тысяч человек</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proofErr w:type="gramStart"/>
      <w:r w:rsidR="008F438A" w:rsidRPr="008F438A">
        <w:rPr>
          <w:color w:val="222222"/>
          <w:sz w:val="24"/>
          <w:szCs w:val="24"/>
        </w:rPr>
        <w:t>).</w:t>
      </w:r>
      <w:r w:rsidR="001D6EC4">
        <w:rPr>
          <w:sz w:val="24"/>
          <w:szCs w:val="24"/>
        </w:rPr>
        <w:t>.</w:t>
      </w:r>
      <w:proofErr w:type="gramEnd"/>
    </w:p>
    <w:p w14:paraId="35D95FF6" w14:textId="77777777" w:rsidR="005D1A61" w:rsidRDefault="0045737E">
      <w:pPr>
        <w:spacing w:line="360" w:lineRule="auto"/>
        <w:ind w:firstLine="851"/>
        <w:jc w:val="both"/>
        <w:rPr>
          <w:sz w:val="24"/>
          <w:szCs w:val="24"/>
        </w:rPr>
      </w:pPr>
      <w:r>
        <w:rPr>
          <w:sz w:val="24"/>
          <w:szCs w:val="24"/>
        </w:rPr>
        <w:t>Анализируя динамику, можно заметить, что динамика регионов УрФО отличается от общероссийской динамики: после длительного уменьшения населения, в период 2008-2017 в России наблюдался рост даже без учета Республики Крым, в то время как в регионах округа динамика более линейная. Население Курганской области постоянно убывает с начала рассматриваемого периода и уменьшилось за 31 год на 27%, население Свердловской области также имеет отрицательный тренд, уменьшив население на 10%, население Челябинской области имеет аналогичную динамику и уменьшилось на 7%, остальные регионы имеют наоборот положительную динамику: Ханты-Мансийский АО увеличил население на 32%, обогнав Тюменскую область, увеличение населения которой составило 10%, изменение численности человек Ямало-Ненецкого АО составило 12%.</w:t>
      </w:r>
    </w:p>
    <w:p w14:paraId="6F433C27" w14:textId="77777777" w:rsidR="005D1A61" w:rsidRDefault="0045737E">
      <w:pPr>
        <w:spacing w:line="360" w:lineRule="auto"/>
        <w:ind w:firstLine="851"/>
        <w:jc w:val="both"/>
        <w:rPr>
          <w:sz w:val="24"/>
          <w:szCs w:val="24"/>
        </w:rPr>
      </w:pPr>
      <w:r>
        <w:rPr>
          <w:sz w:val="24"/>
          <w:szCs w:val="24"/>
        </w:rPr>
        <w:t xml:space="preserve">УрФО, как </w:t>
      </w:r>
      <w:proofErr w:type="spellStart"/>
      <w:r>
        <w:rPr>
          <w:sz w:val="24"/>
          <w:szCs w:val="24"/>
        </w:rPr>
        <w:t>старопромышленная</w:t>
      </w:r>
      <w:proofErr w:type="spellEnd"/>
      <w:r>
        <w:rPr>
          <w:sz w:val="24"/>
          <w:szCs w:val="24"/>
        </w:rPr>
        <w:t xml:space="preserve"> территория и территория с северными ландшафтами, имеет высокую урбанизацию – 81,9% населения округа проживает в городах, когда в России в целом значение уровня урбанизации равняется 74,8% (на 2021 год). Динамика </w:t>
      </w:r>
      <w:r w:rsidR="006E7248">
        <w:rPr>
          <w:sz w:val="24"/>
          <w:szCs w:val="24"/>
        </w:rPr>
        <w:t>показателя отображена на рис. 10</w:t>
      </w:r>
      <w:r>
        <w:rPr>
          <w:sz w:val="24"/>
          <w:szCs w:val="24"/>
        </w:rPr>
        <w:t xml:space="preserve">. Из графика видно, что значения относительно стабильны. Наименьшая урбанизация на 2021 год в Курганской области – 62,5%, и в Тюменской области – 68,1%, что объясняет наибольший рост урбанизации с 1990 года в этих регионах – 7,4% и 5,6% соответственно. Из динамики видно, что в </w:t>
      </w:r>
      <w:r>
        <w:rPr>
          <w:sz w:val="24"/>
          <w:szCs w:val="24"/>
        </w:rPr>
        <w:lastRenderedPageBreak/>
        <w:t>Свердловской области и в Тюменской области были резкие сокращения урбанизации за 1 год, что может объясняться только изменением в подсчетах населения или определения их в категории городского или сельского населения. Если исключить эти скачки, то во всех регионах наблюдалось увеличение уровня урбанизации.</w:t>
      </w:r>
    </w:p>
    <w:p w14:paraId="01679191" w14:textId="77777777" w:rsidR="005D1A61" w:rsidRDefault="006E7248">
      <w:pPr>
        <w:spacing w:line="360" w:lineRule="auto"/>
        <w:jc w:val="both"/>
        <w:rPr>
          <w:sz w:val="24"/>
          <w:szCs w:val="24"/>
        </w:rPr>
      </w:pPr>
      <w:r>
        <w:rPr>
          <w:noProof/>
        </w:rPr>
        <w:drawing>
          <wp:inline distT="0" distB="0" distL="0" distR="0" wp14:anchorId="0130E2E4" wp14:editId="4B7CFE86">
            <wp:extent cx="5940425" cy="3151505"/>
            <wp:effectExtent l="0" t="0" r="22225" b="1079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4822A4" w14:textId="6E0162A7" w:rsidR="005D1A61" w:rsidRPr="008F438A" w:rsidRDefault="006E7248">
      <w:pPr>
        <w:spacing w:line="360" w:lineRule="auto"/>
        <w:jc w:val="both"/>
        <w:rPr>
          <w:color w:val="222222"/>
          <w:sz w:val="24"/>
          <w:szCs w:val="24"/>
          <w:highlight w:val="white"/>
        </w:rPr>
      </w:pPr>
      <w:r>
        <w:rPr>
          <w:sz w:val="24"/>
          <w:szCs w:val="24"/>
        </w:rPr>
        <w:t>Рис. 10</w:t>
      </w:r>
      <w:r w:rsidR="0045737E">
        <w:rPr>
          <w:sz w:val="24"/>
          <w:szCs w:val="24"/>
        </w:rPr>
        <w:t>. Динамика уровня урбанизации регионов УрФО, %</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p>
    <w:p w14:paraId="5365EBE8" w14:textId="77777777" w:rsidR="005D1A61" w:rsidRDefault="0045737E">
      <w:pPr>
        <w:spacing w:line="360" w:lineRule="auto"/>
        <w:ind w:firstLine="851"/>
        <w:jc w:val="both"/>
        <w:rPr>
          <w:sz w:val="26"/>
          <w:szCs w:val="26"/>
        </w:rPr>
      </w:pPr>
      <w:r>
        <w:rPr>
          <w:sz w:val="24"/>
          <w:szCs w:val="24"/>
        </w:rPr>
        <w:t xml:space="preserve">Для дальнейшего рассмотрения сначала нужно обратить внимание на половозрастную структуру населения по полу и возрасту, отображенную на половозрастных пирамидах (приложение 6). По рисункам видно, что структуры населения Тюменской области, ХМАО и ЯНАО аналогичны друг другу: относительно небольшая доля населения в пенсионном возрасте; сильно выражено население в трудоспособном возрасте; соотношение мужчин и женщин во всей возрастной структуре соответствует общероссийскому тренду – преобладание населения мужского пола в когортах с младшим возрастом (до 30 лет) и преобладание населения женского пола в старших возрастных когортах (после 30 лет); суженное воспроизводство населения. Для остальных регионов характерна меньшая выраженность трудоспособного возраста, большая доля населения в пенсионном возрасте. </w:t>
      </w:r>
    </w:p>
    <w:p w14:paraId="0818121B" w14:textId="77777777" w:rsidR="005D1A61" w:rsidRDefault="0045737E" w:rsidP="006E7248">
      <w:pPr>
        <w:spacing w:line="360" w:lineRule="auto"/>
        <w:ind w:firstLine="851"/>
        <w:jc w:val="both"/>
        <w:rPr>
          <w:sz w:val="24"/>
          <w:szCs w:val="24"/>
        </w:rPr>
      </w:pPr>
      <w:r>
        <w:rPr>
          <w:sz w:val="24"/>
          <w:szCs w:val="24"/>
        </w:rPr>
        <w:t xml:space="preserve">Коэффициент демографической нагрузки, рассчитываемый как отношение нетрудоспособного населения к трудоспособному на 1000 человек, на 2021 год наибольший в Курганской области (896), что объясняется высокой долей населения пенсионного возраста, а также миграцией населения из региона. У Свердловской, </w:t>
      </w:r>
      <w:r>
        <w:rPr>
          <w:sz w:val="24"/>
          <w:szCs w:val="24"/>
        </w:rPr>
        <w:lastRenderedPageBreak/>
        <w:t xml:space="preserve">Тюменской и Челябинской областей коэффициент равен 785, 746 и 780 соответственно, что немного значений Российского значения – 749. Наименьшее значение нагрузки в ХМАО и ЯНАО – 627 и 552 соответственно. Динамика </w:t>
      </w:r>
      <w:r w:rsidR="006E7248">
        <w:rPr>
          <w:sz w:val="24"/>
          <w:szCs w:val="24"/>
        </w:rPr>
        <w:t>показателя отображена на рис. 11</w:t>
      </w:r>
      <w:r>
        <w:rPr>
          <w:sz w:val="24"/>
          <w:szCs w:val="24"/>
        </w:rPr>
        <w:t>, откуда видно, что относительное положение регионов достаточно стабильно и места практически не меняются, а цикл показателя совпадает с возрастной структурой населения: малочисленные когорты населения 15-29 лет, года рождения которых совпадают с понижением нагрузки в 1998-2012 гг. Последняя высшая точка коэффициента была в 2018 году, после чего нагрузка стала снижаться, о</w:t>
      </w:r>
      <w:r w:rsidR="006E7248">
        <w:rPr>
          <w:sz w:val="24"/>
          <w:szCs w:val="24"/>
        </w:rPr>
        <w:t xml:space="preserve">ткуда можно сделать вывод, что </w:t>
      </w:r>
      <w:r>
        <w:rPr>
          <w:sz w:val="24"/>
          <w:szCs w:val="24"/>
        </w:rPr>
        <w:t>при условии продолжения</w:t>
      </w:r>
      <w:r w:rsidR="006E7248">
        <w:rPr>
          <w:sz w:val="24"/>
          <w:szCs w:val="24"/>
        </w:rPr>
        <w:t xml:space="preserve"> циклического развития динамики</w:t>
      </w:r>
      <w:r>
        <w:rPr>
          <w:sz w:val="24"/>
          <w:szCs w:val="24"/>
        </w:rPr>
        <w:t xml:space="preserve"> новые возрастные когорты будут появляться </w:t>
      </w:r>
      <w:r w:rsidR="006E7248">
        <w:rPr>
          <w:sz w:val="24"/>
          <w:szCs w:val="24"/>
        </w:rPr>
        <w:t>х</w:t>
      </w:r>
      <w:r>
        <w:rPr>
          <w:sz w:val="24"/>
          <w:szCs w:val="24"/>
        </w:rPr>
        <w:t>уже</w:t>
      </w:r>
      <w:r w:rsidR="006E7248">
        <w:rPr>
          <w:sz w:val="24"/>
          <w:szCs w:val="24"/>
        </w:rPr>
        <w:t>,</w:t>
      </w:r>
      <w:r>
        <w:rPr>
          <w:sz w:val="24"/>
          <w:szCs w:val="24"/>
        </w:rPr>
        <w:t xml:space="preserve"> чем предыду</w:t>
      </w:r>
      <w:r w:rsidR="006E7248">
        <w:rPr>
          <w:sz w:val="24"/>
          <w:szCs w:val="24"/>
        </w:rPr>
        <w:t>щие до 201</w:t>
      </w:r>
      <w:r>
        <w:rPr>
          <w:sz w:val="24"/>
          <w:szCs w:val="24"/>
        </w:rPr>
        <w:t>8 года во всех регионах округа.</w:t>
      </w:r>
    </w:p>
    <w:p w14:paraId="1E7B3BBA" w14:textId="77777777" w:rsidR="006E7248" w:rsidRDefault="006E7248">
      <w:pPr>
        <w:spacing w:line="360" w:lineRule="auto"/>
        <w:jc w:val="both"/>
        <w:rPr>
          <w:sz w:val="24"/>
          <w:szCs w:val="24"/>
        </w:rPr>
      </w:pPr>
      <w:r>
        <w:rPr>
          <w:noProof/>
        </w:rPr>
        <w:drawing>
          <wp:inline distT="0" distB="0" distL="0" distR="0" wp14:anchorId="153D2F47" wp14:editId="674B7881">
            <wp:extent cx="5940425" cy="4263390"/>
            <wp:effectExtent l="0" t="0" r="22225" b="2286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AEFE99" w14:textId="7EA73C4A" w:rsidR="005D1A61" w:rsidRPr="008F438A" w:rsidRDefault="006E7248">
      <w:pPr>
        <w:spacing w:line="360" w:lineRule="auto"/>
        <w:jc w:val="both"/>
        <w:rPr>
          <w:color w:val="222222"/>
          <w:sz w:val="24"/>
          <w:szCs w:val="24"/>
          <w:highlight w:val="white"/>
        </w:rPr>
      </w:pPr>
      <w:r>
        <w:rPr>
          <w:sz w:val="24"/>
          <w:szCs w:val="24"/>
        </w:rPr>
        <w:t>Рис. 11</w:t>
      </w:r>
      <w:r w:rsidR="0045737E">
        <w:rPr>
          <w:sz w:val="24"/>
          <w:szCs w:val="24"/>
        </w:rPr>
        <w:t>. Динамика коэффициента демографической нагрузки на 1000 человек населения по регионам УрФО</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r w:rsidR="0045737E">
        <w:rPr>
          <w:sz w:val="24"/>
          <w:szCs w:val="24"/>
        </w:rPr>
        <w:t>.</w:t>
      </w:r>
    </w:p>
    <w:p w14:paraId="6C6A1DFA" w14:textId="77777777" w:rsidR="005D1A61" w:rsidRDefault="0045737E">
      <w:pPr>
        <w:spacing w:line="360" w:lineRule="auto"/>
        <w:ind w:firstLine="851"/>
        <w:jc w:val="both"/>
        <w:rPr>
          <w:sz w:val="24"/>
          <w:szCs w:val="24"/>
          <w:highlight w:val="yellow"/>
        </w:rPr>
      </w:pPr>
      <w:r>
        <w:rPr>
          <w:sz w:val="24"/>
          <w:szCs w:val="24"/>
        </w:rPr>
        <w:t xml:space="preserve">Коэффициент естественного прироста населения рассчитывается как отношение разницы рожденных и умерших людей к численности населения в расчёте на 1000 человек. Динамика </w:t>
      </w:r>
      <w:r w:rsidR="006E7248">
        <w:rPr>
          <w:sz w:val="24"/>
          <w:szCs w:val="24"/>
        </w:rPr>
        <w:t>показателя отображена на рис. 12</w:t>
      </w:r>
      <w:r>
        <w:rPr>
          <w:sz w:val="24"/>
          <w:szCs w:val="24"/>
        </w:rPr>
        <w:t xml:space="preserve">. Наиболее высокий естественный прирост за рассматриваемый период наблюдался в ХМАО и ЯНАО, прирост не был </w:t>
      </w:r>
      <w:r w:rsidRPr="00F80D58">
        <w:rPr>
          <w:sz w:val="24"/>
          <w:szCs w:val="24"/>
        </w:rPr>
        <w:lastRenderedPageBreak/>
        <w:t>отрицательным до 2021 года. В 2021 году резко снизились все значения, что может быть связано с пандемией коронавируса, начавшейся в 2020 году.</w:t>
      </w:r>
    </w:p>
    <w:p w14:paraId="3E0CFD53" w14:textId="77777777" w:rsidR="005D1A61" w:rsidRDefault="0045737E">
      <w:pPr>
        <w:spacing w:line="360" w:lineRule="auto"/>
        <w:ind w:firstLine="851"/>
        <w:jc w:val="both"/>
        <w:rPr>
          <w:sz w:val="24"/>
          <w:szCs w:val="24"/>
        </w:rPr>
      </w:pPr>
      <w:r>
        <w:rPr>
          <w:sz w:val="24"/>
          <w:szCs w:val="24"/>
        </w:rPr>
        <w:t xml:space="preserve"> Курганская область имеет исключительно отрицательные значения показателя в динамике, кроме 1990 года, Челябинская и Свердловская области также большую часть времени имели значения ниже нуля, только в 2013 году показатель был на уровне нуля, а затем снова перешел в отрицательную часть графика. </w:t>
      </w:r>
    </w:p>
    <w:p w14:paraId="135F3C96" w14:textId="77777777" w:rsidR="005D1A61" w:rsidRDefault="006E7248">
      <w:pPr>
        <w:spacing w:line="360" w:lineRule="auto"/>
        <w:jc w:val="both"/>
        <w:rPr>
          <w:sz w:val="24"/>
          <w:szCs w:val="24"/>
        </w:rPr>
      </w:pPr>
      <w:r>
        <w:rPr>
          <w:noProof/>
        </w:rPr>
        <w:drawing>
          <wp:inline distT="0" distB="0" distL="0" distR="0" wp14:anchorId="555AD22A" wp14:editId="183D8547">
            <wp:extent cx="5940425" cy="3329940"/>
            <wp:effectExtent l="0" t="0" r="22225" b="2286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C0D033" w14:textId="1DA731B2" w:rsidR="008F438A" w:rsidRDefault="006E7248" w:rsidP="008F438A">
      <w:pPr>
        <w:spacing w:line="360" w:lineRule="auto"/>
        <w:jc w:val="both"/>
        <w:rPr>
          <w:color w:val="222222"/>
          <w:sz w:val="24"/>
          <w:szCs w:val="24"/>
          <w:highlight w:val="white"/>
        </w:rPr>
      </w:pPr>
      <w:r>
        <w:rPr>
          <w:sz w:val="24"/>
          <w:szCs w:val="24"/>
        </w:rPr>
        <w:t>Рис. 12</w:t>
      </w:r>
      <w:r w:rsidR="0045737E">
        <w:rPr>
          <w:sz w:val="24"/>
          <w:szCs w:val="24"/>
        </w:rPr>
        <w:t>. Динамика коэффициента естественного прироста на тысячу человек в субъектах УрФО</w:t>
      </w:r>
      <w:r w:rsidR="008F438A" w:rsidRPr="008F438A">
        <w:rPr>
          <w:color w:val="222222"/>
          <w:sz w:val="24"/>
          <w:szCs w:val="24"/>
        </w:rPr>
        <w:t xml:space="preserve"> (составлено автором</w:t>
      </w:r>
      <w:r w:rsidR="008F438A">
        <w:rPr>
          <w:color w:val="222222"/>
          <w:sz w:val="24"/>
          <w:szCs w:val="24"/>
        </w:rPr>
        <w:t xml:space="preserve"> по данным Росстата</w:t>
      </w:r>
      <w:r w:rsidR="008F438A" w:rsidRPr="008F438A">
        <w:rPr>
          <w:color w:val="222222"/>
          <w:sz w:val="24"/>
          <w:szCs w:val="24"/>
        </w:rPr>
        <w:t>).</w:t>
      </w:r>
    </w:p>
    <w:p w14:paraId="78F00E4E" w14:textId="0C6826A7" w:rsidR="005D1A61" w:rsidRDefault="0045737E" w:rsidP="008F438A">
      <w:pPr>
        <w:spacing w:line="360" w:lineRule="auto"/>
        <w:ind w:firstLine="720"/>
        <w:jc w:val="both"/>
        <w:rPr>
          <w:sz w:val="24"/>
          <w:szCs w:val="24"/>
        </w:rPr>
      </w:pPr>
      <w:r>
        <w:rPr>
          <w:sz w:val="24"/>
          <w:szCs w:val="24"/>
        </w:rPr>
        <w:t xml:space="preserve">Ожидаемая продолжительность жизни, исходя </w:t>
      </w:r>
      <w:r w:rsidR="006E7248">
        <w:rPr>
          <w:sz w:val="24"/>
          <w:szCs w:val="24"/>
        </w:rPr>
        <w:t>из графика на рис. 13</w:t>
      </w:r>
      <w:r>
        <w:rPr>
          <w:sz w:val="24"/>
          <w:szCs w:val="24"/>
        </w:rPr>
        <w:t>, с 2000-2003 гг. во всех регионах увеличивалась до 2019 года, после чего в 2020-2021 гг. снизилась из-за корон</w:t>
      </w:r>
      <w:r w:rsidR="008651A7">
        <w:rPr>
          <w:sz w:val="24"/>
          <w:szCs w:val="24"/>
        </w:rPr>
        <w:t>а</w:t>
      </w:r>
      <w:r>
        <w:rPr>
          <w:sz w:val="24"/>
          <w:szCs w:val="24"/>
        </w:rPr>
        <w:t>вирусной пандемии. Наибольшая ожидаемая продолжительность жизни отмечена в ЯНАО и ХМАО.</w:t>
      </w:r>
    </w:p>
    <w:p w14:paraId="2C61C484" w14:textId="77777777" w:rsidR="005D1A61" w:rsidRDefault="005D1A61">
      <w:pPr>
        <w:spacing w:line="360" w:lineRule="auto"/>
        <w:jc w:val="both"/>
        <w:rPr>
          <w:sz w:val="24"/>
          <w:szCs w:val="24"/>
        </w:rPr>
      </w:pPr>
    </w:p>
    <w:p w14:paraId="3DBCD14C" w14:textId="77777777" w:rsidR="005D1A61" w:rsidRDefault="005D1A61">
      <w:pPr>
        <w:spacing w:line="360" w:lineRule="auto"/>
        <w:jc w:val="both"/>
        <w:rPr>
          <w:sz w:val="24"/>
          <w:szCs w:val="24"/>
        </w:rPr>
      </w:pPr>
    </w:p>
    <w:p w14:paraId="0FB6262E" w14:textId="77777777" w:rsidR="005D1A61" w:rsidRDefault="005D1A61">
      <w:pPr>
        <w:spacing w:line="360" w:lineRule="auto"/>
        <w:jc w:val="both"/>
        <w:rPr>
          <w:sz w:val="24"/>
          <w:szCs w:val="24"/>
        </w:rPr>
      </w:pPr>
    </w:p>
    <w:p w14:paraId="59E376D2" w14:textId="77777777" w:rsidR="006E7248" w:rsidRDefault="006E7248">
      <w:pPr>
        <w:spacing w:line="360" w:lineRule="auto"/>
        <w:jc w:val="both"/>
        <w:rPr>
          <w:sz w:val="24"/>
          <w:szCs w:val="24"/>
        </w:rPr>
      </w:pPr>
      <w:r>
        <w:rPr>
          <w:noProof/>
        </w:rPr>
        <w:lastRenderedPageBreak/>
        <w:drawing>
          <wp:inline distT="0" distB="0" distL="0" distR="0" wp14:anchorId="0B2EBD7A" wp14:editId="1B27AC24">
            <wp:extent cx="5940425" cy="3566160"/>
            <wp:effectExtent l="0" t="0" r="22225" b="152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523467" w14:textId="52A39156" w:rsidR="005D1A61" w:rsidRPr="008F438A" w:rsidRDefault="006E7248">
      <w:pPr>
        <w:spacing w:line="360" w:lineRule="auto"/>
        <w:jc w:val="both"/>
        <w:rPr>
          <w:color w:val="222222"/>
          <w:sz w:val="24"/>
          <w:szCs w:val="24"/>
          <w:highlight w:val="white"/>
        </w:rPr>
      </w:pPr>
      <w:r>
        <w:rPr>
          <w:sz w:val="24"/>
          <w:szCs w:val="24"/>
        </w:rPr>
        <w:t>Рис. 13</w:t>
      </w:r>
      <w:r w:rsidR="0045737E">
        <w:rPr>
          <w:sz w:val="24"/>
          <w:szCs w:val="24"/>
        </w:rPr>
        <w:t>. Динамика ожидаемой продолжительности жизни в регионах УрФО</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p>
    <w:p w14:paraId="1AB10C4B" w14:textId="77777777" w:rsidR="005D1A61" w:rsidRDefault="0045737E">
      <w:pPr>
        <w:spacing w:line="360" w:lineRule="auto"/>
        <w:ind w:firstLine="851"/>
        <w:jc w:val="both"/>
        <w:rPr>
          <w:sz w:val="24"/>
          <w:szCs w:val="24"/>
        </w:rPr>
      </w:pPr>
      <w:r>
        <w:rPr>
          <w:sz w:val="24"/>
          <w:szCs w:val="24"/>
        </w:rPr>
        <w:t>Миграци</w:t>
      </w:r>
      <w:r w:rsidR="006E7248">
        <w:rPr>
          <w:sz w:val="24"/>
          <w:szCs w:val="24"/>
        </w:rPr>
        <w:t>онный прирост населения (рис. 14</w:t>
      </w:r>
      <w:r>
        <w:rPr>
          <w:sz w:val="24"/>
          <w:szCs w:val="24"/>
        </w:rPr>
        <w:t xml:space="preserve">) балансирует с естественным приростом и стабилизирует численность населения в Свердловской и Челябинской областях, в Курганской области с 1999 года наблюдается исключительно отрицательный коэффициент миграционного прироста, что дополнительно ухудшает положение региона в демографическом плане. Наиболее </w:t>
      </w:r>
      <w:proofErr w:type="spellStart"/>
      <w:r>
        <w:rPr>
          <w:sz w:val="24"/>
          <w:szCs w:val="24"/>
        </w:rPr>
        <w:t>миграционно</w:t>
      </w:r>
      <w:proofErr w:type="spellEnd"/>
      <w:r>
        <w:rPr>
          <w:sz w:val="24"/>
          <w:szCs w:val="24"/>
        </w:rPr>
        <w:t xml:space="preserve"> привлекательными за период 1990-2021 гг. были Тюменская область и Ханты-Мансийский автономный округ.</w:t>
      </w:r>
    </w:p>
    <w:p w14:paraId="1531478E" w14:textId="77777777" w:rsidR="005D1A61" w:rsidRDefault="005D1A61">
      <w:pPr>
        <w:spacing w:line="360" w:lineRule="auto"/>
        <w:ind w:firstLine="851"/>
        <w:jc w:val="both"/>
        <w:rPr>
          <w:sz w:val="24"/>
          <w:szCs w:val="24"/>
        </w:rPr>
      </w:pPr>
    </w:p>
    <w:p w14:paraId="1E92CFCE" w14:textId="77777777" w:rsidR="005D1A61" w:rsidRDefault="005D1A61">
      <w:pPr>
        <w:spacing w:line="360" w:lineRule="auto"/>
        <w:jc w:val="both"/>
        <w:rPr>
          <w:sz w:val="24"/>
          <w:szCs w:val="24"/>
        </w:rPr>
      </w:pPr>
    </w:p>
    <w:p w14:paraId="013AD4AD" w14:textId="77777777" w:rsidR="007A5C77" w:rsidRDefault="007A5C77">
      <w:pPr>
        <w:spacing w:line="360" w:lineRule="auto"/>
        <w:jc w:val="both"/>
        <w:rPr>
          <w:sz w:val="24"/>
          <w:szCs w:val="24"/>
        </w:rPr>
      </w:pPr>
      <w:r>
        <w:rPr>
          <w:noProof/>
        </w:rPr>
        <w:lastRenderedPageBreak/>
        <w:drawing>
          <wp:inline distT="0" distB="0" distL="0" distR="0" wp14:anchorId="5C03AB1B" wp14:editId="3E042DEF">
            <wp:extent cx="5940425" cy="3078480"/>
            <wp:effectExtent l="0" t="0" r="3175"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FDA539" w14:textId="60C1E2B3" w:rsidR="005D1A61" w:rsidRPr="008F438A" w:rsidRDefault="006E7248">
      <w:pPr>
        <w:spacing w:line="360" w:lineRule="auto"/>
        <w:jc w:val="both"/>
        <w:rPr>
          <w:color w:val="222222"/>
          <w:sz w:val="24"/>
          <w:szCs w:val="24"/>
          <w:highlight w:val="white"/>
        </w:rPr>
      </w:pPr>
      <w:r>
        <w:rPr>
          <w:sz w:val="24"/>
          <w:szCs w:val="24"/>
        </w:rPr>
        <w:t>Рис. 14</w:t>
      </w:r>
      <w:r w:rsidR="0045737E">
        <w:rPr>
          <w:sz w:val="24"/>
          <w:szCs w:val="24"/>
        </w:rPr>
        <w:t>. Динамика коэффициента естественного прироста по регионам УрФО</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r w:rsidR="0045737E">
        <w:rPr>
          <w:sz w:val="24"/>
          <w:szCs w:val="24"/>
        </w:rPr>
        <w:t>.</w:t>
      </w:r>
    </w:p>
    <w:p w14:paraId="45B85446" w14:textId="77777777" w:rsidR="005D1A61" w:rsidRDefault="0045737E">
      <w:pPr>
        <w:spacing w:line="360" w:lineRule="auto"/>
        <w:ind w:firstLine="851"/>
        <w:jc w:val="both"/>
        <w:rPr>
          <w:sz w:val="24"/>
          <w:szCs w:val="24"/>
        </w:rPr>
      </w:pPr>
      <w:r>
        <w:rPr>
          <w:sz w:val="24"/>
          <w:szCs w:val="24"/>
        </w:rPr>
        <w:t xml:space="preserve">Связывая территориальные структуры и население, также необходимо рассмотреть плотность населения. Так как плотность измеряется отношением численности населения к площади территории, а последнее является константой, - динамика плотности населения полностью совпадает с динамикой численности, поэтому ниже отображен график плотности населения </w:t>
      </w:r>
      <w:r w:rsidR="00C42BAB">
        <w:rPr>
          <w:sz w:val="24"/>
          <w:szCs w:val="24"/>
        </w:rPr>
        <w:t>по регионам за 2021 год (рис. 15</w:t>
      </w:r>
      <w:r>
        <w:rPr>
          <w:sz w:val="24"/>
          <w:szCs w:val="24"/>
        </w:rPr>
        <w:t>). Из распределения видно, что плотность населения в ХМАО и ЯНАО ниже, чем среднее значение по стране и федеральному округу.</w:t>
      </w:r>
    </w:p>
    <w:p w14:paraId="4B85DB32" w14:textId="77777777" w:rsidR="005D1A61" w:rsidRDefault="0045737E">
      <w:pPr>
        <w:spacing w:line="360" w:lineRule="auto"/>
        <w:ind w:firstLine="851"/>
        <w:jc w:val="both"/>
        <w:rPr>
          <w:sz w:val="24"/>
          <w:szCs w:val="24"/>
        </w:rPr>
      </w:pPr>
      <w:r>
        <w:rPr>
          <w:sz w:val="24"/>
          <w:szCs w:val="24"/>
        </w:rPr>
        <w:t xml:space="preserve"> С учетом высокой урбанизации этих территорий, можно сделать вывод, что пространство этих регионов используется крайне неравномерно, основное население проживает в нескольких городах, а остальные земли используются только в качестве источника полезных ископаемых. В остальных регионах плотность населения выше средних, но ситуация сильно различается. В курганской области низкая плотность населения и относительно невысокая урбанизация, что вместе с динамикой населения говорит о демографическом кризисе в регионе: численность населения уменьшается в общем и уменьшается доля сельского населения вместе с плотностью, что означает повсеместное опустошение территории.</w:t>
      </w:r>
    </w:p>
    <w:p w14:paraId="6936D7DE" w14:textId="77777777" w:rsidR="005D1A61" w:rsidRDefault="0045737E">
      <w:pPr>
        <w:spacing w:line="360" w:lineRule="auto"/>
        <w:ind w:firstLine="851"/>
        <w:jc w:val="both"/>
        <w:rPr>
          <w:sz w:val="24"/>
          <w:szCs w:val="24"/>
        </w:rPr>
      </w:pPr>
      <w:r>
        <w:rPr>
          <w:sz w:val="24"/>
          <w:szCs w:val="24"/>
        </w:rPr>
        <w:t xml:space="preserve"> В Челябинской и Свердловской областях наиболее высокие показатели плотности населения, и высокие показатель урбанизации, что говорит также о большой </w:t>
      </w:r>
      <w:r>
        <w:rPr>
          <w:sz w:val="24"/>
          <w:szCs w:val="24"/>
        </w:rPr>
        <w:lastRenderedPageBreak/>
        <w:t xml:space="preserve">концентрации населения в городах и относительно малонаселенной остальной территории. </w:t>
      </w:r>
    </w:p>
    <w:p w14:paraId="78043D28" w14:textId="77777777" w:rsidR="005D1A61" w:rsidRDefault="0045737E" w:rsidP="000E42DB">
      <w:pPr>
        <w:spacing w:line="360" w:lineRule="auto"/>
        <w:ind w:firstLine="851"/>
        <w:jc w:val="both"/>
        <w:rPr>
          <w:sz w:val="24"/>
          <w:szCs w:val="24"/>
        </w:rPr>
      </w:pPr>
      <w:r>
        <w:rPr>
          <w:sz w:val="24"/>
          <w:szCs w:val="24"/>
        </w:rPr>
        <w:t>В Тюменской области ситуация схожа с Курганской областью – низкая плотность населения, относительно низкая урбанизация, откуда следует, что большие площади территории используются малым количеством населения, а значит они мало освоены.</w:t>
      </w:r>
    </w:p>
    <w:p w14:paraId="55AB1BBE" w14:textId="77777777" w:rsidR="000E42DB" w:rsidRDefault="000E42DB">
      <w:pPr>
        <w:spacing w:line="360" w:lineRule="auto"/>
        <w:jc w:val="both"/>
        <w:rPr>
          <w:sz w:val="24"/>
          <w:szCs w:val="24"/>
        </w:rPr>
      </w:pPr>
      <w:r>
        <w:rPr>
          <w:noProof/>
        </w:rPr>
        <w:drawing>
          <wp:inline distT="0" distB="0" distL="0" distR="0" wp14:anchorId="7E0D8774" wp14:editId="4162F341">
            <wp:extent cx="5875020" cy="4000500"/>
            <wp:effectExtent l="0" t="0" r="1143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D13CD9" w14:textId="76D922FC" w:rsidR="005D1A61" w:rsidRPr="008F438A" w:rsidRDefault="00C42BAB" w:rsidP="008F438A">
      <w:pPr>
        <w:spacing w:line="360" w:lineRule="auto"/>
        <w:jc w:val="both"/>
        <w:rPr>
          <w:color w:val="222222"/>
          <w:sz w:val="24"/>
          <w:szCs w:val="24"/>
          <w:highlight w:val="white"/>
        </w:rPr>
      </w:pPr>
      <w:r>
        <w:rPr>
          <w:sz w:val="24"/>
          <w:szCs w:val="24"/>
        </w:rPr>
        <w:t>Рис. 15</w:t>
      </w:r>
      <w:r w:rsidR="0045737E">
        <w:rPr>
          <w:sz w:val="24"/>
          <w:szCs w:val="24"/>
        </w:rPr>
        <w:t>. Плотность населения по субъектам УрФО за 2021 год</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p>
    <w:p w14:paraId="28182BB9" w14:textId="77777777" w:rsidR="005D1A61" w:rsidRDefault="0045737E">
      <w:pPr>
        <w:pStyle w:val="1"/>
        <w:jc w:val="center"/>
        <w:rPr>
          <w:sz w:val="30"/>
          <w:szCs w:val="30"/>
        </w:rPr>
      </w:pPr>
      <w:bookmarkStart w:id="17" w:name="_Toc136642120"/>
      <w:bookmarkStart w:id="18" w:name="_Toc136642363"/>
      <w:r>
        <w:rPr>
          <w:sz w:val="30"/>
          <w:szCs w:val="30"/>
        </w:rPr>
        <w:t>2.3. Региональная экономика: базовые сферы</w:t>
      </w:r>
      <w:bookmarkEnd w:id="17"/>
      <w:bookmarkEnd w:id="18"/>
    </w:p>
    <w:p w14:paraId="42521859" w14:textId="77777777" w:rsidR="005D1A61" w:rsidRDefault="0045737E">
      <w:pPr>
        <w:spacing w:line="360" w:lineRule="auto"/>
        <w:ind w:firstLine="851"/>
        <w:jc w:val="both"/>
        <w:rPr>
          <w:sz w:val="24"/>
          <w:szCs w:val="24"/>
        </w:rPr>
      </w:pPr>
      <w:r>
        <w:rPr>
          <w:sz w:val="24"/>
          <w:szCs w:val="24"/>
        </w:rPr>
        <w:t>Для оценки экономических факторов необходимо сначала рассмотреть уровень приведения ценовых показателей. Для учета не только инфляции, но и региональных цен, далее используется стоимость фиксированного набора. В первую очередь это призвано для того, чтобы нивелировать ценовые различия ХМАО и ЯНАО с остальными регионами. Из дина</w:t>
      </w:r>
      <w:r w:rsidR="000E42DB">
        <w:rPr>
          <w:sz w:val="24"/>
          <w:szCs w:val="24"/>
        </w:rPr>
        <w:t>мики стоимости набора на рис. 16</w:t>
      </w:r>
      <w:r>
        <w:rPr>
          <w:sz w:val="24"/>
          <w:szCs w:val="24"/>
        </w:rPr>
        <w:t xml:space="preserve"> видно, что цены в северных регионах значительно выше среднероссийских, а цены Тюменской, Челябинской и Курганской наоборот ниже, в Свердловской цены незначительно ниже средних по стране.</w:t>
      </w:r>
    </w:p>
    <w:p w14:paraId="627CD463" w14:textId="77777777" w:rsidR="005D1A61" w:rsidRDefault="005D1A61">
      <w:pPr>
        <w:spacing w:line="360" w:lineRule="auto"/>
        <w:jc w:val="both"/>
        <w:rPr>
          <w:sz w:val="24"/>
          <w:szCs w:val="24"/>
        </w:rPr>
      </w:pPr>
    </w:p>
    <w:p w14:paraId="69ECD3CC" w14:textId="77777777" w:rsidR="00C9401A" w:rsidRDefault="00C9401A">
      <w:pPr>
        <w:spacing w:line="360" w:lineRule="auto"/>
        <w:jc w:val="both"/>
        <w:rPr>
          <w:sz w:val="24"/>
          <w:szCs w:val="24"/>
        </w:rPr>
      </w:pPr>
      <w:r>
        <w:rPr>
          <w:noProof/>
        </w:rPr>
        <w:lastRenderedPageBreak/>
        <w:drawing>
          <wp:inline distT="0" distB="0" distL="0" distR="0" wp14:anchorId="23E2F2C6" wp14:editId="7DE0594B">
            <wp:extent cx="5940425" cy="3558540"/>
            <wp:effectExtent l="0" t="0" r="3175" b="38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862049" w14:textId="684883A5" w:rsidR="005D1A61" w:rsidRPr="008F438A" w:rsidRDefault="001D6EC4">
      <w:pPr>
        <w:spacing w:line="360" w:lineRule="auto"/>
        <w:jc w:val="both"/>
        <w:rPr>
          <w:color w:val="222222"/>
          <w:sz w:val="24"/>
          <w:szCs w:val="24"/>
          <w:highlight w:val="white"/>
        </w:rPr>
      </w:pPr>
      <w:r>
        <w:rPr>
          <w:sz w:val="24"/>
          <w:szCs w:val="24"/>
        </w:rPr>
        <w:t>Рис. 16</w:t>
      </w:r>
      <w:r w:rsidR="0045737E">
        <w:rPr>
          <w:sz w:val="24"/>
          <w:szCs w:val="24"/>
        </w:rPr>
        <w:t>. Динамика стоимости фиксированного набора в рублях</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p>
    <w:p w14:paraId="5D916EED" w14:textId="77777777" w:rsidR="005D1A61" w:rsidRDefault="0045737E">
      <w:pPr>
        <w:spacing w:line="360" w:lineRule="auto"/>
        <w:ind w:firstLine="851"/>
        <w:jc w:val="both"/>
        <w:rPr>
          <w:sz w:val="24"/>
          <w:szCs w:val="24"/>
        </w:rPr>
      </w:pPr>
      <w:r>
        <w:rPr>
          <w:sz w:val="24"/>
          <w:szCs w:val="24"/>
        </w:rPr>
        <w:t>По изменению цены фиксированного набора в рублях можно говорить об инфляции в регионах, учитывая которую становится возможно объективно говорить о росте экономических п</w:t>
      </w:r>
      <w:r w:rsidR="001D6EC4">
        <w:rPr>
          <w:sz w:val="24"/>
          <w:szCs w:val="24"/>
        </w:rPr>
        <w:t>оказателей. Из динамики (рис. 17</w:t>
      </w:r>
      <w:r>
        <w:rPr>
          <w:sz w:val="24"/>
          <w:szCs w:val="24"/>
        </w:rPr>
        <w:t xml:space="preserve">) видно, что в основном изменение цен в регионах является </w:t>
      </w:r>
      <w:proofErr w:type="spellStart"/>
      <w:r>
        <w:rPr>
          <w:sz w:val="24"/>
          <w:szCs w:val="24"/>
        </w:rPr>
        <w:t>сонаправленным</w:t>
      </w:r>
      <w:proofErr w:type="spellEnd"/>
      <w:r>
        <w:rPr>
          <w:sz w:val="24"/>
          <w:szCs w:val="24"/>
        </w:rPr>
        <w:t xml:space="preserve"> за редкими исключениями.</w:t>
      </w:r>
    </w:p>
    <w:p w14:paraId="2F597535" w14:textId="77777777" w:rsidR="005D1A61" w:rsidRDefault="006C7862">
      <w:pPr>
        <w:spacing w:line="360" w:lineRule="auto"/>
        <w:jc w:val="both"/>
        <w:rPr>
          <w:sz w:val="24"/>
          <w:szCs w:val="24"/>
        </w:rPr>
      </w:pPr>
      <w:r>
        <w:rPr>
          <w:noProof/>
        </w:rPr>
        <w:lastRenderedPageBreak/>
        <w:drawing>
          <wp:inline distT="0" distB="0" distL="0" distR="0" wp14:anchorId="0C524280" wp14:editId="674B74C0">
            <wp:extent cx="6124575" cy="3689350"/>
            <wp:effectExtent l="0" t="0" r="9525"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F23671" w14:textId="1779D220" w:rsidR="005D1A61" w:rsidRPr="008F438A" w:rsidRDefault="001D6EC4">
      <w:pPr>
        <w:spacing w:line="360" w:lineRule="auto"/>
        <w:jc w:val="both"/>
        <w:rPr>
          <w:color w:val="222222"/>
          <w:sz w:val="24"/>
          <w:szCs w:val="24"/>
          <w:highlight w:val="white"/>
        </w:rPr>
      </w:pPr>
      <w:r>
        <w:rPr>
          <w:sz w:val="24"/>
          <w:szCs w:val="24"/>
        </w:rPr>
        <w:t>Рис. 17</w:t>
      </w:r>
      <w:r w:rsidR="0045737E">
        <w:rPr>
          <w:sz w:val="24"/>
          <w:szCs w:val="24"/>
        </w:rPr>
        <w:t>. Динамика изменения цен фиксированного набора в регионах УрФО</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r w:rsidR="0045737E">
        <w:rPr>
          <w:sz w:val="24"/>
          <w:szCs w:val="24"/>
        </w:rPr>
        <w:t>.</w:t>
      </w:r>
    </w:p>
    <w:p w14:paraId="081F4BC5" w14:textId="77777777" w:rsidR="005D1A61" w:rsidRDefault="0045737E">
      <w:pPr>
        <w:spacing w:line="360" w:lineRule="auto"/>
        <w:ind w:firstLine="851"/>
        <w:jc w:val="both"/>
        <w:rPr>
          <w:sz w:val="24"/>
          <w:szCs w:val="24"/>
        </w:rPr>
      </w:pPr>
      <w:r>
        <w:rPr>
          <w:sz w:val="24"/>
          <w:szCs w:val="24"/>
        </w:rPr>
        <w:t>За базовый период взят 2001 год. Для приведения цен к базовому периоду была вычислена отношение разницы цены набора в каждом году с 2001 годом к базовому периоду, а далее из номинальных значений была вычтена обесценившаяся часть за счет вычисленной инфляции. Таким образом приведены все номинальные денежные значения для объективных сравнений регионов.</w:t>
      </w:r>
    </w:p>
    <w:p w14:paraId="33AA7951" w14:textId="77777777" w:rsidR="005D1A61" w:rsidRDefault="001D6EC4">
      <w:pPr>
        <w:spacing w:line="360" w:lineRule="auto"/>
        <w:ind w:firstLine="851"/>
        <w:jc w:val="both"/>
        <w:rPr>
          <w:sz w:val="24"/>
          <w:szCs w:val="24"/>
        </w:rPr>
      </w:pPr>
      <w:r>
        <w:rPr>
          <w:sz w:val="24"/>
          <w:szCs w:val="24"/>
        </w:rPr>
        <w:t>На рис. 18</w:t>
      </w:r>
      <w:r w:rsidR="0045737E">
        <w:rPr>
          <w:sz w:val="24"/>
          <w:szCs w:val="24"/>
        </w:rPr>
        <w:t xml:space="preserve"> представлен график валового регионального продукта по регионам УрФО. Из динамики показателя видно, что первые три региона периодически меняются местами. На 2021 год наибольшее ВРП у Ямало-Ненецкого автономного округа, на втором месте Ханты-Мансийский АО, на третьем – Свердловская область, далее идут с небольшой разницей Челябинская и затем Тюменская области, а замыкает рейтинг Курганская область. С 1998 по 2021 год рост ВРП у регионов неравнозначный: наибольший рост у Тюменской области (2531%) и у Ямало-Ненецкого автономного округа (2253%); средний рост у Свердловской (905%) и Челябинской (887%) областей; наименьший рост у Ханты-Мансийского автономного округа (565%) и Курганской области (431%). </w:t>
      </w:r>
    </w:p>
    <w:p w14:paraId="2DFCED79" w14:textId="77777777" w:rsidR="005D1A61" w:rsidRDefault="0045737E">
      <w:pPr>
        <w:spacing w:line="360" w:lineRule="auto"/>
        <w:ind w:firstLine="851"/>
        <w:jc w:val="both"/>
        <w:rPr>
          <w:sz w:val="24"/>
          <w:szCs w:val="24"/>
        </w:rPr>
      </w:pPr>
      <w:r>
        <w:rPr>
          <w:sz w:val="24"/>
          <w:szCs w:val="24"/>
        </w:rPr>
        <w:t xml:space="preserve">Из этих данных следуют совершенно разные выводы: Свердловская и Челябинская область уже достигли предела экстенсивного развития, поэтому их </w:t>
      </w:r>
      <w:r>
        <w:rPr>
          <w:sz w:val="24"/>
          <w:szCs w:val="24"/>
        </w:rPr>
        <w:lastRenderedPageBreak/>
        <w:t>экономика развивается равномерно, без резких скачков даже в кризисы. Тюменская область и ЯНАО имели относительно слабое развитие в начале периода и большой потенциал, но их показатели более подвержены кризисным явлениям, особенно у Ямало-Ненецкого автономного округа, зависящего от нефтегазового рынка, что говорит о слабой устойчивости регионов. У Ханты-Мансийского автономного округа и Курганской области диаметрально противоположные ситуации: Курганская область изначально имела относительно низкий ВРП и имела устойчиво низкие темпы развития, что говорит о слабом развитии отраслей экономики, обеспечивающих устойчивые темпы роста; в ХМАО же наоборот изначальный уровень ВРП был высок, поэтому высокий прирост абсолютных значений не обеспечил такого же высокого прироста относительно 1998 года.</w:t>
      </w:r>
    </w:p>
    <w:p w14:paraId="5B2EF4A7" w14:textId="77777777" w:rsidR="005D1A61" w:rsidRDefault="005D1A61">
      <w:pPr>
        <w:jc w:val="both"/>
        <w:rPr>
          <w:sz w:val="24"/>
          <w:szCs w:val="24"/>
        </w:rPr>
      </w:pPr>
    </w:p>
    <w:p w14:paraId="336C7F43" w14:textId="77777777" w:rsidR="005705B8" w:rsidRDefault="005705B8">
      <w:pPr>
        <w:jc w:val="both"/>
        <w:rPr>
          <w:sz w:val="24"/>
          <w:szCs w:val="24"/>
        </w:rPr>
      </w:pPr>
      <w:r>
        <w:rPr>
          <w:noProof/>
        </w:rPr>
        <w:drawing>
          <wp:inline distT="0" distB="0" distL="0" distR="0" wp14:anchorId="54DC0A3E" wp14:editId="08EAEC29">
            <wp:extent cx="5940425" cy="4305300"/>
            <wp:effectExtent l="0" t="0" r="317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5B09F3" w14:textId="23859EAA" w:rsidR="005D1A61" w:rsidRPr="008F438A" w:rsidRDefault="001D6EC4" w:rsidP="008F438A">
      <w:pPr>
        <w:spacing w:line="360" w:lineRule="auto"/>
        <w:jc w:val="both"/>
        <w:rPr>
          <w:color w:val="222222"/>
          <w:sz w:val="24"/>
          <w:szCs w:val="24"/>
          <w:highlight w:val="white"/>
        </w:rPr>
      </w:pPr>
      <w:r>
        <w:rPr>
          <w:sz w:val="24"/>
          <w:szCs w:val="24"/>
        </w:rPr>
        <w:t>Рис. 18</w:t>
      </w:r>
      <w:r w:rsidR="0045737E">
        <w:rPr>
          <w:sz w:val="24"/>
          <w:szCs w:val="24"/>
        </w:rPr>
        <w:t>. Динамика валового регионального продукта в ценах 2001 года в УрФО</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p>
    <w:p w14:paraId="071973F3" w14:textId="7A1E167E" w:rsidR="005D1A61" w:rsidRPr="00F80D58" w:rsidRDefault="0045737E" w:rsidP="00306377">
      <w:pPr>
        <w:spacing w:line="360" w:lineRule="auto"/>
        <w:ind w:firstLine="851"/>
        <w:jc w:val="both"/>
        <w:rPr>
          <w:sz w:val="24"/>
          <w:szCs w:val="24"/>
        </w:rPr>
      </w:pPr>
      <w:r w:rsidRPr="00F80D58">
        <w:rPr>
          <w:sz w:val="24"/>
          <w:szCs w:val="24"/>
        </w:rPr>
        <w:t>По среднедушевому ВРП северные регионы значительно отличаются от среднероссийских значений</w:t>
      </w:r>
      <w:r w:rsidR="00885087" w:rsidRPr="00F80D58">
        <w:rPr>
          <w:sz w:val="24"/>
          <w:szCs w:val="24"/>
        </w:rPr>
        <w:t xml:space="preserve"> (рис. 19).</w:t>
      </w:r>
      <w:r w:rsidR="00F952DB" w:rsidRPr="00F80D58">
        <w:rPr>
          <w:sz w:val="24"/>
          <w:szCs w:val="24"/>
        </w:rPr>
        <w:t xml:space="preserve"> </w:t>
      </w:r>
      <w:r w:rsidR="00306377" w:rsidRPr="00F80D58">
        <w:rPr>
          <w:sz w:val="24"/>
          <w:szCs w:val="24"/>
        </w:rPr>
        <w:t xml:space="preserve">ВРП на душу населения в ЯНАО, ХМАО, и в Тюменской области значительно выше, чем в других регионах Уральского ФО и выше среднероссийского показателя. Это напрямую связано с развитием нефтегазового сектора </w:t>
      </w:r>
      <w:r w:rsidR="00306377" w:rsidRPr="00F80D58">
        <w:rPr>
          <w:sz w:val="24"/>
          <w:szCs w:val="24"/>
        </w:rPr>
        <w:lastRenderedPageBreak/>
        <w:t>в рассматриваемых субъектах. Уровень ВРП на душу населения в Челябинской, Курганской и Свердловской ниже, чем среднероссийские значения. Несмотря на это, в целом, можно увидеть, что с 1998 года уровень ВРП на душу населения растет во всех рассматриваемых субъектах Российской Федерации.</w:t>
      </w:r>
    </w:p>
    <w:p w14:paraId="7681E6FF" w14:textId="77777777" w:rsidR="004D2AF9" w:rsidRDefault="004D2AF9">
      <w:pPr>
        <w:jc w:val="both"/>
        <w:rPr>
          <w:sz w:val="24"/>
          <w:szCs w:val="24"/>
        </w:rPr>
      </w:pPr>
      <w:r>
        <w:rPr>
          <w:noProof/>
        </w:rPr>
        <w:drawing>
          <wp:inline distT="0" distB="0" distL="0" distR="0" wp14:anchorId="48E26A15" wp14:editId="6080C6CE">
            <wp:extent cx="5940425" cy="4305300"/>
            <wp:effectExtent l="0" t="0" r="3175" b="0"/>
            <wp:docPr id="750205934" name="Диаграмма 750205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87CDE7" w14:textId="43B95F2D" w:rsidR="005D1A61" w:rsidRPr="008F438A" w:rsidRDefault="001D6EC4" w:rsidP="008F438A">
      <w:pPr>
        <w:spacing w:line="360" w:lineRule="auto"/>
        <w:jc w:val="both"/>
        <w:rPr>
          <w:color w:val="222222"/>
          <w:sz w:val="24"/>
          <w:szCs w:val="24"/>
          <w:highlight w:val="white"/>
        </w:rPr>
      </w:pPr>
      <w:r>
        <w:rPr>
          <w:sz w:val="24"/>
          <w:szCs w:val="24"/>
        </w:rPr>
        <w:t>Рис. 19</w:t>
      </w:r>
      <w:r w:rsidR="0045737E">
        <w:rPr>
          <w:sz w:val="24"/>
          <w:szCs w:val="24"/>
        </w:rPr>
        <w:t>. ВРП на душу населения в постоянных ценах 2001 года</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r w:rsidR="008F438A">
        <w:rPr>
          <w:sz w:val="24"/>
          <w:szCs w:val="24"/>
        </w:rPr>
        <w:t xml:space="preserve"> </w:t>
      </w:r>
    </w:p>
    <w:p w14:paraId="7AE5D434" w14:textId="602B31FC" w:rsidR="004D2AF9" w:rsidRDefault="0045737E" w:rsidP="0045059D">
      <w:pPr>
        <w:spacing w:line="360" w:lineRule="auto"/>
        <w:ind w:firstLine="851"/>
        <w:jc w:val="both"/>
        <w:rPr>
          <w:sz w:val="24"/>
          <w:szCs w:val="24"/>
        </w:rPr>
      </w:pPr>
      <w:r>
        <w:rPr>
          <w:sz w:val="24"/>
          <w:szCs w:val="24"/>
        </w:rPr>
        <w:t xml:space="preserve">Фактическое конечное потребление сектора домашних хозяйств включает все расходы, которые они осуществляют на покупку потребительских товаров и услуг, а также стоимость потребления товаров и услуг в натуральной форме, которые произведены для себя или получены в виде оплаты труда и социальных трансфертов в натуральной форме. Таким образом, показатель характеризует совокупность социальных и экономических благ, поучаемых человеком в денежном эквиваленте. Динамика показателей </w:t>
      </w:r>
      <w:r w:rsidRPr="00EB5914">
        <w:rPr>
          <w:sz w:val="24"/>
          <w:szCs w:val="24"/>
        </w:rPr>
        <w:t xml:space="preserve">представлена на </w:t>
      </w:r>
      <w:r w:rsidR="001D6EC4" w:rsidRPr="00EB5914">
        <w:rPr>
          <w:sz w:val="24"/>
          <w:szCs w:val="24"/>
        </w:rPr>
        <w:t>рис. 20</w:t>
      </w:r>
      <w:r w:rsidRPr="00EB5914">
        <w:rPr>
          <w:sz w:val="24"/>
          <w:szCs w:val="24"/>
        </w:rPr>
        <w:t>. Из графика видно, значения относительно других показателей наименее дифференцированы, что</w:t>
      </w:r>
      <w:r>
        <w:rPr>
          <w:sz w:val="24"/>
          <w:szCs w:val="24"/>
        </w:rPr>
        <w:t xml:space="preserve"> может говорить о выравнивании за счет социально сферы, поскольку экономические проанализированные экономические показатели отражают большие разрывы в доходах регионов. Среднероссийским уровнем УрФО разделяется пополам: в ХМАО, ЯНАО и Свердловской области значения выше, а в </w:t>
      </w:r>
      <w:r>
        <w:rPr>
          <w:sz w:val="24"/>
          <w:szCs w:val="24"/>
        </w:rPr>
        <w:lastRenderedPageBreak/>
        <w:t>Челябинской, Курганской и с 2018 года в Тюменской – ниже. Прирост также неравномерен: по стране показатель вырос на 697%, в ХМАО, ЯНАО и Тюменской области 498%, 435% и 550% соответственно, в Челябинской, Курганской и Свердловской областях вырос на 823%, 848% и 993% соответственно. Отсюда можно сделать вывод, что происходит выравнивание регионов.</w:t>
      </w:r>
    </w:p>
    <w:p w14:paraId="5E0AB8C3" w14:textId="77777777" w:rsidR="004D2AF9" w:rsidRDefault="004D2AF9">
      <w:pPr>
        <w:spacing w:line="360" w:lineRule="auto"/>
        <w:jc w:val="both"/>
        <w:rPr>
          <w:sz w:val="24"/>
          <w:szCs w:val="24"/>
        </w:rPr>
      </w:pPr>
      <w:r>
        <w:rPr>
          <w:noProof/>
        </w:rPr>
        <w:drawing>
          <wp:inline distT="0" distB="0" distL="0" distR="0" wp14:anchorId="477C4E04" wp14:editId="06C9CD44">
            <wp:extent cx="5940425" cy="3474720"/>
            <wp:effectExtent l="0" t="0" r="3175" b="11430"/>
            <wp:docPr id="1152844452" name="Диаграмма 1152844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5F0401" w14:textId="27D30679" w:rsidR="005D1A61" w:rsidRPr="008F438A" w:rsidRDefault="001D6EC4">
      <w:pPr>
        <w:spacing w:line="360" w:lineRule="auto"/>
        <w:jc w:val="both"/>
        <w:rPr>
          <w:color w:val="222222"/>
          <w:sz w:val="24"/>
          <w:szCs w:val="24"/>
          <w:highlight w:val="white"/>
        </w:rPr>
      </w:pPr>
      <w:r>
        <w:rPr>
          <w:sz w:val="24"/>
          <w:szCs w:val="24"/>
        </w:rPr>
        <w:t>Рис. 20</w:t>
      </w:r>
      <w:r w:rsidR="0045737E">
        <w:rPr>
          <w:sz w:val="24"/>
          <w:szCs w:val="24"/>
        </w:rPr>
        <w:t>. Фактическое конечное потребление домашних хозяйств на душу населения, рублей</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r w:rsidR="0045737E">
        <w:rPr>
          <w:sz w:val="24"/>
          <w:szCs w:val="24"/>
        </w:rPr>
        <w:t>.</w:t>
      </w:r>
    </w:p>
    <w:p w14:paraId="44297B2C" w14:textId="77777777" w:rsidR="005D1A61" w:rsidRDefault="0045737E">
      <w:pPr>
        <w:spacing w:line="360" w:lineRule="auto"/>
        <w:jc w:val="both"/>
        <w:rPr>
          <w:sz w:val="24"/>
          <w:szCs w:val="24"/>
        </w:rPr>
      </w:pPr>
      <w:r>
        <w:rPr>
          <w:sz w:val="24"/>
          <w:szCs w:val="24"/>
        </w:rPr>
        <w:t xml:space="preserve">Структура доходов поможет понять, насколько регионы самодостаточны и насколько они зависят от внешних поступлений. Доходы состоят из налоговых, неналоговых и безвозмездных поступлений, сумма налоговых и неналоговых доходов </w:t>
      </w:r>
      <w:r w:rsidRPr="00EB5914">
        <w:rPr>
          <w:sz w:val="24"/>
          <w:szCs w:val="24"/>
        </w:rPr>
        <w:t xml:space="preserve">– собственный доход региона, а безвозмездные поступления – межбюджетные трансферты. Из </w:t>
      </w:r>
      <w:r w:rsidR="001D6EC4" w:rsidRPr="00EB5914">
        <w:rPr>
          <w:sz w:val="24"/>
          <w:szCs w:val="24"/>
        </w:rPr>
        <w:t>рис. 21</w:t>
      </w:r>
      <w:r w:rsidRPr="00EB5914">
        <w:rPr>
          <w:sz w:val="24"/>
          <w:szCs w:val="24"/>
        </w:rPr>
        <w:t xml:space="preserve"> видно, что Курганская область является наиболее дотируемым регионом, в 2021 году доля</w:t>
      </w:r>
      <w:r>
        <w:rPr>
          <w:sz w:val="24"/>
          <w:szCs w:val="24"/>
        </w:rPr>
        <w:t xml:space="preserve"> поступлений из федерального бюджета составила 51,7%, что определяет с одной стороны низкую самостоятельность региона в принимаемых решениях, с другой стороны показывает низкую конкурентоспособность.</w:t>
      </w:r>
    </w:p>
    <w:p w14:paraId="0667148A" w14:textId="77777777" w:rsidR="005D1A61" w:rsidRDefault="005D1A61">
      <w:pPr>
        <w:spacing w:line="360" w:lineRule="auto"/>
        <w:jc w:val="both"/>
        <w:rPr>
          <w:sz w:val="24"/>
          <w:szCs w:val="24"/>
        </w:rPr>
      </w:pPr>
    </w:p>
    <w:p w14:paraId="3B8BA589" w14:textId="77777777" w:rsidR="004D2AF9" w:rsidRDefault="004D2AF9">
      <w:pPr>
        <w:spacing w:line="360" w:lineRule="auto"/>
        <w:jc w:val="both"/>
        <w:rPr>
          <w:sz w:val="24"/>
          <w:szCs w:val="24"/>
        </w:rPr>
      </w:pPr>
      <w:r>
        <w:rPr>
          <w:noProof/>
        </w:rPr>
        <w:lastRenderedPageBreak/>
        <w:drawing>
          <wp:inline distT="0" distB="0" distL="0" distR="0" wp14:anchorId="06D46D11" wp14:editId="1E68E3F8">
            <wp:extent cx="5940425" cy="3733800"/>
            <wp:effectExtent l="0" t="0" r="3175" b="0"/>
            <wp:docPr id="2118752065" name="Диаграмма 211875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5A4378" w14:textId="37E20F58" w:rsidR="005D1A61" w:rsidRPr="008F438A" w:rsidRDefault="001D6EC4">
      <w:pPr>
        <w:spacing w:line="360" w:lineRule="auto"/>
        <w:jc w:val="both"/>
        <w:rPr>
          <w:color w:val="222222"/>
          <w:sz w:val="24"/>
          <w:szCs w:val="24"/>
          <w:highlight w:val="white"/>
        </w:rPr>
      </w:pPr>
      <w:r>
        <w:rPr>
          <w:sz w:val="24"/>
          <w:szCs w:val="24"/>
        </w:rPr>
        <w:t>Рис. 21</w:t>
      </w:r>
      <w:r w:rsidR="0045737E">
        <w:rPr>
          <w:sz w:val="24"/>
          <w:szCs w:val="24"/>
        </w:rPr>
        <w:t>. Доля межбюджетных трансфертов в консолидированном доходе региона</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r w:rsidR="0045737E">
        <w:rPr>
          <w:sz w:val="24"/>
          <w:szCs w:val="24"/>
        </w:rPr>
        <w:t xml:space="preserve"> </w:t>
      </w:r>
    </w:p>
    <w:p w14:paraId="0868A1F0" w14:textId="77777777" w:rsidR="00F93984" w:rsidRDefault="0045737E" w:rsidP="00F93984">
      <w:pPr>
        <w:spacing w:line="360" w:lineRule="auto"/>
        <w:ind w:firstLine="720"/>
        <w:jc w:val="both"/>
        <w:rPr>
          <w:sz w:val="24"/>
          <w:szCs w:val="24"/>
        </w:rPr>
      </w:pPr>
      <w:r>
        <w:rPr>
          <w:sz w:val="24"/>
          <w:szCs w:val="24"/>
        </w:rPr>
        <w:t xml:space="preserve">Также важно рассмотреть отраслевую структуру экономики, для определения рисков и возможностей развития регионов. Наиболее важной отраслью для УрФО является промышленность, доля которой в валовой добавленной стоимости услуг и товаров во всех регионах, кроме Курганской области, выше среднероссийских значений. На </w:t>
      </w:r>
      <w:r w:rsidRPr="00EB5914">
        <w:rPr>
          <w:sz w:val="24"/>
          <w:szCs w:val="24"/>
        </w:rPr>
        <w:t xml:space="preserve">2020 год в ХМАО и ЯНАО промышленность составила более 50% всех товаров и услуг. На </w:t>
      </w:r>
      <w:r w:rsidR="001D6EC4" w:rsidRPr="00EB5914">
        <w:rPr>
          <w:sz w:val="24"/>
          <w:szCs w:val="24"/>
        </w:rPr>
        <w:t>рис. 22</w:t>
      </w:r>
      <w:r w:rsidRPr="00EB5914">
        <w:rPr>
          <w:sz w:val="24"/>
          <w:szCs w:val="24"/>
        </w:rPr>
        <w:t xml:space="preserve"> представлена структура валовой добавленной стоимости произведенных услуг и товаров на 2020 год.</w:t>
      </w:r>
      <w:r>
        <w:rPr>
          <w:sz w:val="24"/>
          <w:szCs w:val="24"/>
        </w:rPr>
        <w:t xml:space="preserve"> </w:t>
      </w:r>
    </w:p>
    <w:p w14:paraId="5CDB5677" w14:textId="705BAF80" w:rsidR="005D1A61" w:rsidRDefault="0045737E" w:rsidP="00F93984">
      <w:pPr>
        <w:spacing w:line="360" w:lineRule="auto"/>
        <w:ind w:firstLine="720"/>
        <w:jc w:val="both"/>
        <w:rPr>
          <w:sz w:val="24"/>
          <w:szCs w:val="24"/>
        </w:rPr>
      </w:pPr>
      <w:r>
        <w:rPr>
          <w:sz w:val="24"/>
          <w:szCs w:val="24"/>
        </w:rPr>
        <w:t xml:space="preserve">Из графика видно, что Ханты-Мансийский и Ямало-Ненецкий автономные округа имеют слабо диверсифицированную экономику, где главную роль выполняет добыча полезных ископаемых, а также в этих регионах наибольшая доля строительства. В Челябинской, Курганской и Свердловской областях сильно выражена роль обрабатывающих производств, в Курганской также доля сельского хозяйства </w:t>
      </w:r>
      <w:proofErr w:type="gramStart"/>
      <w:r>
        <w:rPr>
          <w:sz w:val="24"/>
          <w:szCs w:val="24"/>
        </w:rPr>
        <w:t>выше</w:t>
      </w:r>
      <w:proofErr w:type="gramEnd"/>
      <w:r>
        <w:rPr>
          <w:sz w:val="24"/>
          <w:szCs w:val="24"/>
        </w:rPr>
        <w:t xml:space="preserve"> чем в других регионах УрФО и выше среднероссийского значения. В Тюменской области доля добычи полезных ископаемых выше, чем в Курганской, Свердловской и Челябинской, но в целом можно заключить, что структура достаточно диверсифицирована.</w:t>
      </w:r>
    </w:p>
    <w:p w14:paraId="65910771" w14:textId="77777777" w:rsidR="005D1A61" w:rsidRDefault="005D1A61">
      <w:pPr>
        <w:spacing w:line="360" w:lineRule="auto"/>
        <w:jc w:val="both"/>
        <w:rPr>
          <w:sz w:val="24"/>
          <w:szCs w:val="24"/>
        </w:rPr>
      </w:pPr>
    </w:p>
    <w:p w14:paraId="07D76FB1" w14:textId="77777777" w:rsidR="004D2AF9" w:rsidRDefault="004D2AF9">
      <w:pPr>
        <w:spacing w:line="360" w:lineRule="auto"/>
        <w:jc w:val="both"/>
        <w:rPr>
          <w:sz w:val="24"/>
          <w:szCs w:val="24"/>
        </w:rPr>
      </w:pPr>
      <w:r>
        <w:rPr>
          <w:noProof/>
        </w:rPr>
        <w:lastRenderedPageBreak/>
        <w:drawing>
          <wp:inline distT="0" distB="0" distL="0" distR="0" wp14:anchorId="38FE5CD0" wp14:editId="54CAD4BF">
            <wp:extent cx="5940425" cy="5410200"/>
            <wp:effectExtent l="0" t="0" r="3175" b="0"/>
            <wp:docPr id="978532591" name="Диаграмма 978532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E49384" w14:textId="3514EB27" w:rsidR="005D1A61" w:rsidRPr="008F438A" w:rsidRDefault="001D6EC4">
      <w:pPr>
        <w:spacing w:line="360" w:lineRule="auto"/>
        <w:jc w:val="both"/>
        <w:rPr>
          <w:color w:val="222222"/>
          <w:sz w:val="24"/>
          <w:szCs w:val="24"/>
          <w:highlight w:val="white"/>
        </w:rPr>
      </w:pPr>
      <w:r>
        <w:rPr>
          <w:sz w:val="24"/>
          <w:szCs w:val="24"/>
        </w:rPr>
        <w:t>Рис. 22</w:t>
      </w:r>
      <w:r w:rsidR="0045737E">
        <w:rPr>
          <w:sz w:val="24"/>
          <w:szCs w:val="24"/>
        </w:rPr>
        <w:t>. Структура валовой добавленной стоимости произведенных товаров и услуг на 2020 год, %</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p>
    <w:p w14:paraId="51FC3453" w14:textId="77777777" w:rsidR="005D1A61" w:rsidRDefault="0045737E">
      <w:pPr>
        <w:spacing w:line="360" w:lineRule="auto"/>
        <w:ind w:firstLine="851"/>
        <w:jc w:val="both"/>
        <w:rPr>
          <w:sz w:val="24"/>
          <w:szCs w:val="24"/>
        </w:rPr>
      </w:pPr>
      <w:r>
        <w:rPr>
          <w:sz w:val="24"/>
          <w:szCs w:val="24"/>
        </w:rPr>
        <w:t>По инвестициям в основной капитал на душу населения сильно выделяется ЯНАО со значением 1190 тысяч рублей (т. р.), за ним идут с большой разницей от первого ХМАО (74 т. р.) и Тюменская (72 т. р.), далее идут Свердловская (60 т. р.) и Челябинская (50 т. р.), замыкает список Курганская облас</w:t>
      </w:r>
      <w:r w:rsidR="001D6EC4">
        <w:rPr>
          <w:sz w:val="24"/>
          <w:szCs w:val="24"/>
        </w:rPr>
        <w:t>ть с 40 тысячами рублей (рис. 23</w:t>
      </w:r>
      <w:r>
        <w:rPr>
          <w:sz w:val="24"/>
          <w:szCs w:val="24"/>
        </w:rPr>
        <w:t>).</w:t>
      </w:r>
    </w:p>
    <w:p w14:paraId="53703A47" w14:textId="77777777" w:rsidR="005D1A61" w:rsidRDefault="005D1A61">
      <w:pPr>
        <w:jc w:val="both"/>
        <w:rPr>
          <w:sz w:val="24"/>
          <w:szCs w:val="24"/>
        </w:rPr>
      </w:pPr>
    </w:p>
    <w:p w14:paraId="1378A5BD" w14:textId="77777777" w:rsidR="004D2AF9" w:rsidRDefault="004D2AF9">
      <w:pPr>
        <w:jc w:val="both"/>
        <w:rPr>
          <w:sz w:val="24"/>
          <w:szCs w:val="24"/>
        </w:rPr>
      </w:pPr>
      <w:r>
        <w:rPr>
          <w:noProof/>
        </w:rPr>
        <w:lastRenderedPageBreak/>
        <w:drawing>
          <wp:inline distT="0" distB="0" distL="0" distR="0" wp14:anchorId="2F243D7B" wp14:editId="1C5768C2">
            <wp:extent cx="5940425" cy="4091940"/>
            <wp:effectExtent l="0" t="0" r="3175" b="3810"/>
            <wp:docPr id="1546959111" name="Диаграмма 1546959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7B0560" w14:textId="28FF0B75" w:rsidR="005D1A61" w:rsidRPr="008F438A" w:rsidRDefault="001D6EC4" w:rsidP="008F438A">
      <w:pPr>
        <w:spacing w:line="360" w:lineRule="auto"/>
        <w:jc w:val="both"/>
        <w:rPr>
          <w:color w:val="222222"/>
          <w:sz w:val="24"/>
          <w:szCs w:val="24"/>
          <w:highlight w:val="white"/>
        </w:rPr>
      </w:pPr>
      <w:r>
        <w:rPr>
          <w:sz w:val="24"/>
          <w:szCs w:val="24"/>
        </w:rPr>
        <w:t>Рис. 23</w:t>
      </w:r>
      <w:r w:rsidR="0045737E">
        <w:rPr>
          <w:sz w:val="24"/>
          <w:szCs w:val="24"/>
        </w:rPr>
        <w:t>. Инвестиции в основной капитал на душу населения в ценах 2001 года</w:t>
      </w:r>
      <w:r w:rsidR="008F438A">
        <w:rPr>
          <w:sz w:val="24"/>
          <w:szCs w:val="24"/>
        </w:rPr>
        <w:t xml:space="preserve"> </w:t>
      </w:r>
      <w:r w:rsidR="008F438A" w:rsidRPr="008F438A">
        <w:rPr>
          <w:color w:val="222222"/>
          <w:sz w:val="24"/>
          <w:szCs w:val="24"/>
        </w:rPr>
        <w:t>(составлено автором</w:t>
      </w:r>
      <w:r w:rsidR="008F438A">
        <w:rPr>
          <w:color w:val="222222"/>
          <w:sz w:val="24"/>
          <w:szCs w:val="24"/>
        </w:rPr>
        <w:t xml:space="preserve"> по данным Росстата</w:t>
      </w:r>
      <w:r w:rsidR="008F438A" w:rsidRPr="008F438A">
        <w:rPr>
          <w:color w:val="222222"/>
          <w:sz w:val="24"/>
          <w:szCs w:val="24"/>
        </w:rPr>
        <w:t>).</w:t>
      </w:r>
    </w:p>
    <w:p w14:paraId="0889F2D2" w14:textId="77777777" w:rsidR="005D1A61" w:rsidRDefault="005D1A61">
      <w:pPr>
        <w:jc w:val="both"/>
        <w:rPr>
          <w:sz w:val="24"/>
          <w:szCs w:val="24"/>
        </w:rPr>
      </w:pPr>
    </w:p>
    <w:p w14:paraId="2F350595" w14:textId="77777777" w:rsidR="005D1A61" w:rsidRDefault="005D1A61">
      <w:pPr>
        <w:rPr>
          <w:color w:val="222222"/>
          <w:sz w:val="24"/>
          <w:szCs w:val="24"/>
          <w:highlight w:val="white"/>
        </w:rPr>
      </w:pPr>
    </w:p>
    <w:p w14:paraId="2023EDD0" w14:textId="77777777" w:rsidR="005D1A61" w:rsidRDefault="0045737E">
      <w:pPr>
        <w:rPr>
          <w:sz w:val="24"/>
          <w:szCs w:val="24"/>
        </w:rPr>
      </w:pPr>
      <w:r>
        <w:br w:type="page"/>
      </w:r>
    </w:p>
    <w:p w14:paraId="1D66FF62" w14:textId="77777777" w:rsidR="005D1A61" w:rsidRPr="00C805DA" w:rsidRDefault="0045737E" w:rsidP="00C805DA">
      <w:pPr>
        <w:pStyle w:val="8"/>
        <w:jc w:val="center"/>
        <w:rPr>
          <w:rFonts w:ascii="Times New Roman" w:hAnsi="Times New Roman" w:cs="Times New Roman"/>
          <w:sz w:val="28"/>
          <w:szCs w:val="28"/>
        </w:rPr>
      </w:pPr>
      <w:r w:rsidRPr="00C805DA">
        <w:rPr>
          <w:rFonts w:ascii="Times New Roman" w:hAnsi="Times New Roman" w:cs="Times New Roman"/>
          <w:sz w:val="28"/>
          <w:szCs w:val="28"/>
        </w:rPr>
        <w:lastRenderedPageBreak/>
        <w:t>2.4. Социальная сфера</w:t>
      </w:r>
    </w:p>
    <w:p w14:paraId="13601CA2" w14:textId="7657DEB9" w:rsidR="005D1A61" w:rsidRDefault="005D1A61">
      <w:pPr>
        <w:rPr>
          <w:sz w:val="24"/>
          <w:szCs w:val="24"/>
        </w:rPr>
      </w:pPr>
    </w:p>
    <w:p w14:paraId="38E36615" w14:textId="77777777" w:rsidR="00F80D58" w:rsidRPr="00F80D58" w:rsidRDefault="00F80D58" w:rsidP="00F80D58">
      <w:pPr>
        <w:spacing w:after="0" w:line="360" w:lineRule="auto"/>
        <w:ind w:firstLine="720"/>
        <w:jc w:val="both"/>
        <w:rPr>
          <w:sz w:val="24"/>
          <w:szCs w:val="24"/>
        </w:rPr>
      </w:pPr>
      <w:r w:rsidRPr="00F80D58">
        <w:rPr>
          <w:sz w:val="24"/>
          <w:szCs w:val="24"/>
        </w:rPr>
        <w:t>Для отображения различных аспектов социального развития региона были собраны 8 показателей на доступные годы постсоветского периода. Данные показатели помогут оценить уровень социального развития региона и рассмотреть динамику регионов внутри Уральского федерального округа.</w:t>
      </w:r>
    </w:p>
    <w:p w14:paraId="06CFF86B" w14:textId="77777777" w:rsidR="00F80D58" w:rsidRPr="00F80D58" w:rsidRDefault="00F80D58" w:rsidP="00F80D58">
      <w:pPr>
        <w:spacing w:after="0" w:line="360" w:lineRule="auto"/>
        <w:ind w:firstLine="720"/>
        <w:jc w:val="both"/>
        <w:rPr>
          <w:sz w:val="24"/>
          <w:szCs w:val="24"/>
        </w:rPr>
      </w:pPr>
      <w:r w:rsidRPr="00F80D58">
        <w:rPr>
          <w:sz w:val="24"/>
          <w:szCs w:val="24"/>
        </w:rPr>
        <w:t xml:space="preserve">Показатель ввода жилой площади на душу населения на уровне Уральского федерального округа в среднем ниже общероссийского на 5-10% больший период времени, однако есть и периоды превышения объёмов вводов: прежде всего в период до 1998 года — когда средний показатель для уральских регионов превышал на 10-17%. </w:t>
      </w:r>
    </w:p>
    <w:p w14:paraId="7379E19B" w14:textId="77777777" w:rsidR="00F80D58" w:rsidRDefault="00F80D58" w:rsidP="00F80D58">
      <w:pPr>
        <w:spacing w:after="0" w:line="360" w:lineRule="auto"/>
        <w:ind w:firstLine="720"/>
        <w:jc w:val="both"/>
        <w:rPr>
          <w:sz w:val="24"/>
          <w:szCs w:val="24"/>
        </w:rPr>
      </w:pPr>
      <w:r w:rsidRPr="00F80D58">
        <w:rPr>
          <w:sz w:val="24"/>
          <w:szCs w:val="24"/>
        </w:rPr>
        <w:t xml:space="preserve">Такую отрицательную динамику прежде всего создают регионы, чьи показатели ввода жилья резко упали за постсоветский период: это, прежде всего, Курганская область, где отставание по показателю активно росло и сейчас составляет почти половину от общероссийского, Ямало-Ненецкий автономный округ, который из регионов-лидеров конца 1990-х годов стал </w:t>
      </w:r>
      <w:proofErr w:type="spellStart"/>
      <w:r w:rsidRPr="00F80D58">
        <w:rPr>
          <w:sz w:val="24"/>
          <w:szCs w:val="24"/>
        </w:rPr>
        <w:t>антилидером</w:t>
      </w:r>
      <w:proofErr w:type="spellEnd"/>
      <w:r w:rsidRPr="00F80D58">
        <w:rPr>
          <w:sz w:val="24"/>
          <w:szCs w:val="24"/>
        </w:rPr>
        <w:t>, сместив Курганскую область с последнего места в 2019-2021 годах. Свердловская и Челябинская области являются более стабильными регионами, их динамика объёмов ввода жилья повторяет общероссийский тренд, но средние значения ввода на душу населения ниже общероссийских. Лидирующим регионом по показателю с 2007 года является Тюменская область, пиковые показатели строительства в которой были установлены в 2015 году — 1478 квадратных метров на 1000 человек — что в 2,5 раза превышало общероссийские значения. За последние пять лет отрыв между показателями остаётся высоким — значения для Тюменской области продолжает превышать российское на 70-90%. Другим регионом-лидером в УрФО можно считать Ханты-Мансийский автономный округ, который превышал среднероссийский уровень ввода жилья на душу населения, но уже не на такой значительный объём, а в кризисные периоды (1999, 2010 — жилищная сфера реагирует на кризисы с определённым временным лагом) краткосрочно снижался и ниже данного показателя. Аналогично происходит и в современный этап с 2015 года, объёмы снизились по сравнению с общероссийскими.</w:t>
      </w:r>
    </w:p>
    <w:p w14:paraId="382F6F0A" w14:textId="4C17EAA8" w:rsidR="00F80D58" w:rsidRPr="00F80D58" w:rsidRDefault="00F80D58" w:rsidP="00F80D58">
      <w:pPr>
        <w:spacing w:after="0" w:line="360" w:lineRule="auto"/>
        <w:jc w:val="both"/>
        <w:rPr>
          <w:sz w:val="24"/>
          <w:szCs w:val="24"/>
        </w:rPr>
      </w:pPr>
      <w:r w:rsidRPr="00F80D58">
        <w:rPr>
          <w:noProof/>
          <w:sz w:val="24"/>
          <w:szCs w:val="24"/>
        </w:rPr>
        <w:lastRenderedPageBreak/>
        <w:drawing>
          <wp:inline distT="0" distB="0" distL="0" distR="0" wp14:anchorId="4C920606" wp14:editId="33566526">
            <wp:extent cx="5940425" cy="2688677"/>
            <wp:effectExtent l="0" t="0" r="3175" b="16510"/>
            <wp:docPr id="19288310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D0F51D" w14:textId="77777777" w:rsidR="00F80D58" w:rsidRPr="00F80D58" w:rsidRDefault="00F80D58" w:rsidP="00F80D58">
      <w:pPr>
        <w:spacing w:after="0" w:line="360" w:lineRule="auto"/>
        <w:jc w:val="both"/>
        <w:rPr>
          <w:sz w:val="24"/>
          <w:szCs w:val="24"/>
        </w:rPr>
      </w:pPr>
      <w:r w:rsidRPr="00F80D58">
        <w:rPr>
          <w:sz w:val="24"/>
          <w:szCs w:val="24"/>
        </w:rPr>
        <w:t>Рис. 25. Динамика относительного объёма ввода жилых домов (кв. метров на 1000 человек).</w:t>
      </w:r>
    </w:p>
    <w:p w14:paraId="5C583279" w14:textId="77777777" w:rsidR="00F80D58" w:rsidRPr="00F80D58" w:rsidRDefault="00F80D58" w:rsidP="00F80D58">
      <w:pPr>
        <w:spacing w:after="0" w:line="360" w:lineRule="auto"/>
        <w:ind w:firstLine="720"/>
        <w:jc w:val="both"/>
        <w:rPr>
          <w:sz w:val="24"/>
          <w:szCs w:val="24"/>
        </w:rPr>
      </w:pPr>
      <w:r w:rsidRPr="00F80D58">
        <w:rPr>
          <w:sz w:val="24"/>
          <w:szCs w:val="24"/>
        </w:rPr>
        <w:t xml:space="preserve">Ввод жилья оказывает влияние на другой социальный показатель — обеспеченности населения жилыми площадями (рисунок 33). Динамика </w:t>
      </w:r>
      <w:proofErr w:type="spellStart"/>
      <w:r w:rsidRPr="00F80D58">
        <w:rPr>
          <w:sz w:val="24"/>
          <w:szCs w:val="24"/>
        </w:rPr>
        <w:t>общеуральского</w:t>
      </w:r>
      <w:proofErr w:type="spellEnd"/>
      <w:r w:rsidRPr="00F80D58">
        <w:rPr>
          <w:sz w:val="24"/>
          <w:szCs w:val="24"/>
        </w:rPr>
        <w:t xml:space="preserve"> и общероссийского значения схожа (показатель с 1990 года </w:t>
      </w:r>
      <w:proofErr w:type="gramStart"/>
      <w:r w:rsidRPr="00F80D58">
        <w:rPr>
          <w:sz w:val="24"/>
          <w:szCs w:val="24"/>
        </w:rPr>
        <w:t>по ,</w:t>
      </w:r>
      <w:proofErr w:type="gramEnd"/>
      <w:r w:rsidRPr="00F80D58">
        <w:rPr>
          <w:sz w:val="24"/>
          <w:szCs w:val="24"/>
        </w:rPr>
        <w:t xml:space="preserve"> однако второй показатель больше за весь период несколько больше (до 7%), за исключением 2014 года при выравнивании этих показателей. Для всего региона общее количество площади на одного человека за период с 1990 по 2021 годы увеличилось на 76%, а наибольший рост за постсоветский период показал регион-лидер объёмов ввода жилья — это Тюменская область (рост показателя в два раза) и Челябинская область (рост на 12,9 метров или на 84%) </w:t>
      </w:r>
    </w:p>
    <w:p w14:paraId="3E953D19" w14:textId="77777777" w:rsidR="00F80D58" w:rsidRPr="00F80D58" w:rsidRDefault="00F80D58" w:rsidP="00F80D58">
      <w:pPr>
        <w:spacing w:after="0" w:line="360" w:lineRule="auto"/>
        <w:ind w:firstLine="720"/>
        <w:jc w:val="both"/>
        <w:rPr>
          <w:sz w:val="24"/>
          <w:szCs w:val="24"/>
        </w:rPr>
      </w:pPr>
      <w:r w:rsidRPr="00F80D58">
        <w:rPr>
          <w:sz w:val="24"/>
          <w:szCs w:val="24"/>
        </w:rPr>
        <w:t>Наименьший рост общей площади населения можно увидеть для ХМАО и ЯНАО, где показатель за 31 год для этих регионов вырос на 8,1 и 5,9 метров соответственно — на 60 и 40 процентов (при значительных объёмах ввода жилья можно наблюдать рост численности населения, который и замедляет рост показателя обеспеченности).</w:t>
      </w:r>
    </w:p>
    <w:p w14:paraId="7E55CC8F" w14:textId="77777777" w:rsidR="00F80D58" w:rsidRDefault="00F80D58" w:rsidP="00F80D58">
      <w:pPr>
        <w:spacing w:after="0" w:line="360" w:lineRule="auto"/>
        <w:ind w:firstLine="720"/>
        <w:jc w:val="both"/>
        <w:rPr>
          <w:sz w:val="24"/>
          <w:szCs w:val="24"/>
        </w:rPr>
      </w:pPr>
      <w:r w:rsidRPr="00F80D58">
        <w:rPr>
          <w:sz w:val="24"/>
          <w:szCs w:val="24"/>
        </w:rPr>
        <w:t xml:space="preserve">Для Курганской и Свердловской области показатель показывает схожую с </w:t>
      </w:r>
      <w:proofErr w:type="spellStart"/>
      <w:r w:rsidRPr="00F80D58">
        <w:rPr>
          <w:sz w:val="24"/>
          <w:szCs w:val="24"/>
        </w:rPr>
        <w:t>общеуральской</w:t>
      </w:r>
      <w:proofErr w:type="spellEnd"/>
      <w:r w:rsidRPr="00F80D58">
        <w:rPr>
          <w:sz w:val="24"/>
          <w:szCs w:val="24"/>
        </w:rPr>
        <w:t xml:space="preserve"> динамику (с 16 метров на человека в 1990 году до 27-28 метрах в 2021, рост на 71-73%): такая группа объясняется меньшим вводом жилья при большем сокращении населения в Курганской области. </w:t>
      </w:r>
    </w:p>
    <w:p w14:paraId="4AD5976E" w14:textId="205F51A2" w:rsidR="00B87BDC" w:rsidRDefault="00B87BDC" w:rsidP="00B87BDC">
      <w:pPr>
        <w:spacing w:after="0" w:line="360" w:lineRule="auto"/>
        <w:jc w:val="both"/>
        <w:rPr>
          <w:sz w:val="24"/>
          <w:szCs w:val="24"/>
        </w:rPr>
      </w:pPr>
      <w:r>
        <w:rPr>
          <w:noProof/>
        </w:rPr>
        <w:lastRenderedPageBreak/>
        <w:drawing>
          <wp:inline distT="0" distB="0" distL="0" distR="0" wp14:anchorId="7C189AF4" wp14:editId="73F9EF4F">
            <wp:extent cx="5940425" cy="1948815"/>
            <wp:effectExtent l="0" t="0" r="3175" b="0"/>
            <wp:docPr id="12152236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1040" cy="1952297"/>
                    </a:xfrm>
                    <a:prstGeom prst="rect">
                      <a:avLst/>
                    </a:prstGeom>
                    <a:noFill/>
                    <a:ln>
                      <a:noFill/>
                    </a:ln>
                  </pic:spPr>
                </pic:pic>
              </a:graphicData>
            </a:graphic>
          </wp:inline>
        </w:drawing>
      </w:r>
    </w:p>
    <w:p w14:paraId="2FED9EFA" w14:textId="26AE99E2" w:rsidR="00F80D58" w:rsidRPr="00F80D58" w:rsidRDefault="00F80D58" w:rsidP="00F80D58">
      <w:pPr>
        <w:spacing w:after="0" w:line="360" w:lineRule="auto"/>
        <w:ind w:firstLine="720"/>
        <w:jc w:val="both"/>
        <w:rPr>
          <w:sz w:val="24"/>
          <w:szCs w:val="24"/>
        </w:rPr>
      </w:pPr>
    </w:p>
    <w:p w14:paraId="3C957A0B" w14:textId="77777777" w:rsidR="00F80D58" w:rsidRPr="00F80D58" w:rsidRDefault="00F80D58" w:rsidP="00F80D58">
      <w:pPr>
        <w:spacing w:after="0" w:line="360" w:lineRule="auto"/>
        <w:jc w:val="both"/>
        <w:rPr>
          <w:sz w:val="24"/>
          <w:szCs w:val="24"/>
        </w:rPr>
      </w:pPr>
      <w:r w:rsidRPr="00F80D58">
        <w:rPr>
          <w:sz w:val="24"/>
          <w:szCs w:val="24"/>
        </w:rPr>
        <w:t>Рис. 26. Динамика обеспеченности населения жилыми помещениями (кв. метров на человека).</w:t>
      </w:r>
    </w:p>
    <w:p w14:paraId="304AE934" w14:textId="7DF577BC" w:rsidR="00F80D58" w:rsidRPr="00F80D58" w:rsidRDefault="00F80D58" w:rsidP="00F80D58">
      <w:pPr>
        <w:spacing w:after="0" w:line="360" w:lineRule="auto"/>
        <w:jc w:val="both"/>
        <w:rPr>
          <w:sz w:val="24"/>
          <w:szCs w:val="24"/>
        </w:rPr>
      </w:pPr>
    </w:p>
    <w:p w14:paraId="1711E649" w14:textId="00A414F3" w:rsidR="00C805DA" w:rsidRDefault="00F80D58" w:rsidP="00D31C2C">
      <w:pPr>
        <w:spacing w:after="0" w:line="360" w:lineRule="auto"/>
        <w:ind w:firstLine="720"/>
        <w:jc w:val="both"/>
        <w:rPr>
          <w:sz w:val="24"/>
          <w:szCs w:val="24"/>
        </w:rPr>
      </w:pPr>
      <w:r w:rsidRPr="00F80D58">
        <w:rPr>
          <w:sz w:val="24"/>
          <w:szCs w:val="24"/>
        </w:rPr>
        <w:t xml:space="preserve">Численность студентов высшего и среднего профессионального образования (ВО и СПО) посчитана на 10000 человек. Этот показатель отражает процентное соотношение студентов к общему числу населения и является важным показателем для оценки доступности и качества образования в регионе. Динамика общероссийского и </w:t>
      </w:r>
      <w:proofErr w:type="spellStart"/>
      <w:r w:rsidRPr="00F80D58">
        <w:rPr>
          <w:sz w:val="24"/>
          <w:szCs w:val="24"/>
        </w:rPr>
        <w:t>общеуральского</w:t>
      </w:r>
      <w:proofErr w:type="spellEnd"/>
      <w:r w:rsidRPr="00F80D58">
        <w:rPr>
          <w:sz w:val="24"/>
          <w:szCs w:val="24"/>
        </w:rPr>
        <w:t xml:space="preserve"> показателя схожа. На рисунке 27 заметно, что максимальные значения показателя характерны для России и УрФО в 2007-2008 году, после чего наблюдается снижение доли студентов в населении. 2021 год можно охарактеризовать резким снижением, однако и до него можно определить те регионы, где показатель наиболее низок — ЯНАО и ХМАО, значения которых чрезвычайно были низки ещё с начала исследуемого периода, однако относительный рост которых приблизил показатель доли студентов к другим регионам — однако он остаётся всё ещё низким. Тюменская область является лидером по доле студентов и держит свои позиции практически весь исследуемый период, а следом за ней в 1990-х следовали Свердловская и Челябинская области. Однако в дальнейшем Свердловская область показывала более активный рост числа студентов, прежде всего из-за большого количества университетов, в том числе наличии Уральского Федерального, роль которого — аккумулировать лучшие кадры страны.</w:t>
      </w:r>
    </w:p>
    <w:p w14:paraId="09582CB4" w14:textId="006B184E" w:rsidR="00B87BDC" w:rsidRDefault="00C805DA" w:rsidP="00F80D58">
      <w:pPr>
        <w:spacing w:after="0" w:line="360" w:lineRule="auto"/>
        <w:jc w:val="both"/>
        <w:rPr>
          <w:sz w:val="24"/>
          <w:szCs w:val="24"/>
        </w:rPr>
      </w:pPr>
      <w:r>
        <w:rPr>
          <w:noProof/>
        </w:rPr>
        <w:lastRenderedPageBreak/>
        <w:drawing>
          <wp:inline distT="0" distB="0" distL="0" distR="0" wp14:anchorId="715E9004" wp14:editId="5AC452BB">
            <wp:extent cx="5940425" cy="3703320"/>
            <wp:effectExtent l="0" t="0" r="3175" b="11430"/>
            <wp:docPr id="16534739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82D4D9" w14:textId="565EAE79" w:rsidR="00F80D58" w:rsidRPr="00F80D58" w:rsidRDefault="00F80D58" w:rsidP="00F80D58">
      <w:pPr>
        <w:spacing w:after="0" w:line="360" w:lineRule="auto"/>
        <w:jc w:val="both"/>
        <w:rPr>
          <w:sz w:val="24"/>
          <w:szCs w:val="24"/>
        </w:rPr>
      </w:pPr>
      <w:r w:rsidRPr="00F80D58">
        <w:rPr>
          <w:sz w:val="24"/>
          <w:szCs w:val="24"/>
        </w:rPr>
        <w:t>Рис. 27. Численность студентов высших и средних профессиональных заведений на 10000 человек.</w:t>
      </w:r>
    </w:p>
    <w:p w14:paraId="402C5123" w14:textId="77777777" w:rsidR="00F80D58" w:rsidRPr="00F80D58" w:rsidRDefault="00F80D58" w:rsidP="00D31C2C">
      <w:pPr>
        <w:pStyle w:val="af0"/>
        <w:spacing w:after="0" w:line="360" w:lineRule="auto"/>
        <w:ind w:firstLine="720"/>
        <w:jc w:val="both"/>
        <w:rPr>
          <w:sz w:val="24"/>
          <w:szCs w:val="20"/>
        </w:rPr>
      </w:pPr>
      <w:r w:rsidRPr="00F80D58">
        <w:rPr>
          <w:sz w:val="24"/>
          <w:szCs w:val="20"/>
        </w:rPr>
        <w:t>Первым показателем, определяющим благосостояние населения, является среднедушевой денежный доход населения. Доступные данные охватывают период с 1998 года, однако для определения реального увеличения уровня благосостояния населения все значения были приведены к уровню начала тысячелетия — к 2001 году — с учётом региональной инфляции, а также учтён объём расходов населения, определяемый стоимостью жизни в регионе, определяемый с 2000 года. В результате был сформирован интегральный показатель разницы между средними доходами и расходами в ценах, приведёнными к 2001 году.</w:t>
      </w:r>
    </w:p>
    <w:p w14:paraId="53CD72F8" w14:textId="77777777" w:rsidR="00D31C2C" w:rsidRDefault="00F80D58" w:rsidP="00D31C2C">
      <w:pPr>
        <w:pStyle w:val="af0"/>
        <w:spacing w:after="0" w:line="360" w:lineRule="auto"/>
        <w:ind w:firstLine="720"/>
        <w:jc w:val="both"/>
        <w:rPr>
          <w:sz w:val="24"/>
          <w:szCs w:val="20"/>
        </w:rPr>
      </w:pPr>
      <w:r w:rsidRPr="00F80D58">
        <w:rPr>
          <w:sz w:val="24"/>
          <w:szCs w:val="20"/>
        </w:rPr>
        <w:t xml:space="preserve">Интегральный показатель разницы между средними доходами и расходами в ценах, приведенных к 2001 году, отражает реальные изменения уровня благосостояния населения (рисунок 28). Он учитывает не только саму величину доходов, но и позволяет оценить, насколько эти доходы позволяют населению покрыть свои расходы в условиях конкретного региона и его стоимости жизни. Этот интегральный показатель позволяет более точно оценить динамику благосостояния населения, исключая факторы, связанные с инфляцией и различиями в стоимости жизни в разных регионах. Таким образом, он помогает более объективно измерить изменения уровня благосостояния населения и сравнить эти изменения в разных временных периодах и регионах. Северные регионы Западной Сибири показывают активный рост показателя, показывая рост благосостояния </w:t>
      </w:r>
      <w:r w:rsidRPr="00F80D58">
        <w:rPr>
          <w:sz w:val="24"/>
          <w:szCs w:val="20"/>
        </w:rPr>
        <w:lastRenderedPageBreak/>
        <w:t xml:space="preserve">населения, данный показатель значительно превышает не только другие регионы, но и среднероссийские значения. </w:t>
      </w:r>
    </w:p>
    <w:p w14:paraId="7F31906A" w14:textId="31C453BE" w:rsidR="00F80D58" w:rsidRDefault="00F80D58" w:rsidP="00D31C2C">
      <w:pPr>
        <w:pStyle w:val="af0"/>
        <w:spacing w:after="0" w:line="360" w:lineRule="auto"/>
        <w:ind w:firstLine="720"/>
        <w:jc w:val="both"/>
        <w:rPr>
          <w:sz w:val="24"/>
          <w:szCs w:val="20"/>
        </w:rPr>
      </w:pPr>
      <w:r w:rsidRPr="00F80D58">
        <w:rPr>
          <w:sz w:val="24"/>
          <w:szCs w:val="20"/>
        </w:rPr>
        <w:t>При этом наиболее дефицитный для жизни регионом стала Тюменская область — которая ранее была на уровне других областей УрФО, чьи значения, однако, стали резко снижаться и в 2018 году впервые достигли отрицательных значений. Свердловская, Челябинская и Курганская области занимают срединное значение и по показателю находятся ниже значения по всей стране. Однако при своём срединном положении они демонстрируют наибольший относительный рост — за 21 год показатель вырос на 670, 545 и 900% для регионов соответственно: ведь в 2000 году разница объёма доходов и расходов между автономными округами и областями федерального округа составляла до 1000 процентов (в 10 раз).</w:t>
      </w:r>
    </w:p>
    <w:p w14:paraId="6D55DC64" w14:textId="1522D3FF" w:rsidR="00C805DA" w:rsidRPr="00F80D58" w:rsidRDefault="00C805DA" w:rsidP="00F80D58">
      <w:pPr>
        <w:pStyle w:val="af0"/>
        <w:spacing w:after="0" w:line="360" w:lineRule="auto"/>
        <w:jc w:val="both"/>
        <w:rPr>
          <w:sz w:val="24"/>
          <w:szCs w:val="20"/>
        </w:rPr>
      </w:pPr>
      <w:r>
        <w:rPr>
          <w:noProof/>
        </w:rPr>
        <w:drawing>
          <wp:inline distT="0" distB="0" distL="0" distR="0" wp14:anchorId="742BA890" wp14:editId="74D7B785">
            <wp:extent cx="5940425" cy="4244340"/>
            <wp:effectExtent l="0" t="0" r="3175" b="3810"/>
            <wp:docPr id="60561930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7E3782" w14:textId="77777777" w:rsidR="00F80D58" w:rsidRPr="00F80D58" w:rsidRDefault="00F80D58" w:rsidP="00F80D58">
      <w:pPr>
        <w:pStyle w:val="af0"/>
        <w:spacing w:after="0" w:line="360" w:lineRule="auto"/>
        <w:jc w:val="both"/>
        <w:rPr>
          <w:sz w:val="24"/>
          <w:szCs w:val="20"/>
        </w:rPr>
      </w:pPr>
      <w:r w:rsidRPr="00F80D58">
        <w:rPr>
          <w:sz w:val="24"/>
          <w:szCs w:val="20"/>
        </w:rPr>
        <w:t>Рис. 28. Динамика разницы между среднедушевыми доходами и расходами (с учётом территориальной инфляции, в ценах, приведённых к 2001 году).</w:t>
      </w:r>
    </w:p>
    <w:p w14:paraId="24243997" w14:textId="77777777" w:rsidR="00F80D58" w:rsidRPr="00F80D58" w:rsidRDefault="00F80D58" w:rsidP="00D31C2C">
      <w:pPr>
        <w:pStyle w:val="af0"/>
        <w:spacing w:after="0" w:line="360" w:lineRule="auto"/>
        <w:ind w:firstLine="720"/>
        <w:jc w:val="both"/>
        <w:rPr>
          <w:sz w:val="24"/>
          <w:szCs w:val="20"/>
        </w:rPr>
      </w:pPr>
      <w:r w:rsidRPr="00F80D58">
        <w:rPr>
          <w:sz w:val="24"/>
          <w:szCs w:val="20"/>
        </w:rPr>
        <w:t>Доля населения, занятого в экономике, является важным показателем социальной сферы, который отражает процентное соотношение трудоспособного населения, занятого в различных секторах экономики. Этот показатель позволяет оценить уровень занятости и экономическую активность населения в регионах Уральского федерального округа в постсоветской динамике.</w:t>
      </w:r>
    </w:p>
    <w:p w14:paraId="1CC214A6" w14:textId="77777777" w:rsidR="00F80D58" w:rsidRDefault="00F80D58" w:rsidP="00D31C2C">
      <w:pPr>
        <w:pStyle w:val="af0"/>
        <w:spacing w:after="0" w:line="360" w:lineRule="auto"/>
        <w:ind w:firstLine="720"/>
        <w:jc w:val="both"/>
        <w:rPr>
          <w:sz w:val="24"/>
          <w:szCs w:val="20"/>
        </w:rPr>
      </w:pPr>
      <w:r w:rsidRPr="00F80D58">
        <w:rPr>
          <w:sz w:val="24"/>
          <w:szCs w:val="20"/>
        </w:rPr>
        <w:lastRenderedPageBreak/>
        <w:t xml:space="preserve">Доля населения, занятого в экономике, измеряется в процентах от общего количества населения. УрФО характеризуется более высокими значениями занятости по сравнению с общероссийским показателем на 2-3%. Динамика характеризуется резким пиком занятости в 2015 году для всех уральских регионов, кроме Курганской области и </w:t>
      </w:r>
      <w:proofErr w:type="gramStart"/>
      <w:r w:rsidRPr="00F80D58">
        <w:rPr>
          <w:sz w:val="24"/>
          <w:szCs w:val="20"/>
        </w:rPr>
        <w:t xml:space="preserve">в </w:t>
      </w:r>
      <w:proofErr w:type="spellStart"/>
      <w:r w:rsidRPr="00F80D58">
        <w:rPr>
          <w:sz w:val="24"/>
          <w:szCs w:val="20"/>
        </w:rPr>
        <w:t>в</w:t>
      </w:r>
      <w:proofErr w:type="spellEnd"/>
      <w:proofErr w:type="gramEnd"/>
      <w:r w:rsidRPr="00F80D58">
        <w:rPr>
          <w:sz w:val="24"/>
          <w:szCs w:val="20"/>
        </w:rPr>
        <w:t xml:space="preserve"> целом медленным ростом весь исследуемый период (на 4-5% населения). Наибольшие значения характерны для северных вахтовых регионов — ЯНАО и ХМАО, однако в них и наблюдался наименьший рост данного показателя. Сравнимые значения с общероссийскими показывает Челябинская, Свердловская и Тюменская области. Курганская область является как и первоначальным </w:t>
      </w:r>
      <w:proofErr w:type="spellStart"/>
      <w:r w:rsidRPr="00F80D58">
        <w:rPr>
          <w:sz w:val="24"/>
          <w:szCs w:val="20"/>
        </w:rPr>
        <w:t>антилидером</w:t>
      </w:r>
      <w:proofErr w:type="spellEnd"/>
      <w:r w:rsidRPr="00F80D58">
        <w:rPr>
          <w:sz w:val="24"/>
          <w:szCs w:val="20"/>
        </w:rPr>
        <w:t xml:space="preserve"> по значению доли занятых, так и регионом с отрицательной динамикой — снижением занятости на 3,1%.</w:t>
      </w:r>
    </w:p>
    <w:p w14:paraId="00FE810B" w14:textId="331CE64A" w:rsidR="00D31C2C" w:rsidRPr="00F80D58" w:rsidRDefault="00D31C2C" w:rsidP="00F80D58">
      <w:pPr>
        <w:pStyle w:val="af0"/>
        <w:spacing w:after="0" w:line="360" w:lineRule="auto"/>
        <w:jc w:val="both"/>
        <w:rPr>
          <w:sz w:val="24"/>
          <w:szCs w:val="20"/>
        </w:rPr>
      </w:pPr>
      <w:r>
        <w:rPr>
          <w:noProof/>
        </w:rPr>
        <w:drawing>
          <wp:inline distT="0" distB="0" distL="0" distR="0" wp14:anchorId="76BB629F" wp14:editId="619DCF18">
            <wp:extent cx="5940425" cy="2739390"/>
            <wp:effectExtent l="0" t="0" r="3175" b="3810"/>
            <wp:docPr id="5042338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9EE005" w14:textId="77777777" w:rsidR="00F80D58" w:rsidRPr="00F80D58" w:rsidRDefault="00F80D58" w:rsidP="00F80D58">
      <w:pPr>
        <w:pStyle w:val="af0"/>
        <w:spacing w:after="0" w:line="360" w:lineRule="auto"/>
        <w:jc w:val="both"/>
        <w:rPr>
          <w:sz w:val="24"/>
          <w:szCs w:val="20"/>
        </w:rPr>
      </w:pPr>
      <w:r w:rsidRPr="00F80D58">
        <w:rPr>
          <w:sz w:val="24"/>
          <w:szCs w:val="20"/>
        </w:rPr>
        <w:t>Рис. 29. Динамика доли населения, занятого в экономике (в %).</w:t>
      </w:r>
    </w:p>
    <w:p w14:paraId="5605171A" w14:textId="77777777" w:rsidR="00F80D58" w:rsidRDefault="00F80D58" w:rsidP="00D31C2C">
      <w:pPr>
        <w:pStyle w:val="af0"/>
        <w:spacing w:after="0" w:line="360" w:lineRule="auto"/>
        <w:ind w:firstLine="720"/>
        <w:jc w:val="both"/>
        <w:rPr>
          <w:sz w:val="24"/>
          <w:szCs w:val="20"/>
        </w:rPr>
      </w:pPr>
      <w:r w:rsidRPr="00F80D58">
        <w:rPr>
          <w:sz w:val="24"/>
          <w:szCs w:val="20"/>
        </w:rPr>
        <w:t xml:space="preserve">Показатель безработицы является важным показателем социальной сферы, который отражает процентное соотношение лиц, не имеющих работу, к общему числу трудоспособного населения. Этот показатель позволяет оценить уровень безработицы и экономическую стабильность в регионах Уральского федерального округа в постсоветской динамике. Показатель безработицы аналогично измеряется в процентах. Показатель имеет тренд к своему снижению с локальными пиками, связанными с кризисными периодами. В целом, Уральский регион более чувствителен к кризисным периодам — значение показателя растёт сильнее, чем для общероссийского масштаба, особенно это заметно не в вахтовых регионах — Свердловской, Курганской и Челябинской областей. Без учёта кризисных периодов в последнее десятилетие регионами с наименьшей безработицей стали автономные округа и Тюменская область — хотя в 1995-1997 годах показатели данных регионов были близки к значениям Свердловской и </w:t>
      </w:r>
      <w:r w:rsidRPr="00F80D58">
        <w:rPr>
          <w:sz w:val="24"/>
          <w:szCs w:val="20"/>
        </w:rPr>
        <w:lastRenderedPageBreak/>
        <w:t>Челябинской областей — но последние два региона не смогли добиться такого же снижения уровня безработицы.</w:t>
      </w:r>
    </w:p>
    <w:p w14:paraId="7CFDDFDD" w14:textId="743163CE" w:rsidR="00D31C2C" w:rsidRPr="00F80D58" w:rsidRDefault="00D31C2C" w:rsidP="00F80D58">
      <w:pPr>
        <w:pStyle w:val="af0"/>
        <w:spacing w:after="0" w:line="360" w:lineRule="auto"/>
        <w:jc w:val="both"/>
        <w:rPr>
          <w:sz w:val="24"/>
          <w:szCs w:val="20"/>
        </w:rPr>
      </w:pPr>
      <w:r>
        <w:rPr>
          <w:noProof/>
        </w:rPr>
        <w:drawing>
          <wp:inline distT="0" distB="0" distL="0" distR="0" wp14:anchorId="25CED524" wp14:editId="4C498B94">
            <wp:extent cx="5940425" cy="3165475"/>
            <wp:effectExtent l="0" t="0" r="3175" b="15875"/>
            <wp:docPr id="20721978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C5420E1" w14:textId="77777777" w:rsidR="00F80D58" w:rsidRPr="00F80D58" w:rsidRDefault="00F80D58" w:rsidP="00F80D58">
      <w:pPr>
        <w:pStyle w:val="af0"/>
        <w:spacing w:after="0" w:line="360" w:lineRule="auto"/>
        <w:jc w:val="both"/>
        <w:rPr>
          <w:sz w:val="24"/>
          <w:szCs w:val="20"/>
        </w:rPr>
      </w:pPr>
      <w:r w:rsidRPr="00F80D58">
        <w:rPr>
          <w:sz w:val="24"/>
          <w:szCs w:val="20"/>
        </w:rPr>
        <w:t>Рис. 30. Динамика уровня безработицы (в %).</w:t>
      </w:r>
    </w:p>
    <w:p w14:paraId="627E28CF" w14:textId="77777777" w:rsidR="00F80D58" w:rsidRPr="00F80D58" w:rsidRDefault="00F80D58" w:rsidP="00F80D58">
      <w:pPr>
        <w:pStyle w:val="af0"/>
        <w:spacing w:after="0" w:line="360" w:lineRule="auto"/>
        <w:jc w:val="both"/>
        <w:rPr>
          <w:sz w:val="24"/>
          <w:szCs w:val="20"/>
        </w:rPr>
      </w:pPr>
      <w:r w:rsidRPr="00F80D58">
        <w:rPr>
          <w:sz w:val="24"/>
          <w:szCs w:val="20"/>
        </w:rPr>
        <w:t>Динамику коэффициента Джини можно рассмотреть на рисунке 31</w:t>
      </w:r>
    </w:p>
    <w:p w14:paraId="1CF07B92" w14:textId="77777777" w:rsidR="00F80D58" w:rsidRPr="00F80D58" w:rsidRDefault="00F80D58" w:rsidP="00D31C2C">
      <w:pPr>
        <w:pStyle w:val="af0"/>
        <w:spacing w:after="0" w:line="360" w:lineRule="auto"/>
        <w:ind w:firstLine="720"/>
        <w:jc w:val="both"/>
        <w:rPr>
          <w:sz w:val="24"/>
          <w:szCs w:val="20"/>
        </w:rPr>
      </w:pPr>
      <w:r w:rsidRPr="00F80D58">
        <w:rPr>
          <w:sz w:val="24"/>
          <w:szCs w:val="20"/>
        </w:rPr>
        <w:t>Для всей страны этот показатель достиг 0,409 к 2021 году, в то время как для уральского региона этот показатель значительно меньше, что говорит о более равном распределении богатств населением. Высокий коэффициент Джини указывает на значительное неравенство в распределении доходов или богатства, что может иметь негативные последствия для социальной стабильности и экономического развития. В то же время, низкий коэффициент Джини свидетельствует о более равномерном распределении ресурсов, что способствует социальной справедливости и экономической устойчивости.</w:t>
      </w:r>
    </w:p>
    <w:p w14:paraId="50C158DE" w14:textId="77777777" w:rsidR="00F80D58" w:rsidRDefault="00F80D58" w:rsidP="00D31C2C">
      <w:pPr>
        <w:pStyle w:val="af0"/>
        <w:spacing w:after="0" w:line="360" w:lineRule="auto"/>
        <w:ind w:firstLine="720"/>
        <w:jc w:val="both"/>
        <w:rPr>
          <w:sz w:val="24"/>
          <w:szCs w:val="20"/>
        </w:rPr>
      </w:pPr>
      <w:r w:rsidRPr="00F80D58">
        <w:rPr>
          <w:sz w:val="24"/>
          <w:szCs w:val="20"/>
        </w:rPr>
        <w:t xml:space="preserve">Измерение и анализ коэффициента Джини позволяет оценить эффективность политики социального равенства и принимать меры для уменьшения неравенства в обществе. Самые низкие значения показателя характерны для Курганской и Челябинской областей — 0,34 для данных регионов (аналогично низкими были показатели и в 2000 году- 0,32 и 0,3 соответственно). Другие регионы показали значительный рост неравенства и установили свои лидирующие позиции по значению коэффициента — ЯНАО (лидер с значением 0,44 в 2021 году), ХМАО (относительно слабая динамика показателя при изначально высокой разнице доходов, что можно объяснить уже долгой истории развитого добывающего сектора в регионе в отличие от ЯНАО), а также Свердловская область (с довольно низким показателем на начальный период, но при этом </w:t>
      </w:r>
      <w:r w:rsidRPr="00F80D58">
        <w:rPr>
          <w:sz w:val="24"/>
          <w:szCs w:val="20"/>
        </w:rPr>
        <w:lastRenderedPageBreak/>
        <w:t>значительной положительной динамикой неравенства — сказывается роль федерального центра).</w:t>
      </w:r>
    </w:p>
    <w:p w14:paraId="0E5C0FF8" w14:textId="77D6B267" w:rsidR="00D31C2C" w:rsidRPr="00F80D58" w:rsidRDefault="00D31C2C" w:rsidP="00F80D58">
      <w:pPr>
        <w:pStyle w:val="af0"/>
        <w:spacing w:after="0" w:line="360" w:lineRule="auto"/>
        <w:jc w:val="both"/>
        <w:rPr>
          <w:sz w:val="24"/>
          <w:szCs w:val="20"/>
        </w:rPr>
      </w:pPr>
      <w:r>
        <w:rPr>
          <w:noProof/>
        </w:rPr>
        <w:drawing>
          <wp:inline distT="0" distB="0" distL="0" distR="0" wp14:anchorId="02870CE3" wp14:editId="53F45380">
            <wp:extent cx="5940425" cy="4041775"/>
            <wp:effectExtent l="0" t="0" r="3175" b="15875"/>
            <wp:docPr id="10056040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7B2BC5" w14:textId="77777777" w:rsidR="00F80D58" w:rsidRPr="00F80D58" w:rsidRDefault="00F80D58" w:rsidP="00F80D58">
      <w:pPr>
        <w:pStyle w:val="af0"/>
        <w:spacing w:after="0" w:line="360" w:lineRule="auto"/>
        <w:jc w:val="both"/>
        <w:rPr>
          <w:sz w:val="24"/>
          <w:szCs w:val="20"/>
        </w:rPr>
      </w:pPr>
      <w:r w:rsidRPr="00F80D58">
        <w:rPr>
          <w:sz w:val="24"/>
          <w:szCs w:val="20"/>
        </w:rPr>
        <w:t>Рис. 31.  Динамика коэффициента Джини.</w:t>
      </w:r>
    </w:p>
    <w:p w14:paraId="244AE65B" w14:textId="77777777" w:rsidR="00F80D58" w:rsidRPr="00F80D58" w:rsidRDefault="00F80D58" w:rsidP="00D31C2C">
      <w:pPr>
        <w:spacing w:after="0" w:line="360" w:lineRule="auto"/>
        <w:ind w:firstLine="720"/>
        <w:jc w:val="both"/>
        <w:rPr>
          <w:sz w:val="24"/>
          <w:szCs w:val="24"/>
        </w:rPr>
      </w:pPr>
      <w:r w:rsidRPr="00F80D58">
        <w:rPr>
          <w:sz w:val="24"/>
          <w:szCs w:val="24"/>
        </w:rPr>
        <w:t xml:space="preserve">Последние два социальных показателя связаны со сферой здравоохранения — это количество больничных мест (коек) и работников медицинского персонала. Для сравнения показателей с учётом численности населения были </w:t>
      </w:r>
      <w:proofErr w:type="spellStart"/>
      <w:r w:rsidRPr="00F80D58">
        <w:rPr>
          <w:sz w:val="24"/>
          <w:szCs w:val="24"/>
        </w:rPr>
        <w:t>расчитаны</w:t>
      </w:r>
      <w:proofErr w:type="spellEnd"/>
      <w:r w:rsidRPr="00F80D58">
        <w:rPr>
          <w:sz w:val="24"/>
          <w:szCs w:val="24"/>
        </w:rPr>
        <w:t xml:space="preserve"> показатели нагрузки (среднее количество человек на одно место или работника).</w:t>
      </w:r>
    </w:p>
    <w:p w14:paraId="6873F6F7" w14:textId="77777777" w:rsidR="00F80D58" w:rsidRPr="00F80D58" w:rsidRDefault="00F80D58" w:rsidP="00D31C2C">
      <w:pPr>
        <w:spacing w:after="0" w:line="360" w:lineRule="auto"/>
        <w:ind w:firstLine="720"/>
        <w:jc w:val="both"/>
        <w:rPr>
          <w:sz w:val="24"/>
          <w:szCs w:val="24"/>
        </w:rPr>
      </w:pPr>
      <w:r w:rsidRPr="00F80D58">
        <w:rPr>
          <w:sz w:val="24"/>
          <w:szCs w:val="24"/>
        </w:rPr>
        <w:t xml:space="preserve">На рисунке 32 можно увидеть, что показатель нагрузки на одну больничную койку — показатель для Уральского федерального округа за весь период сравним с общероссийским (различие между показателями за рассматриваемые годы варьируется до 4%). Оба показателя растут весь рассматриваемый период, увеличив нагрузку на больничное место с 73 и 74 человек до 125 и 121 (общероссийский и </w:t>
      </w:r>
      <w:proofErr w:type="spellStart"/>
      <w:r w:rsidRPr="00F80D58">
        <w:rPr>
          <w:sz w:val="24"/>
          <w:szCs w:val="24"/>
        </w:rPr>
        <w:t>общеуральский</w:t>
      </w:r>
      <w:proofErr w:type="spellEnd"/>
      <w:r w:rsidRPr="00F80D58">
        <w:rPr>
          <w:sz w:val="24"/>
          <w:szCs w:val="24"/>
        </w:rPr>
        <w:t xml:space="preserve"> показатель соответственно), при этом для уральских регионов наибольшие значения характерны не для 2021 года, а несколько ранее — 2018-2020 гг.</w:t>
      </w:r>
    </w:p>
    <w:p w14:paraId="43D64DA1" w14:textId="77777777" w:rsidR="00F80D58" w:rsidRPr="00F80D58" w:rsidRDefault="00F80D58" w:rsidP="00D31C2C">
      <w:pPr>
        <w:spacing w:after="0" w:line="360" w:lineRule="auto"/>
        <w:ind w:firstLine="720"/>
        <w:jc w:val="both"/>
        <w:rPr>
          <w:sz w:val="24"/>
          <w:szCs w:val="24"/>
        </w:rPr>
      </w:pPr>
      <w:r w:rsidRPr="00F80D58">
        <w:rPr>
          <w:sz w:val="24"/>
          <w:szCs w:val="24"/>
        </w:rPr>
        <w:t xml:space="preserve">Регионы с наибольшей нагрузкой на койку за весь исследуемый период — Тюменская область (за последние пять лет средний показатель нагрузки держался на уровне 132-147 человек, что говорит о росте нагрузки за 31 год на 84%). Высокими значениями отличается Челябинская область (рост нагрузки на 75% до 126  человек в 2021 году), а также ХМАО и ЯНАО (для двух регионов значения нагрузки и их динамика </w:t>
      </w:r>
      <w:r w:rsidRPr="00F80D58">
        <w:rPr>
          <w:sz w:val="24"/>
          <w:szCs w:val="24"/>
        </w:rPr>
        <w:lastRenderedPageBreak/>
        <w:t>схожи, хотя второй характеризовался меньшей нагрузкой в 1990-х и 2000-х годах) — в 2021 году показатели для автономных округов приблизилось к значениям Тюменской области, при этом давно превышают показатели Челябинской при более низком относительном росте показателя — объясняется это изначально более высокой нагрузкой на больничные койки в северных регионах с начала постсоветского периода.</w:t>
      </w:r>
    </w:p>
    <w:p w14:paraId="0F6CE28C" w14:textId="77777777" w:rsidR="00F80D58" w:rsidRDefault="00F80D58" w:rsidP="00D31C2C">
      <w:pPr>
        <w:spacing w:after="0" w:line="360" w:lineRule="auto"/>
        <w:ind w:firstLine="720"/>
        <w:jc w:val="both"/>
        <w:rPr>
          <w:sz w:val="24"/>
          <w:szCs w:val="24"/>
        </w:rPr>
      </w:pPr>
      <w:r w:rsidRPr="00F80D58">
        <w:rPr>
          <w:sz w:val="24"/>
          <w:szCs w:val="24"/>
        </w:rPr>
        <w:t>Наименьшими показателями абсолютного и относительного изменения нагрузки на больничную инфраструктуры отличаются Свердловская и Курганская области — при изначально низком показателе, ниже общероссийского (70 человек на место), они сохранили своё положение регионов УрФО с наименее загруженной сферой здравоохранения — в 2021 году показатель составил 102 для Курганской и 112 для Свердловской областей — что значительно ниже современных показателей на уровне страны и может объясняться сокращением населения при сохранении больничных мест в отличие от Челябинской области.</w:t>
      </w:r>
    </w:p>
    <w:p w14:paraId="72F44CA6" w14:textId="5C762C5C" w:rsidR="00D31C2C" w:rsidRPr="00F80D58" w:rsidRDefault="00D31C2C" w:rsidP="00F80D58">
      <w:pPr>
        <w:spacing w:after="0" w:line="360" w:lineRule="auto"/>
        <w:jc w:val="both"/>
        <w:rPr>
          <w:sz w:val="24"/>
          <w:szCs w:val="24"/>
        </w:rPr>
      </w:pPr>
      <w:r>
        <w:rPr>
          <w:noProof/>
        </w:rPr>
        <w:drawing>
          <wp:inline distT="0" distB="0" distL="0" distR="0" wp14:anchorId="3C90BC8F" wp14:editId="3807123B">
            <wp:extent cx="5940425" cy="4472940"/>
            <wp:effectExtent l="0" t="0" r="3175" b="3810"/>
            <wp:docPr id="10955362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3BCC28" w14:textId="77777777" w:rsidR="00F80D58" w:rsidRPr="00F80D58" w:rsidRDefault="00F80D58" w:rsidP="00F80D58">
      <w:pPr>
        <w:spacing w:after="0" w:line="360" w:lineRule="auto"/>
        <w:jc w:val="both"/>
        <w:rPr>
          <w:sz w:val="24"/>
          <w:szCs w:val="24"/>
        </w:rPr>
      </w:pPr>
      <w:r w:rsidRPr="00F80D58">
        <w:rPr>
          <w:sz w:val="24"/>
          <w:szCs w:val="24"/>
        </w:rPr>
        <w:t>Рис. 32. Нагрузка населения на одно больничное место (койко-мест на работника).</w:t>
      </w:r>
    </w:p>
    <w:p w14:paraId="1413F652" w14:textId="77777777" w:rsidR="00F80D58" w:rsidRDefault="00F80D58" w:rsidP="00D31C2C">
      <w:pPr>
        <w:spacing w:after="0" w:line="360" w:lineRule="auto"/>
        <w:ind w:firstLine="720"/>
        <w:jc w:val="both"/>
        <w:rPr>
          <w:sz w:val="24"/>
          <w:szCs w:val="24"/>
        </w:rPr>
      </w:pPr>
      <w:r w:rsidRPr="00F80D58">
        <w:rPr>
          <w:sz w:val="24"/>
          <w:szCs w:val="24"/>
        </w:rPr>
        <w:t xml:space="preserve">Второй показатель, описывающий состояние сферы здравоохранения — нагрузка на одного работника среднего медицинского персонала (рисунок 33). Показатель аналогично прошлому растёт, но уже не в таких больших относительных значениях — </w:t>
      </w:r>
      <w:proofErr w:type="spellStart"/>
      <w:r w:rsidRPr="00F80D58">
        <w:rPr>
          <w:sz w:val="24"/>
          <w:szCs w:val="24"/>
        </w:rPr>
        <w:t>общеуральский</w:t>
      </w:r>
      <w:proofErr w:type="spellEnd"/>
      <w:r w:rsidRPr="00F80D58">
        <w:rPr>
          <w:sz w:val="24"/>
          <w:szCs w:val="24"/>
        </w:rPr>
        <w:t xml:space="preserve"> показатель вырос с 82 человек на медицинского работника в 1991 до 90 в </w:t>
      </w:r>
      <w:r w:rsidRPr="00F80D58">
        <w:rPr>
          <w:sz w:val="24"/>
          <w:szCs w:val="24"/>
        </w:rPr>
        <w:lastRenderedPageBreak/>
        <w:t>2021 году, что значительно меньше роста данного показателя для всей России (в 2021 году — 99 человек). Регионом с наибольшей нагрузкой можно назвать Челябинскую область, которая в период 1991-1998 уступала первое место Тюменской, однако в последующий период лидировала и имела наибольшие показатели роста — для 2021 года показатель Челябинской области составил 104 человека — в то время как для второго места, Свердловской области, нагрузка в которой достигла только 93. Наименьшая нагрузка на медицинский персонал характерна для автономных округов, где показатель намного ниже среднероссийского в современный период (70 для ХМАО и 66 человек для ЯНАО), при довольно высоких значениях в начале постсоветского периода — такая разница с предыдущим показателем объясняется связанностью обеспеченности медицинским персоналом также прибывающим населением, среди которого будут новые специалисты, а также северными условиями и более высокой нуждой в работниках сферы здравоохранения.</w:t>
      </w:r>
    </w:p>
    <w:p w14:paraId="2AB415D9" w14:textId="09B320FE" w:rsidR="00D31C2C" w:rsidRPr="00F80D58" w:rsidRDefault="00D31C2C" w:rsidP="00F80D58">
      <w:pPr>
        <w:spacing w:after="0" w:line="360" w:lineRule="auto"/>
        <w:jc w:val="both"/>
        <w:rPr>
          <w:sz w:val="24"/>
          <w:szCs w:val="24"/>
        </w:rPr>
      </w:pPr>
      <w:r>
        <w:rPr>
          <w:noProof/>
        </w:rPr>
        <w:drawing>
          <wp:inline distT="0" distB="0" distL="0" distR="0" wp14:anchorId="38057189" wp14:editId="4CD98C5A">
            <wp:extent cx="5940425" cy="4030980"/>
            <wp:effectExtent l="0" t="0" r="3175" b="7620"/>
            <wp:docPr id="10571681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DD6ED2" w14:textId="77777777" w:rsidR="00F80D58" w:rsidRPr="00F80D58" w:rsidRDefault="00F80D58" w:rsidP="00F80D58">
      <w:pPr>
        <w:spacing w:after="0" w:line="360" w:lineRule="auto"/>
        <w:jc w:val="both"/>
        <w:rPr>
          <w:sz w:val="24"/>
          <w:szCs w:val="24"/>
        </w:rPr>
      </w:pPr>
      <w:r w:rsidRPr="00F80D58">
        <w:rPr>
          <w:sz w:val="24"/>
          <w:szCs w:val="24"/>
        </w:rPr>
        <w:t>Рис. 33. Нагрузка населения на медицинского персонала (человек на работника).</w:t>
      </w:r>
    </w:p>
    <w:p w14:paraId="35F14F9F" w14:textId="77777777" w:rsidR="00F80D58" w:rsidRPr="00F80D58" w:rsidRDefault="00F80D58" w:rsidP="00F80D58">
      <w:pPr>
        <w:jc w:val="both"/>
        <w:rPr>
          <w:sz w:val="24"/>
          <w:szCs w:val="24"/>
        </w:rPr>
      </w:pPr>
    </w:p>
    <w:p w14:paraId="05885EBB" w14:textId="77777777" w:rsidR="00F80D58" w:rsidRPr="00F80D58" w:rsidRDefault="00F80D58" w:rsidP="00F80D58">
      <w:pPr>
        <w:jc w:val="both"/>
        <w:rPr>
          <w:sz w:val="24"/>
          <w:szCs w:val="24"/>
        </w:rPr>
      </w:pPr>
    </w:p>
    <w:p w14:paraId="5BA6E8D9" w14:textId="2B937A6F" w:rsidR="00F80D58" w:rsidRPr="00F80D58" w:rsidRDefault="00F80D58" w:rsidP="00F80D58">
      <w:pPr>
        <w:jc w:val="both"/>
        <w:rPr>
          <w:sz w:val="24"/>
          <w:szCs w:val="24"/>
        </w:rPr>
      </w:pPr>
    </w:p>
    <w:p w14:paraId="2D3FC086" w14:textId="2302556A" w:rsidR="00F80D58" w:rsidRPr="00F80D58" w:rsidRDefault="00F80D58" w:rsidP="00F80D58">
      <w:pPr>
        <w:jc w:val="both"/>
        <w:rPr>
          <w:sz w:val="24"/>
          <w:szCs w:val="24"/>
        </w:rPr>
      </w:pPr>
    </w:p>
    <w:p w14:paraId="3D70F5C0" w14:textId="528A8CF6" w:rsidR="00755F65" w:rsidRPr="00C02501" w:rsidRDefault="00F80D58" w:rsidP="00C02501">
      <w:pPr>
        <w:pStyle w:val="1"/>
        <w:jc w:val="center"/>
        <w:rPr>
          <w:sz w:val="28"/>
          <w:szCs w:val="28"/>
        </w:rPr>
      </w:pPr>
      <w:r w:rsidRPr="00F80D58">
        <w:rPr>
          <w:sz w:val="22"/>
          <w:szCs w:val="22"/>
        </w:rPr>
        <w:br w:type="page"/>
      </w:r>
      <w:bookmarkStart w:id="19" w:name="_Toc136642364"/>
      <w:r w:rsidR="00755F65" w:rsidRPr="00C02501">
        <w:rPr>
          <w:sz w:val="28"/>
          <w:szCs w:val="28"/>
        </w:rPr>
        <w:lastRenderedPageBreak/>
        <w:t>Глава 3. Дифференциация уровня социально-экономического развития регионов Уральского ФО Российской Федерации</w:t>
      </w:r>
      <w:bookmarkEnd w:id="19"/>
    </w:p>
    <w:p w14:paraId="0A4D5166" w14:textId="7463A0D1" w:rsidR="00755F65" w:rsidRPr="00C02501" w:rsidRDefault="00755F65" w:rsidP="00C02501">
      <w:pPr>
        <w:pStyle w:val="2"/>
        <w:jc w:val="center"/>
        <w:rPr>
          <w:b w:val="0"/>
          <w:i w:val="0"/>
        </w:rPr>
      </w:pPr>
      <w:bookmarkStart w:id="20" w:name="_Toc136642365"/>
      <w:r w:rsidRPr="00C02501">
        <w:rPr>
          <w:b w:val="0"/>
          <w:i w:val="0"/>
        </w:rPr>
        <w:t>3.1. Сравнительные показатели развития социально-экономического развития</w:t>
      </w:r>
      <w:bookmarkEnd w:id="20"/>
    </w:p>
    <w:p w14:paraId="37BE2FC8" w14:textId="77777777" w:rsidR="00755F65" w:rsidRPr="00755F65" w:rsidRDefault="00755F65" w:rsidP="00C02501">
      <w:pPr>
        <w:spacing w:after="0" w:line="360" w:lineRule="auto"/>
        <w:ind w:firstLine="851"/>
        <w:jc w:val="both"/>
        <w:rPr>
          <w:sz w:val="24"/>
          <w:szCs w:val="24"/>
        </w:rPr>
      </w:pPr>
      <w:r w:rsidRPr="00755F65">
        <w:rPr>
          <w:sz w:val="24"/>
          <w:szCs w:val="24"/>
        </w:rPr>
        <w:t>Для определения значения дифференциации для развития регионов необходимо ее оценить по параметру коэффициента вариации и частных линейных отклонений, в отдельных случаях для неочевидных закономерностей нужно использовать такие параметры как коэффициент осцилляции, размах вариации, коэффициент разрыва полярных значений.</w:t>
      </w:r>
    </w:p>
    <w:p w14:paraId="163BDB75" w14:textId="77777777" w:rsidR="00755F65" w:rsidRPr="00755F65" w:rsidRDefault="00755F65" w:rsidP="00C02501">
      <w:pPr>
        <w:spacing w:after="0" w:line="360" w:lineRule="auto"/>
        <w:ind w:firstLine="851"/>
        <w:rPr>
          <w:sz w:val="24"/>
          <w:szCs w:val="24"/>
        </w:rPr>
      </w:pPr>
      <w:r w:rsidRPr="00755F65">
        <w:rPr>
          <w:sz w:val="24"/>
          <w:szCs w:val="24"/>
        </w:rPr>
        <w:t xml:space="preserve">Для измерения частных отклонений предлагается использовать среднее значение по стране в качестве опорного показателя. Такой подход позволяет учесть общий тренд и сравнить уровень развития региона с общим развитием страны. Использование среднего по стране позволяет оценить динамику изменения показателей. Например, если показатели региона постоянно растут и относительный рост высокий, это не всегда гарантирует значительное улучшение положения региона. Возможно, что на фоне общего развития средних показателей в России, изменение значений в регионе оказывается незначительным. Таким образом, относительное положение региона может оставаться на том же уровне или даже снижаться. Такой подход позволяет более объективно оценить динамичность развития региона и его положение относительно других регионов страны. </w:t>
      </w:r>
    </w:p>
    <w:p w14:paraId="115EDC24" w14:textId="77777777" w:rsidR="00755F65" w:rsidRPr="00755F65" w:rsidRDefault="00755F65" w:rsidP="00755F65">
      <w:pPr>
        <w:spacing w:after="0" w:line="360" w:lineRule="auto"/>
        <w:ind w:firstLine="851"/>
        <w:rPr>
          <w:sz w:val="24"/>
          <w:szCs w:val="24"/>
        </w:rPr>
      </w:pPr>
      <w:r w:rsidRPr="00755F65">
        <w:rPr>
          <w:sz w:val="24"/>
          <w:szCs w:val="24"/>
        </w:rPr>
        <w:t xml:space="preserve">Коэффициент вариации показывает общую </w:t>
      </w:r>
      <w:proofErr w:type="spellStart"/>
      <w:r w:rsidRPr="00755F65">
        <w:rPr>
          <w:sz w:val="24"/>
          <w:szCs w:val="24"/>
        </w:rPr>
        <w:t>колеблемость</w:t>
      </w:r>
      <w:proofErr w:type="spellEnd"/>
      <w:r w:rsidRPr="00755F65">
        <w:rPr>
          <w:sz w:val="24"/>
          <w:szCs w:val="24"/>
        </w:rPr>
        <w:t xml:space="preserve"> значений внутри федерального округа, что дает возможность оценить рассеивание значений относительно Российских показателей. Исследуемые данные должны иметь относительный вид, поскольку регионы совершенно различаются по многим параметрам, что было показано в предыдущих параграфах. </w:t>
      </w:r>
    </w:p>
    <w:p w14:paraId="7F30133C" w14:textId="0CACEE97" w:rsidR="00755F65" w:rsidRPr="00755F65" w:rsidRDefault="00755F65" w:rsidP="00755F65">
      <w:pPr>
        <w:spacing w:after="0" w:line="360" w:lineRule="auto"/>
        <w:ind w:firstLine="851"/>
        <w:rPr>
          <w:sz w:val="24"/>
          <w:szCs w:val="24"/>
        </w:rPr>
      </w:pPr>
      <w:r w:rsidRPr="00755F65">
        <w:rPr>
          <w:sz w:val="24"/>
          <w:szCs w:val="24"/>
        </w:rPr>
        <w:t xml:space="preserve">Для численности населения наиболее правильно использовать изменение численности к предыдущему периоду, использовать за относительный показатель плотность населения неверно, поскольку знаменатель этого показателя константен во всех регионах, а значит различия будут носить тот же характер, что и численность населения, что некорректно ввиду очевидных различий. Так как ноль в данном случае является значимым, но среднее может быть отрицательным, то предлагается брать модуль коэффициента вариации. Динамика коэффициента </w:t>
      </w:r>
      <w:r w:rsidRPr="00C805DA">
        <w:rPr>
          <w:sz w:val="24"/>
          <w:szCs w:val="24"/>
        </w:rPr>
        <w:t>представлена на рис</w:t>
      </w:r>
      <w:r w:rsidR="00C805DA" w:rsidRPr="00C805DA">
        <w:rPr>
          <w:sz w:val="24"/>
          <w:szCs w:val="24"/>
        </w:rPr>
        <w:t>.</w:t>
      </w:r>
      <w:r w:rsidR="00F80D58" w:rsidRPr="00C805DA">
        <w:rPr>
          <w:sz w:val="24"/>
          <w:szCs w:val="24"/>
        </w:rPr>
        <w:t xml:space="preserve"> 34</w:t>
      </w:r>
      <w:r w:rsidRPr="00C805DA">
        <w:rPr>
          <w:sz w:val="24"/>
          <w:szCs w:val="24"/>
        </w:rPr>
        <w:t>.</w:t>
      </w:r>
    </w:p>
    <w:p w14:paraId="725EF3E8" w14:textId="7DF7C899" w:rsidR="00755F65" w:rsidRPr="00755F65" w:rsidRDefault="00755F65" w:rsidP="00755F65">
      <w:pPr>
        <w:spacing w:after="0" w:line="360" w:lineRule="auto"/>
        <w:rPr>
          <w:sz w:val="24"/>
          <w:szCs w:val="24"/>
        </w:rPr>
      </w:pPr>
      <w:r w:rsidRPr="00755F65">
        <w:rPr>
          <w:noProof/>
          <w:sz w:val="24"/>
          <w:szCs w:val="24"/>
        </w:rPr>
        <w:lastRenderedPageBreak/>
        <w:drawing>
          <wp:inline distT="0" distB="0" distL="0" distR="0" wp14:anchorId="130777D9" wp14:editId="3BCE8CAE">
            <wp:extent cx="5962650" cy="2286000"/>
            <wp:effectExtent l="0" t="0" r="0" b="0"/>
            <wp:docPr id="11568565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EFF1BD" w14:textId="41B56C08" w:rsidR="00F80D58" w:rsidRDefault="00F80D58" w:rsidP="00755F65">
      <w:pPr>
        <w:spacing w:after="0" w:line="360" w:lineRule="auto"/>
        <w:ind w:firstLine="851"/>
        <w:rPr>
          <w:sz w:val="24"/>
          <w:szCs w:val="24"/>
        </w:rPr>
      </w:pPr>
      <w:r>
        <w:rPr>
          <w:sz w:val="24"/>
          <w:szCs w:val="24"/>
        </w:rPr>
        <w:t xml:space="preserve">Рис. </w:t>
      </w:r>
      <w:proofErr w:type="gramStart"/>
      <w:r>
        <w:rPr>
          <w:sz w:val="24"/>
          <w:szCs w:val="24"/>
        </w:rPr>
        <w:t>34.Коэффициент</w:t>
      </w:r>
      <w:proofErr w:type="gramEnd"/>
      <w:r>
        <w:rPr>
          <w:sz w:val="24"/>
          <w:szCs w:val="24"/>
        </w:rPr>
        <w:t xml:space="preserve"> вариации изменения численности населения</w:t>
      </w:r>
    </w:p>
    <w:p w14:paraId="3FC00916" w14:textId="48AAC4A2" w:rsidR="00755F65" w:rsidRPr="00755F65" w:rsidRDefault="00755F65" w:rsidP="00755F65">
      <w:pPr>
        <w:spacing w:after="0" w:line="360" w:lineRule="auto"/>
        <w:ind w:firstLine="851"/>
        <w:rPr>
          <w:sz w:val="24"/>
          <w:szCs w:val="24"/>
        </w:rPr>
      </w:pPr>
      <w:r w:rsidRPr="00755F65">
        <w:rPr>
          <w:sz w:val="24"/>
          <w:szCs w:val="24"/>
        </w:rPr>
        <w:t xml:space="preserve">Коэффициент вариации изменения численности населения показывает значительный разброс значений во всей динамике. Такие изменения населения показывают, что динамика населения регионов УрФО не однородна. Для рассмотрения динамики населения каждого региона необходимо обратиться к частным линейным отклонениям </w:t>
      </w:r>
      <w:r w:rsidRPr="00C805DA">
        <w:rPr>
          <w:sz w:val="24"/>
          <w:szCs w:val="24"/>
        </w:rPr>
        <w:t>на рис</w:t>
      </w:r>
      <w:r w:rsidR="00F80D58" w:rsidRPr="00C805DA">
        <w:rPr>
          <w:sz w:val="24"/>
          <w:szCs w:val="24"/>
        </w:rPr>
        <w:t xml:space="preserve">. </w:t>
      </w:r>
      <w:r w:rsidR="00C805DA" w:rsidRPr="00C805DA">
        <w:rPr>
          <w:sz w:val="24"/>
          <w:szCs w:val="24"/>
        </w:rPr>
        <w:t>3</w:t>
      </w:r>
      <w:r w:rsidR="00F80D58" w:rsidRPr="00C805DA">
        <w:rPr>
          <w:sz w:val="24"/>
          <w:szCs w:val="24"/>
        </w:rPr>
        <w:t>5</w:t>
      </w:r>
      <w:r w:rsidRPr="00C805DA">
        <w:rPr>
          <w:sz w:val="24"/>
          <w:szCs w:val="24"/>
        </w:rPr>
        <w:t>.</w:t>
      </w:r>
    </w:p>
    <w:p w14:paraId="452969EF" w14:textId="164D6F46" w:rsidR="00755F65" w:rsidRPr="00755F65" w:rsidRDefault="00755F65" w:rsidP="00755F65">
      <w:pPr>
        <w:spacing w:after="0" w:line="360" w:lineRule="auto"/>
        <w:rPr>
          <w:sz w:val="24"/>
          <w:szCs w:val="24"/>
        </w:rPr>
      </w:pPr>
      <w:r w:rsidRPr="00755F65">
        <w:rPr>
          <w:noProof/>
          <w:sz w:val="24"/>
          <w:szCs w:val="24"/>
        </w:rPr>
        <w:drawing>
          <wp:inline distT="0" distB="0" distL="0" distR="0" wp14:anchorId="208D73AF" wp14:editId="4638CD08">
            <wp:extent cx="5962650" cy="2914650"/>
            <wp:effectExtent l="0" t="0" r="0" b="0"/>
            <wp:docPr id="19241951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D1C09A" w14:textId="2F46CDD8" w:rsidR="00755F65" w:rsidRPr="00755F65" w:rsidRDefault="00C805DA" w:rsidP="00755F65">
      <w:pPr>
        <w:spacing w:after="0" w:line="360" w:lineRule="auto"/>
        <w:rPr>
          <w:sz w:val="24"/>
          <w:szCs w:val="24"/>
        </w:rPr>
      </w:pPr>
      <w:r>
        <w:rPr>
          <w:sz w:val="24"/>
          <w:szCs w:val="24"/>
        </w:rPr>
        <w:t>Рис. 35. Коэффициент частного линейного отклонения регионов УрФО</w:t>
      </w:r>
    </w:p>
    <w:p w14:paraId="69D6B86C" w14:textId="77777777" w:rsidR="00755F65" w:rsidRPr="00755F65" w:rsidRDefault="00755F65" w:rsidP="00755F65">
      <w:pPr>
        <w:spacing w:after="0" w:line="360" w:lineRule="auto"/>
        <w:ind w:firstLine="851"/>
        <w:rPr>
          <w:sz w:val="24"/>
          <w:szCs w:val="24"/>
        </w:rPr>
      </w:pPr>
      <w:r w:rsidRPr="00755F65">
        <w:rPr>
          <w:sz w:val="24"/>
          <w:szCs w:val="24"/>
        </w:rPr>
        <w:t xml:space="preserve">Из графика видно, что имеются локальные увеличения размаха вариации (2008, 2010, 2017, 2019 года). наибольшие отличия динамики населения. Из вычисленных значений следует, что для всех регионов характерна цикличность, причем она синхронизирована, однако разнонаправленна: для Курганской, Свердловской, Челябинской областей характерно увеличение отставания от средних значений с 2005 г. по 2008 г., затем снижение отставания до 2015 г., после чего снова увеличение отставания до 2019 г. и резкое снижение к 2021 году. Для Тюменской области, Ханты-Мансийского и Ямало-Ненецкого автономных округов соответственно обратная картина: увеличение </w:t>
      </w:r>
      <w:r w:rsidRPr="00755F65">
        <w:rPr>
          <w:sz w:val="24"/>
          <w:szCs w:val="24"/>
        </w:rPr>
        <w:lastRenderedPageBreak/>
        <w:t>превышения до 2008 г., затем снижение различия до 2015 г., увеличение различий к 2019 г. и резкое снижение к 2021 г. Такие различия в динамике населения разделяют федеральный округ на 2 противоположных полюса.</w:t>
      </w:r>
    </w:p>
    <w:p w14:paraId="6D6DF753" w14:textId="40CE9F12" w:rsidR="00755F65" w:rsidRPr="00755F65" w:rsidRDefault="00755F65" w:rsidP="00755F65">
      <w:pPr>
        <w:spacing w:after="0" w:line="360" w:lineRule="auto"/>
        <w:ind w:firstLine="851"/>
        <w:rPr>
          <w:sz w:val="24"/>
          <w:szCs w:val="24"/>
        </w:rPr>
      </w:pPr>
      <w:r w:rsidRPr="00755F65">
        <w:rPr>
          <w:sz w:val="24"/>
          <w:szCs w:val="24"/>
        </w:rPr>
        <w:t xml:space="preserve">Коэффициент вариации демографической нагрузки относительно стабилен, изменяется в пределах 20,5% – 16,5%, что говорит о значительной дифференциации, что не отвергает однородность показателей. </w:t>
      </w:r>
      <w:proofErr w:type="spellStart"/>
      <w:r w:rsidRPr="00755F65">
        <w:rPr>
          <w:sz w:val="24"/>
          <w:szCs w:val="24"/>
        </w:rPr>
        <w:t>Диинамика</w:t>
      </w:r>
      <w:proofErr w:type="spellEnd"/>
      <w:r w:rsidRPr="00755F65">
        <w:rPr>
          <w:sz w:val="24"/>
          <w:szCs w:val="24"/>
        </w:rPr>
        <w:t xml:space="preserve"> коэффициен</w:t>
      </w:r>
      <w:r w:rsidRPr="00C805DA">
        <w:rPr>
          <w:sz w:val="24"/>
          <w:szCs w:val="24"/>
        </w:rPr>
        <w:t>та на рис.</w:t>
      </w:r>
      <w:r w:rsidR="00C805DA" w:rsidRPr="00C805DA">
        <w:rPr>
          <w:sz w:val="24"/>
          <w:szCs w:val="24"/>
        </w:rPr>
        <w:t xml:space="preserve"> 36</w:t>
      </w:r>
    </w:p>
    <w:p w14:paraId="2EB6212A" w14:textId="1CBDA802" w:rsidR="00755F65" w:rsidRDefault="00755F65" w:rsidP="00755F65">
      <w:pPr>
        <w:spacing w:after="0" w:line="360" w:lineRule="auto"/>
        <w:ind w:firstLine="851"/>
        <w:rPr>
          <w:sz w:val="24"/>
          <w:szCs w:val="24"/>
        </w:rPr>
      </w:pPr>
      <w:r w:rsidRPr="00755F65">
        <w:rPr>
          <w:noProof/>
          <w:sz w:val="24"/>
          <w:szCs w:val="24"/>
        </w:rPr>
        <w:drawing>
          <wp:inline distT="0" distB="0" distL="0" distR="0" wp14:anchorId="6D9BCEB9" wp14:editId="4A06D42E">
            <wp:extent cx="5049671" cy="2292824"/>
            <wp:effectExtent l="0" t="0" r="17780" b="12700"/>
            <wp:docPr id="15000429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F09BE0" w14:textId="40458A8D" w:rsidR="00C805DA" w:rsidRPr="00755F65" w:rsidRDefault="00C805DA" w:rsidP="00755F65">
      <w:pPr>
        <w:spacing w:after="0" w:line="360" w:lineRule="auto"/>
        <w:ind w:firstLine="851"/>
        <w:rPr>
          <w:sz w:val="24"/>
          <w:szCs w:val="24"/>
        </w:rPr>
      </w:pPr>
      <w:r>
        <w:rPr>
          <w:sz w:val="24"/>
          <w:szCs w:val="24"/>
        </w:rPr>
        <w:t>Рис. 36. Коэффициент демографической нагрузки.</w:t>
      </w:r>
    </w:p>
    <w:p w14:paraId="1C232565" w14:textId="77777777" w:rsidR="00755F65" w:rsidRPr="00755F65" w:rsidRDefault="00755F65" w:rsidP="00755F65">
      <w:pPr>
        <w:spacing w:after="0" w:line="360" w:lineRule="auto"/>
        <w:ind w:firstLine="851"/>
        <w:rPr>
          <w:sz w:val="24"/>
          <w:szCs w:val="24"/>
        </w:rPr>
      </w:pPr>
      <w:r w:rsidRPr="00755F65">
        <w:rPr>
          <w:sz w:val="24"/>
          <w:szCs w:val="24"/>
        </w:rPr>
        <w:t xml:space="preserve">Коэффициент частных линейных отклонения демографической нагрузки регионов </w:t>
      </w:r>
      <w:proofErr w:type="spellStart"/>
      <w:r w:rsidRPr="00755F65">
        <w:rPr>
          <w:sz w:val="24"/>
          <w:szCs w:val="24"/>
        </w:rPr>
        <w:t>сонаправлен</w:t>
      </w:r>
      <w:proofErr w:type="spellEnd"/>
      <w:r w:rsidRPr="00755F65">
        <w:rPr>
          <w:sz w:val="24"/>
          <w:szCs w:val="24"/>
        </w:rPr>
        <w:t xml:space="preserve"> в динамике, но имеют различные значения: Тюменская область, Ханты-Мансийский и Ямало-Ненецкий автономные округа имеют значения ниже среднероссийских, но значительно снизили различия. Челябинская, </w:t>
      </w:r>
      <w:proofErr w:type="spellStart"/>
      <w:r w:rsidRPr="00755F65">
        <w:rPr>
          <w:sz w:val="24"/>
          <w:szCs w:val="24"/>
        </w:rPr>
        <w:t>Сввердловская</w:t>
      </w:r>
      <w:proofErr w:type="spellEnd"/>
      <w:r w:rsidRPr="00755F65">
        <w:rPr>
          <w:sz w:val="24"/>
          <w:szCs w:val="24"/>
        </w:rPr>
        <w:t xml:space="preserve"> и Курганская области имеют значения выше средних, при этом значительно нарастив эти различия.</w:t>
      </w:r>
    </w:p>
    <w:p w14:paraId="0B5E6511" w14:textId="27E72AED" w:rsidR="00755F65" w:rsidRPr="00755F65" w:rsidRDefault="00755F65" w:rsidP="00755F65">
      <w:pPr>
        <w:spacing w:after="0" w:line="360" w:lineRule="auto"/>
        <w:ind w:firstLine="851"/>
        <w:rPr>
          <w:sz w:val="24"/>
          <w:szCs w:val="24"/>
        </w:rPr>
      </w:pPr>
      <w:r w:rsidRPr="00755F65">
        <w:rPr>
          <w:sz w:val="24"/>
          <w:szCs w:val="24"/>
        </w:rPr>
        <w:t>Коэффициент естественного прироста населени</w:t>
      </w:r>
      <w:r w:rsidRPr="00C805DA">
        <w:rPr>
          <w:sz w:val="24"/>
          <w:szCs w:val="24"/>
        </w:rPr>
        <w:t>я (рис</w:t>
      </w:r>
      <w:r w:rsidR="00C805DA" w:rsidRPr="00C805DA">
        <w:rPr>
          <w:sz w:val="24"/>
          <w:szCs w:val="24"/>
        </w:rPr>
        <w:t xml:space="preserve"> 37</w:t>
      </w:r>
      <w:r w:rsidRPr="00C805DA">
        <w:rPr>
          <w:sz w:val="24"/>
          <w:szCs w:val="24"/>
        </w:rPr>
        <w:t>)</w:t>
      </w:r>
      <w:r w:rsidRPr="00755F65">
        <w:rPr>
          <w:sz w:val="24"/>
          <w:szCs w:val="24"/>
        </w:rPr>
        <w:t xml:space="preserve"> имеет значительную неоднородность, что обуславливается полярными значениями регионов. Коэффициент линейных отклонений для Курганской области за все время отрицателен, при этом увеличивалось отставание до 2018 года, но затем отставание снизилось; для Свердловской области отставание 2000 до 2005 сменилось на опережение до 2010 года, после чего снова различие снижалось, к 2015 году сравнялось с среднероссийским уровнем и к 2021 году отставание было увеличено на</w:t>
      </w:r>
    </w:p>
    <w:p w14:paraId="3F57FAB1" w14:textId="3A892AE0" w:rsidR="00755F65" w:rsidRPr="00755F65" w:rsidRDefault="00755F65" w:rsidP="00755F65">
      <w:pPr>
        <w:spacing w:after="0" w:line="360" w:lineRule="auto"/>
        <w:ind w:firstLine="851"/>
        <w:rPr>
          <w:sz w:val="24"/>
          <w:szCs w:val="24"/>
        </w:rPr>
      </w:pPr>
      <w:r w:rsidRPr="00755F65">
        <w:rPr>
          <w:noProof/>
          <w:sz w:val="24"/>
          <w:szCs w:val="24"/>
        </w:rPr>
        <w:lastRenderedPageBreak/>
        <w:drawing>
          <wp:inline distT="0" distB="0" distL="0" distR="0" wp14:anchorId="0D567A5C" wp14:editId="4ECD7187">
            <wp:extent cx="4591050" cy="2762250"/>
            <wp:effectExtent l="0" t="0" r="0" b="0"/>
            <wp:docPr id="4169878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393703" w14:textId="0A81FDCC" w:rsidR="00755F65" w:rsidRPr="00755F65" w:rsidRDefault="00C805DA" w:rsidP="00755F65">
      <w:pPr>
        <w:spacing w:after="0" w:line="360" w:lineRule="auto"/>
        <w:rPr>
          <w:sz w:val="24"/>
          <w:szCs w:val="24"/>
        </w:rPr>
      </w:pPr>
      <w:r>
        <w:rPr>
          <w:sz w:val="24"/>
          <w:szCs w:val="24"/>
        </w:rPr>
        <w:t>Рис. 37. Коэффициент вариации естественного прироста населения.</w:t>
      </w:r>
    </w:p>
    <w:p w14:paraId="07003859" w14:textId="77777777" w:rsidR="00755F65" w:rsidRPr="00755F65" w:rsidRDefault="00755F65" w:rsidP="00755F65">
      <w:pPr>
        <w:spacing w:after="0" w:line="360" w:lineRule="auto"/>
        <w:ind w:firstLine="851"/>
        <w:rPr>
          <w:sz w:val="24"/>
          <w:szCs w:val="24"/>
          <w:highlight w:val="yellow"/>
        </w:rPr>
      </w:pPr>
    </w:p>
    <w:p w14:paraId="2E7E6209" w14:textId="77777777" w:rsidR="00755F65" w:rsidRPr="00C805DA" w:rsidRDefault="00755F65" w:rsidP="00C805DA">
      <w:pPr>
        <w:spacing w:after="0" w:line="360" w:lineRule="auto"/>
        <w:ind w:firstLine="851"/>
        <w:jc w:val="both"/>
        <w:rPr>
          <w:sz w:val="24"/>
          <w:szCs w:val="24"/>
        </w:rPr>
      </w:pPr>
      <w:r w:rsidRPr="00C805DA">
        <w:rPr>
          <w:sz w:val="24"/>
          <w:szCs w:val="24"/>
        </w:rPr>
        <w:t>Экономисты отмечают, что если коэффициент вариации меньше 10%, то степень рассеивания данных считается незначительной; если от 10% до 20% — средней; больше 20% и меньше или равно 33% — значительной. С 1996 по 2007 годы изменения носили незначительную степень рассеивания, в отдельные годы (2008, 2010 и 2019 годы) изменения сильно отличались от среднего по России.</w:t>
      </w:r>
    </w:p>
    <w:p w14:paraId="1E45C203" w14:textId="77777777" w:rsidR="00755F65" w:rsidRPr="00C02501" w:rsidRDefault="00755F65" w:rsidP="00C02501">
      <w:pPr>
        <w:pStyle w:val="2"/>
        <w:jc w:val="center"/>
        <w:rPr>
          <w:b w:val="0"/>
          <w:bCs/>
          <w:i w:val="0"/>
          <w:iCs/>
        </w:rPr>
      </w:pPr>
      <w:bookmarkStart w:id="21" w:name="_Toc136642366"/>
      <w:r w:rsidRPr="00C02501">
        <w:rPr>
          <w:b w:val="0"/>
          <w:bCs/>
          <w:i w:val="0"/>
          <w:iCs/>
        </w:rPr>
        <w:t>3.2. Интегральная оценка дифференциации</w:t>
      </w:r>
      <w:bookmarkEnd w:id="21"/>
    </w:p>
    <w:p w14:paraId="7530B16C" w14:textId="77777777" w:rsidR="00755F65" w:rsidRPr="00755F65" w:rsidRDefault="00755F65" w:rsidP="00755F65">
      <w:pPr>
        <w:spacing w:after="0" w:line="360" w:lineRule="auto"/>
        <w:ind w:firstLine="851"/>
        <w:jc w:val="both"/>
        <w:rPr>
          <w:sz w:val="24"/>
          <w:szCs w:val="24"/>
        </w:rPr>
      </w:pPr>
      <w:r w:rsidRPr="00755F65">
        <w:rPr>
          <w:sz w:val="24"/>
          <w:szCs w:val="24"/>
        </w:rPr>
        <w:t xml:space="preserve">Для оценки социально-экономического развития регионов был использован метод </w:t>
      </w:r>
      <w:proofErr w:type="spellStart"/>
      <w:r w:rsidRPr="00755F65">
        <w:rPr>
          <w:sz w:val="24"/>
          <w:szCs w:val="24"/>
        </w:rPr>
        <w:t>балльно</w:t>
      </w:r>
      <w:proofErr w:type="spellEnd"/>
      <w:r w:rsidRPr="00755F65">
        <w:rPr>
          <w:sz w:val="24"/>
          <w:szCs w:val="24"/>
        </w:rPr>
        <w:t xml:space="preserve">-рейтинговой оценки. Для определения баллов были взяты составлены рейтинги по каждому показателю. Для коэффициента демографической нагрузки, изменения стоимости фиксированного набора, доли межбюджетных трансфертов, уровня безработицы, коэффициента Джинни, численности населения на 1 больничную койку и численности населения на 1 работника среднего </w:t>
      </w:r>
      <w:proofErr w:type="spellStart"/>
      <w:r w:rsidRPr="00755F65">
        <w:rPr>
          <w:sz w:val="24"/>
          <w:szCs w:val="24"/>
        </w:rPr>
        <w:t>медецинского</w:t>
      </w:r>
      <w:proofErr w:type="spellEnd"/>
      <w:r w:rsidRPr="00755F65">
        <w:rPr>
          <w:sz w:val="24"/>
          <w:szCs w:val="24"/>
        </w:rPr>
        <w:t xml:space="preserve"> персонала была применена обратная балльная шкала, то есть чем выше значение, тем ниже балл, для остальных показателей применена прямая балльная шкала. </w:t>
      </w:r>
    </w:p>
    <w:p w14:paraId="68136F3F" w14:textId="218B5E9F" w:rsidR="00755F65" w:rsidRPr="00755F65" w:rsidRDefault="00755F65" w:rsidP="00755F65">
      <w:pPr>
        <w:spacing w:after="0" w:line="360" w:lineRule="auto"/>
        <w:ind w:firstLine="851"/>
        <w:jc w:val="both"/>
        <w:rPr>
          <w:sz w:val="24"/>
          <w:szCs w:val="24"/>
        </w:rPr>
      </w:pPr>
      <w:r w:rsidRPr="00755F65">
        <w:rPr>
          <w:sz w:val="24"/>
          <w:szCs w:val="24"/>
        </w:rPr>
        <w:t xml:space="preserve">Для того, чтобы проследить динамику за более длительный период, интегральная оценка была нормирована следующим образом: из каждой оценки был вычтен 1 балл, таким образом, чтобы минимально возможный балл равнялся одному, а максимальны – 5. Далее составлено отношение суммы баллов к сумме оценок показателей социально-экономического развития, по которым были оценены регионы, после чего умножено на 100%. Необходимо отметить, что в 1990 году доступны к анализу 10 показателей, в 1995 году – 12, в 1996 году – 11, в 1997 году – 13, в 1998 и 1999 гг. – 18, с 2000 по 2021 – все 21. Поэтому наибольшая достоверность оценки определяется именно в последний период, а </w:t>
      </w:r>
      <w:r w:rsidRPr="00755F65">
        <w:rPr>
          <w:sz w:val="24"/>
          <w:szCs w:val="24"/>
        </w:rPr>
        <w:lastRenderedPageBreak/>
        <w:t>до этого оценка приблизительна. Таким обр</w:t>
      </w:r>
      <w:r w:rsidRPr="00C805DA">
        <w:rPr>
          <w:sz w:val="24"/>
          <w:szCs w:val="24"/>
        </w:rPr>
        <w:t>азом получена нормированная интегральная оценка за период 1990 по 2021 гг. (рис.</w:t>
      </w:r>
      <w:r w:rsidR="00C805DA" w:rsidRPr="00C805DA">
        <w:rPr>
          <w:sz w:val="24"/>
          <w:szCs w:val="24"/>
        </w:rPr>
        <w:t xml:space="preserve"> 38</w:t>
      </w:r>
      <w:r w:rsidRPr="00C805DA">
        <w:rPr>
          <w:sz w:val="24"/>
          <w:szCs w:val="24"/>
        </w:rPr>
        <w:t>)</w:t>
      </w:r>
    </w:p>
    <w:p w14:paraId="4C9FBD32" w14:textId="5C0BE995" w:rsidR="00755F65" w:rsidRPr="00755F65" w:rsidRDefault="00755F65" w:rsidP="00755F65">
      <w:pPr>
        <w:spacing w:after="0" w:line="360" w:lineRule="auto"/>
        <w:jc w:val="both"/>
        <w:rPr>
          <w:sz w:val="24"/>
          <w:szCs w:val="24"/>
        </w:rPr>
      </w:pPr>
      <w:r w:rsidRPr="00755F65">
        <w:rPr>
          <w:noProof/>
          <w:sz w:val="24"/>
          <w:szCs w:val="24"/>
        </w:rPr>
        <w:drawing>
          <wp:inline distT="0" distB="0" distL="0" distR="0" wp14:anchorId="7E8D7FA4" wp14:editId="423DE877">
            <wp:extent cx="5962650" cy="3867150"/>
            <wp:effectExtent l="0" t="0" r="0" b="0"/>
            <wp:docPr id="148258278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2A03ED" w14:textId="78B20AD8" w:rsidR="00755F65" w:rsidRPr="00755F65" w:rsidRDefault="00C805DA" w:rsidP="00755F65">
      <w:pPr>
        <w:spacing w:after="0" w:line="360" w:lineRule="auto"/>
        <w:ind w:firstLine="851"/>
        <w:jc w:val="both"/>
        <w:rPr>
          <w:sz w:val="24"/>
          <w:szCs w:val="24"/>
        </w:rPr>
      </w:pPr>
      <w:r>
        <w:rPr>
          <w:sz w:val="24"/>
          <w:szCs w:val="24"/>
        </w:rPr>
        <w:t>Рис. 38. Интегральная оценка уровней социально-экономического развития регионов УФО.</w:t>
      </w:r>
    </w:p>
    <w:p w14:paraId="11E56FFF" w14:textId="77777777" w:rsidR="00755F65" w:rsidRPr="00755F65" w:rsidRDefault="00755F65" w:rsidP="00755F65">
      <w:pPr>
        <w:spacing w:after="0" w:line="360" w:lineRule="auto"/>
        <w:ind w:firstLine="851"/>
        <w:jc w:val="both"/>
        <w:rPr>
          <w:sz w:val="24"/>
          <w:szCs w:val="24"/>
        </w:rPr>
      </w:pPr>
      <w:r w:rsidRPr="00755F65">
        <w:rPr>
          <w:sz w:val="24"/>
          <w:szCs w:val="24"/>
        </w:rPr>
        <w:t>Из графика следует, что Курганская область устойчиво занимает позицию аутсайдера с низким уровнем развития со средним уровнем около 27%. У Челябинской области с 2000 (1997) года сильно снизились значения оценки с 50,5%(56,5%) до 39% к 2012 году, однако с 2017 года наблюдается значительное улучшение ситуации и к 2021 году значение достигло 51%, при этом с 2003 по 2020 годы регион занимал второе место с конца списка. Свердловская область занимает срединное положение, с 2000 (1999) года по 2012 положительный тренд, который затем сменился отрицательным и к 2021 году регион уступил 4 место Челябинской области, снизив значение до 48%. Тюменская область, Хант-Мансийский и Ямало-Ненецкий автономные округа с 2000 по 2011 годы занимают устойчиво первые места рейтинга, с 2011 года различия между регионами увеличились, и Тюменская область стала занимать первое место, Ханты-Мансийский автономный округ – второе, Ямало-Ненецкий – третье.</w:t>
      </w:r>
    </w:p>
    <w:p w14:paraId="2A063566" w14:textId="636C6BEC" w:rsidR="00755F65" w:rsidRPr="00755F65" w:rsidRDefault="00755F65" w:rsidP="00755F65">
      <w:pPr>
        <w:spacing w:after="0" w:line="360" w:lineRule="auto"/>
        <w:ind w:firstLine="851"/>
        <w:jc w:val="both"/>
        <w:rPr>
          <w:sz w:val="24"/>
          <w:szCs w:val="24"/>
        </w:rPr>
      </w:pPr>
      <w:r w:rsidRPr="00755F65">
        <w:rPr>
          <w:sz w:val="24"/>
          <w:szCs w:val="24"/>
        </w:rPr>
        <w:t xml:space="preserve">Коэффициент неоднородности, рассчитанный на основе значений показателей регионов и среднероссийских значение отражает суммарное различие регионов с среднероссийскими показателями в </w:t>
      </w:r>
      <w:r w:rsidRPr="00C805DA">
        <w:rPr>
          <w:sz w:val="24"/>
          <w:szCs w:val="24"/>
        </w:rPr>
        <w:t>процентах (рис.</w:t>
      </w:r>
      <w:r w:rsidR="00C805DA" w:rsidRPr="00C805DA">
        <w:rPr>
          <w:sz w:val="24"/>
          <w:szCs w:val="24"/>
        </w:rPr>
        <w:t xml:space="preserve"> 39</w:t>
      </w:r>
      <w:r w:rsidRPr="00C805DA">
        <w:rPr>
          <w:sz w:val="24"/>
          <w:szCs w:val="24"/>
        </w:rPr>
        <w:t>)</w:t>
      </w:r>
    </w:p>
    <w:p w14:paraId="4B3B4087" w14:textId="172BFACF" w:rsidR="00755F65" w:rsidRPr="00755F65" w:rsidRDefault="00755F65" w:rsidP="00755F65">
      <w:pPr>
        <w:spacing w:after="0" w:line="360" w:lineRule="auto"/>
        <w:jc w:val="both"/>
        <w:rPr>
          <w:sz w:val="24"/>
          <w:szCs w:val="24"/>
        </w:rPr>
      </w:pPr>
      <w:r w:rsidRPr="00755F65">
        <w:rPr>
          <w:noProof/>
          <w:sz w:val="24"/>
          <w:szCs w:val="24"/>
        </w:rPr>
        <w:lastRenderedPageBreak/>
        <w:drawing>
          <wp:inline distT="0" distB="0" distL="0" distR="0" wp14:anchorId="1566A7F3" wp14:editId="086B4B14">
            <wp:extent cx="5962650" cy="2800350"/>
            <wp:effectExtent l="0" t="0" r="0" b="0"/>
            <wp:docPr id="15837330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B2756E8" w14:textId="276C3867" w:rsidR="00755F65" w:rsidRPr="00755F65" w:rsidRDefault="00C805DA" w:rsidP="00755F65">
      <w:pPr>
        <w:spacing w:after="0" w:line="360" w:lineRule="auto"/>
        <w:jc w:val="both"/>
        <w:rPr>
          <w:sz w:val="24"/>
          <w:szCs w:val="24"/>
        </w:rPr>
      </w:pPr>
      <w:r>
        <w:rPr>
          <w:sz w:val="24"/>
          <w:szCs w:val="24"/>
        </w:rPr>
        <w:t>Рис. 39. Коэффициент неоднородности</w:t>
      </w:r>
    </w:p>
    <w:p w14:paraId="6F3DD047" w14:textId="77777777" w:rsidR="00755F65" w:rsidRPr="00755F65" w:rsidRDefault="00755F65" w:rsidP="00755F65">
      <w:pPr>
        <w:spacing w:after="0" w:line="360" w:lineRule="auto"/>
        <w:ind w:firstLine="851"/>
        <w:jc w:val="both"/>
        <w:rPr>
          <w:sz w:val="24"/>
          <w:szCs w:val="24"/>
        </w:rPr>
      </w:pPr>
      <w:r w:rsidRPr="00755F65">
        <w:rPr>
          <w:sz w:val="24"/>
          <w:szCs w:val="24"/>
        </w:rPr>
        <w:t>Из графика следует, что отличие уровней социально-экономического развития Ханты-Мансийского автономного округа значительно снизилась: с 2000 года при уровне 830% к 2016 году на уровне 25%. Ямало-Ненецкий автономный округ также имеет значительные отличия в уровнях социально-экономического развития, причем с 2003 по 2007 различия сильно сократились, далее до 2016 опять наращивались, а к 2021 году снова сократились практически до нуля. Отличие уровней социально-экономического развития Челябинской области с 2000 по 2007 годы оставалось невысоким, около 20%, далее до 2015 года различие сильно выросло, в среднем составив 80%, затем снова уменьшилось и к 2021 году составляет 16%. В Свердловской области коэффициент неоднородности с 200 года при уровне 5% увеличился до 214% к 2009 году, затем снова уменьшившись до 15% к 2021 году. Для Курганской области также характерна цикличность: с 2000 по 2007 гг. коэффициент увеличивался, затем к 2013 году снова снижался, после чего увеличилось различие к 2018 году, а затем к 2021 снова упало до нулевых значений.</w:t>
      </w:r>
    </w:p>
    <w:p w14:paraId="316C375E" w14:textId="77777777" w:rsidR="00755F65" w:rsidRPr="00755F65" w:rsidRDefault="00755F65" w:rsidP="00755F65">
      <w:pPr>
        <w:spacing w:after="0" w:line="360" w:lineRule="auto"/>
        <w:jc w:val="both"/>
        <w:rPr>
          <w:sz w:val="24"/>
          <w:szCs w:val="24"/>
        </w:rPr>
      </w:pPr>
      <w:r w:rsidRPr="00755F65">
        <w:rPr>
          <w:sz w:val="24"/>
          <w:szCs w:val="24"/>
        </w:rPr>
        <w:t>Таким образом, можно предположить, что коэффициент неоднородности имеет некоторую цикличность: до 2004 года в среднем значения коэффициента росли, далее снижались до 2007 года, после чего был пик 2008-2009 гг. и падение до 2014 года, затем новый рост к 2018 и значительное падение к 2021 году. Такая динамика соотносится с кризисными явлениями в стране: 2004 год – банковский кризис; 2008-2009 гг. – мировой финансовый кризис, а также грузинский конфликт; 2014 год – валютный кризис и Украинский конфликт; 2020-2021 гг. – пандемия и спад производств.</w:t>
      </w:r>
    </w:p>
    <w:p w14:paraId="04CFB6A8" w14:textId="77777777" w:rsidR="00755F65" w:rsidRPr="00755F65" w:rsidRDefault="00755F65" w:rsidP="00755F65">
      <w:pPr>
        <w:spacing w:after="0" w:line="360" w:lineRule="auto"/>
        <w:jc w:val="both"/>
        <w:rPr>
          <w:sz w:val="24"/>
          <w:szCs w:val="24"/>
        </w:rPr>
      </w:pPr>
    </w:p>
    <w:p w14:paraId="02A4C6BF" w14:textId="77777777" w:rsidR="00755F65" w:rsidRPr="00755F65" w:rsidRDefault="00755F65" w:rsidP="00755F65">
      <w:pPr>
        <w:spacing w:after="0" w:line="360" w:lineRule="auto"/>
        <w:jc w:val="both"/>
        <w:rPr>
          <w:sz w:val="24"/>
          <w:szCs w:val="24"/>
        </w:rPr>
      </w:pPr>
    </w:p>
    <w:p w14:paraId="4DCFB8E2" w14:textId="77777777" w:rsidR="00755F65" w:rsidRPr="0087386E" w:rsidRDefault="00755F65" w:rsidP="00755F65">
      <w:pPr>
        <w:spacing w:after="0" w:line="360" w:lineRule="auto"/>
        <w:jc w:val="both"/>
      </w:pPr>
    </w:p>
    <w:p w14:paraId="611B8555" w14:textId="77777777" w:rsidR="00755F65" w:rsidRPr="00C02501" w:rsidRDefault="00755F65" w:rsidP="00C02501">
      <w:pPr>
        <w:pStyle w:val="1"/>
        <w:jc w:val="center"/>
        <w:rPr>
          <w:i/>
          <w:iCs/>
          <w:sz w:val="28"/>
          <w:szCs w:val="28"/>
        </w:rPr>
      </w:pPr>
      <w:bookmarkStart w:id="22" w:name="_Toc136642367"/>
      <w:r w:rsidRPr="00C02501">
        <w:rPr>
          <w:sz w:val="28"/>
          <w:szCs w:val="28"/>
        </w:rPr>
        <w:lastRenderedPageBreak/>
        <w:t>Заключение</w:t>
      </w:r>
      <w:bookmarkEnd w:id="22"/>
    </w:p>
    <w:p w14:paraId="4F0CB80F" w14:textId="77777777" w:rsidR="00C67B8E" w:rsidRPr="00C67B8E" w:rsidRDefault="00C67B8E" w:rsidP="00C67B8E">
      <w:pPr>
        <w:pStyle w:val="af2"/>
        <w:spacing w:before="0" w:beforeAutospacing="0" w:after="0" w:afterAutospacing="0" w:line="360" w:lineRule="auto"/>
        <w:jc w:val="both"/>
      </w:pPr>
      <w:r w:rsidRPr="00C67B8E">
        <w:rPr>
          <w:color w:val="000000"/>
        </w:rPr>
        <w:t>Полученные в ходе проведения научных исследований результаты позволяют сделать следующие выводы и предложения:</w:t>
      </w:r>
    </w:p>
    <w:p w14:paraId="35FDF749" w14:textId="77777777" w:rsidR="00C67B8E" w:rsidRPr="00C67B8E" w:rsidRDefault="00C67B8E" w:rsidP="00C67B8E">
      <w:pPr>
        <w:pStyle w:val="af2"/>
        <w:spacing w:before="0" w:beforeAutospacing="0" w:after="0" w:afterAutospacing="0" w:line="360" w:lineRule="auto"/>
        <w:ind w:firstLine="720"/>
        <w:jc w:val="both"/>
      </w:pPr>
      <w:r w:rsidRPr="00C67B8E">
        <w:rPr>
          <w:color w:val="000000"/>
        </w:rPr>
        <w:t>1. Алгоритм исследования региональной дифференциации уровней социально-экономического развития региона включает 2 этапа: во-первых, определение уровней социально-экономического развития; во-вторых, выявление различий в уровнях развития регионов. При выполнении первого этапа используются показатели, характеризующие развитие сфер природопользования, региональной экономики, социальной среды, социальных и политических институтов. Основой выполнения второго этапа послужили: коэффициент вариации, коэффициент частного линейного отклонения, размах вариации, коэффициент осцилляции, коэффициент неоднородности.</w:t>
      </w:r>
    </w:p>
    <w:p w14:paraId="6B046B35" w14:textId="77777777" w:rsidR="00C67B8E" w:rsidRPr="00C67B8E" w:rsidRDefault="00C67B8E" w:rsidP="00C67B8E">
      <w:pPr>
        <w:pStyle w:val="af2"/>
        <w:spacing w:before="0" w:beforeAutospacing="0" w:after="0" w:afterAutospacing="0" w:line="360" w:lineRule="auto"/>
        <w:ind w:firstLine="720"/>
        <w:jc w:val="both"/>
      </w:pPr>
      <w:r w:rsidRPr="00C67B8E">
        <w:rPr>
          <w:color w:val="000000"/>
        </w:rPr>
        <w:t>2. При интегральной оценке уровней социально-экономического развития на первое место вышли Ханты-Мансийский и Ямало-Ненецкий автономные округа, Тюменская область. Стабильно развивались экономики Челябинской и Свердловской областей, отличающиеся относительно высокой долей обрабатывающей отрасли, в связи с чем они проявили высокую устойчивость к кризисным явлениям. Нижний уровень занимает экономика Курганской области, которая даже на общероссийском уровне не достигает средних показателей. На уровнях развития сказываются не столько природно-климатические, сколько природно-ресурсные условия; именно по этой причине показатели северных регионов существенно превышают показатели южных.</w:t>
      </w:r>
    </w:p>
    <w:p w14:paraId="2391B93B" w14:textId="77777777" w:rsidR="00C67B8E" w:rsidRPr="00C67B8E" w:rsidRDefault="00C67B8E" w:rsidP="00C67B8E">
      <w:pPr>
        <w:pStyle w:val="af2"/>
        <w:spacing w:before="0" w:beforeAutospacing="0" w:after="0" w:afterAutospacing="0" w:line="360" w:lineRule="auto"/>
        <w:ind w:firstLine="720"/>
        <w:jc w:val="both"/>
      </w:pPr>
      <w:r w:rsidRPr="00C67B8E">
        <w:rPr>
          <w:color w:val="000000"/>
        </w:rPr>
        <w:t>3. На основе коэффициента неоднородности выявлено, что социально-экономическое развитие проходит через циклические фазы с высоким и низким уровнем дифференциации. Эти фазы обусловлены общими экономическими колебаниями, такими как кризис 2008-2009 года, 2014 года и пандемия 2020-2021 годов. Причем последний кризис в отличии от остальных снизил различия в уровнях развития регионов.</w:t>
      </w:r>
    </w:p>
    <w:p w14:paraId="287BD258" w14:textId="77777777" w:rsidR="00C67B8E" w:rsidRPr="00C67B8E" w:rsidRDefault="00C67B8E" w:rsidP="00C67B8E">
      <w:pPr>
        <w:pStyle w:val="af2"/>
        <w:spacing w:before="0" w:beforeAutospacing="0" w:after="0" w:afterAutospacing="0" w:line="360" w:lineRule="auto"/>
        <w:ind w:firstLine="720"/>
        <w:jc w:val="both"/>
      </w:pPr>
      <w:r w:rsidRPr="00C67B8E">
        <w:rPr>
          <w:color w:val="000000"/>
        </w:rPr>
        <w:t xml:space="preserve">4. В процессе корреляционно-регрессионного анализа социально-экономических показателей были выявлены основные социально-экономические факторы развития субъектов Российской Федерации Уральского федерального: для Свердловской и Тюменской областей высокую роль в развитии экономики играют уровень развития социальной сферы и социальных институтов; для Челябинской области высокий уровень экономического развития приводит к оттоку населения из региона и его концентрации в крупных городах; для Ханты-Мансийского и Ямало-Ненецкого автономных округов определено, что высокую роль в развитии экономики региона играет нефтегазовая отрасль, которая приводит к увеличению различий с регионами России и Уральского </w:t>
      </w:r>
      <w:r w:rsidRPr="00C67B8E">
        <w:rPr>
          <w:color w:val="000000"/>
        </w:rPr>
        <w:lastRenderedPageBreak/>
        <w:t>федерального округа; для Курганской области экономическое отставание приводит к отставанию в социально-демографической сфере.</w:t>
      </w:r>
    </w:p>
    <w:p w14:paraId="0453B592" w14:textId="77777777" w:rsidR="0087386E" w:rsidRDefault="0087386E" w:rsidP="00755F65">
      <w:pPr>
        <w:spacing w:after="0" w:line="360" w:lineRule="auto"/>
        <w:rPr>
          <w:sz w:val="24"/>
          <w:szCs w:val="24"/>
        </w:rPr>
      </w:pPr>
    </w:p>
    <w:p w14:paraId="57446C24" w14:textId="77777777" w:rsidR="0087386E" w:rsidRDefault="0087386E" w:rsidP="00755F65">
      <w:pPr>
        <w:spacing w:after="0" w:line="360" w:lineRule="auto"/>
        <w:rPr>
          <w:sz w:val="24"/>
          <w:szCs w:val="24"/>
        </w:rPr>
      </w:pPr>
    </w:p>
    <w:p w14:paraId="423A1DE3" w14:textId="77777777" w:rsidR="0087386E" w:rsidRDefault="0087386E" w:rsidP="00755F65">
      <w:pPr>
        <w:spacing w:after="0" w:line="360" w:lineRule="auto"/>
        <w:rPr>
          <w:sz w:val="24"/>
          <w:szCs w:val="24"/>
        </w:rPr>
      </w:pPr>
    </w:p>
    <w:p w14:paraId="7C2255BA" w14:textId="77777777" w:rsidR="0087386E" w:rsidRDefault="0087386E" w:rsidP="00755F65">
      <w:pPr>
        <w:spacing w:after="0" w:line="360" w:lineRule="auto"/>
        <w:rPr>
          <w:sz w:val="24"/>
          <w:szCs w:val="24"/>
        </w:rPr>
      </w:pPr>
    </w:p>
    <w:p w14:paraId="42D394B2" w14:textId="77777777" w:rsidR="0087386E" w:rsidRDefault="0087386E" w:rsidP="00755F65">
      <w:pPr>
        <w:spacing w:after="0" w:line="360" w:lineRule="auto"/>
        <w:rPr>
          <w:sz w:val="24"/>
          <w:szCs w:val="24"/>
        </w:rPr>
      </w:pPr>
    </w:p>
    <w:p w14:paraId="706F5543" w14:textId="77777777" w:rsidR="0087386E" w:rsidRDefault="0087386E" w:rsidP="00755F65">
      <w:pPr>
        <w:spacing w:after="0" w:line="360" w:lineRule="auto"/>
        <w:rPr>
          <w:sz w:val="24"/>
          <w:szCs w:val="24"/>
        </w:rPr>
      </w:pPr>
    </w:p>
    <w:p w14:paraId="420D267B" w14:textId="77777777" w:rsidR="0087386E" w:rsidRDefault="0087386E" w:rsidP="00755F65">
      <w:pPr>
        <w:spacing w:after="0" w:line="360" w:lineRule="auto"/>
        <w:rPr>
          <w:sz w:val="24"/>
          <w:szCs w:val="24"/>
        </w:rPr>
      </w:pPr>
    </w:p>
    <w:p w14:paraId="07664F25" w14:textId="77777777" w:rsidR="0087386E" w:rsidRPr="00755F65" w:rsidRDefault="0087386E" w:rsidP="00755F65">
      <w:pPr>
        <w:spacing w:after="0" w:line="360" w:lineRule="auto"/>
        <w:rPr>
          <w:sz w:val="24"/>
          <w:szCs w:val="24"/>
        </w:rPr>
      </w:pPr>
    </w:p>
    <w:p w14:paraId="5D66E9DB" w14:textId="74896912" w:rsidR="005D1A61" w:rsidRDefault="005D1A61"/>
    <w:p w14:paraId="249986E8" w14:textId="77777777" w:rsidR="00C67B8E" w:rsidRDefault="00C67B8E"/>
    <w:p w14:paraId="17F1797A" w14:textId="77777777" w:rsidR="00C67B8E" w:rsidRDefault="00C67B8E"/>
    <w:p w14:paraId="7F764F95" w14:textId="77777777" w:rsidR="00C67B8E" w:rsidRDefault="00C67B8E"/>
    <w:p w14:paraId="016D2BE8" w14:textId="77777777" w:rsidR="00C67B8E" w:rsidRDefault="00C67B8E"/>
    <w:p w14:paraId="5B1BD41C" w14:textId="77777777" w:rsidR="00C67B8E" w:rsidRDefault="00C67B8E"/>
    <w:p w14:paraId="56A69C5C" w14:textId="77777777" w:rsidR="00C67B8E" w:rsidRDefault="00C67B8E"/>
    <w:p w14:paraId="3EB7196C" w14:textId="77777777" w:rsidR="00C67B8E" w:rsidRDefault="00C67B8E"/>
    <w:p w14:paraId="1473BD5E" w14:textId="77777777" w:rsidR="00C67B8E" w:rsidRDefault="00C67B8E"/>
    <w:p w14:paraId="3B64E6F5" w14:textId="77777777" w:rsidR="00C67B8E" w:rsidRDefault="00C67B8E"/>
    <w:p w14:paraId="39DA5AAB" w14:textId="77777777" w:rsidR="00C67B8E" w:rsidRDefault="00C67B8E"/>
    <w:p w14:paraId="3A2686A2" w14:textId="77777777" w:rsidR="00C67B8E" w:rsidRDefault="00C67B8E"/>
    <w:p w14:paraId="47052C5B" w14:textId="77777777" w:rsidR="00C67B8E" w:rsidRDefault="00C67B8E"/>
    <w:p w14:paraId="0ADD330C" w14:textId="77777777" w:rsidR="00C67B8E" w:rsidRDefault="00C67B8E"/>
    <w:p w14:paraId="31568C32" w14:textId="77777777" w:rsidR="00C67B8E" w:rsidRDefault="00C67B8E"/>
    <w:p w14:paraId="4A2F7D18" w14:textId="77777777" w:rsidR="00C67B8E" w:rsidRDefault="00C67B8E"/>
    <w:p w14:paraId="2778FD6A" w14:textId="77777777" w:rsidR="00C67B8E" w:rsidRDefault="00C67B8E"/>
    <w:p w14:paraId="2C4FAE10" w14:textId="77777777" w:rsidR="00C67B8E" w:rsidRDefault="00C67B8E"/>
    <w:p w14:paraId="50265DA9" w14:textId="77777777" w:rsidR="005D1A61" w:rsidRDefault="0045737E">
      <w:pPr>
        <w:pStyle w:val="1"/>
        <w:jc w:val="center"/>
        <w:rPr>
          <w:sz w:val="28"/>
          <w:szCs w:val="28"/>
        </w:rPr>
      </w:pPr>
      <w:bookmarkStart w:id="23" w:name="_Toc136642121"/>
      <w:bookmarkStart w:id="24" w:name="_Toc136642368"/>
      <w:r>
        <w:rPr>
          <w:sz w:val="28"/>
          <w:szCs w:val="28"/>
        </w:rPr>
        <w:lastRenderedPageBreak/>
        <w:t>Список литературы</w:t>
      </w:r>
      <w:bookmarkEnd w:id="23"/>
      <w:bookmarkEnd w:id="24"/>
    </w:p>
    <w:p w14:paraId="6AE3F3D5" w14:textId="77777777" w:rsidR="005D1A61" w:rsidRDefault="005D1A61">
      <w:pPr>
        <w:spacing w:after="0" w:line="360" w:lineRule="auto"/>
        <w:jc w:val="both"/>
        <w:rPr>
          <w:sz w:val="26"/>
          <w:szCs w:val="26"/>
        </w:rPr>
      </w:pPr>
    </w:p>
    <w:p w14:paraId="460E319B" w14:textId="77777777" w:rsidR="005D1A61" w:rsidRDefault="0045737E">
      <w:pPr>
        <w:numPr>
          <w:ilvl w:val="0"/>
          <w:numId w:val="1"/>
        </w:numPr>
        <w:spacing w:after="0" w:line="360" w:lineRule="auto"/>
        <w:jc w:val="both"/>
        <w:rPr>
          <w:sz w:val="24"/>
          <w:szCs w:val="24"/>
        </w:rPr>
      </w:pPr>
      <w:r>
        <w:rPr>
          <w:sz w:val="24"/>
          <w:szCs w:val="24"/>
        </w:rPr>
        <w:t>Аганбегян А. Г. Анализ и прогнозирование социально-экономического развития регионов (методические заметки) //Среднерусский вестник общественных наук. – 2019. – Т. 14. – №. 4. – С. 15-28.</w:t>
      </w:r>
    </w:p>
    <w:p w14:paraId="2991F1A2" w14:textId="77777777" w:rsidR="005D1A61" w:rsidRDefault="0045737E">
      <w:pPr>
        <w:numPr>
          <w:ilvl w:val="0"/>
          <w:numId w:val="1"/>
        </w:numPr>
        <w:spacing w:after="0" w:line="360" w:lineRule="auto"/>
        <w:jc w:val="both"/>
        <w:rPr>
          <w:sz w:val="24"/>
          <w:szCs w:val="24"/>
        </w:rPr>
      </w:pPr>
      <w:r>
        <w:rPr>
          <w:sz w:val="24"/>
          <w:szCs w:val="24"/>
        </w:rPr>
        <w:t>Александров А. М. Прогнозирование социально-экономического развития региона //Вестник Чувашского университета. – 2006. – №. 4. – С. 174-177.</w:t>
      </w:r>
    </w:p>
    <w:p w14:paraId="5EEFA406" w14:textId="77777777" w:rsidR="005D1A61" w:rsidRDefault="0045737E">
      <w:pPr>
        <w:numPr>
          <w:ilvl w:val="0"/>
          <w:numId w:val="1"/>
        </w:numPr>
        <w:spacing w:after="0" w:line="360" w:lineRule="auto"/>
        <w:jc w:val="both"/>
        <w:rPr>
          <w:sz w:val="24"/>
          <w:szCs w:val="24"/>
        </w:rPr>
      </w:pPr>
      <w:r>
        <w:rPr>
          <w:sz w:val="24"/>
          <w:szCs w:val="24"/>
        </w:rPr>
        <w:t>Алексеева Н. А. Социально-экономическое положение регионов Приволжского федерального округа //РЕГИОНАЛЬНОЕ РАЗВИТИЕ: ПРОБЛЕМЫ И ПЕРСПЕКТИВЫ. – 2017. – С. 37-42.</w:t>
      </w:r>
    </w:p>
    <w:p w14:paraId="2A7461A8" w14:textId="77777777" w:rsidR="005D1A61" w:rsidRDefault="0045737E">
      <w:pPr>
        <w:numPr>
          <w:ilvl w:val="0"/>
          <w:numId w:val="1"/>
        </w:numPr>
        <w:spacing w:after="0" w:line="360" w:lineRule="auto"/>
        <w:jc w:val="both"/>
        <w:rPr>
          <w:sz w:val="24"/>
          <w:szCs w:val="24"/>
        </w:rPr>
      </w:pPr>
      <w:r>
        <w:rPr>
          <w:sz w:val="24"/>
          <w:szCs w:val="24"/>
        </w:rPr>
        <w:t>Бакланов П. Я. Территориальные социально-экономические системы в региональном развитии //Известия Российской академии наук. Серия географическая. – 2017. – №. 4. – С. 7-16.</w:t>
      </w:r>
    </w:p>
    <w:p w14:paraId="4DD33DF3" w14:textId="77777777" w:rsidR="005D1A61" w:rsidRDefault="0045737E">
      <w:pPr>
        <w:numPr>
          <w:ilvl w:val="0"/>
          <w:numId w:val="1"/>
        </w:numPr>
        <w:spacing w:after="0" w:line="360" w:lineRule="auto"/>
        <w:jc w:val="both"/>
        <w:rPr>
          <w:sz w:val="24"/>
          <w:szCs w:val="24"/>
        </w:rPr>
      </w:pPr>
      <w:r>
        <w:rPr>
          <w:sz w:val="24"/>
          <w:szCs w:val="24"/>
        </w:rPr>
        <w:t>Бархатов В. И. Потенциал регионов Уральского федерального округа в условиях новой нормальности социально-экономического развития //Вестник Челябинского государственного университета. – 2020. – №. 2 (436). – С. 52-65.</w:t>
      </w:r>
    </w:p>
    <w:p w14:paraId="3BFC7DE7" w14:textId="77777777" w:rsidR="005D1A61" w:rsidRDefault="0045737E">
      <w:pPr>
        <w:numPr>
          <w:ilvl w:val="0"/>
          <w:numId w:val="1"/>
        </w:numPr>
        <w:spacing w:after="0" w:line="360" w:lineRule="auto"/>
        <w:jc w:val="both"/>
        <w:rPr>
          <w:sz w:val="24"/>
          <w:szCs w:val="24"/>
        </w:rPr>
      </w:pPr>
      <w:proofErr w:type="spellStart"/>
      <w:r>
        <w:rPr>
          <w:sz w:val="24"/>
          <w:szCs w:val="24"/>
        </w:rPr>
        <w:t>Батейкин</w:t>
      </w:r>
      <w:proofErr w:type="spellEnd"/>
      <w:r>
        <w:rPr>
          <w:sz w:val="24"/>
          <w:szCs w:val="24"/>
        </w:rPr>
        <w:t xml:space="preserve"> Д. В. Современные аспекты развития теории и практики прогнозирования социально-экономического развития регионов //Новая наука: современное состояние и пути развития. – 2016. – №. 1-1. – С. 59-63.</w:t>
      </w:r>
    </w:p>
    <w:p w14:paraId="6076CC9A" w14:textId="77777777" w:rsidR="005D1A61" w:rsidRDefault="0045737E">
      <w:pPr>
        <w:numPr>
          <w:ilvl w:val="0"/>
          <w:numId w:val="1"/>
        </w:numPr>
        <w:spacing w:after="0" w:line="360" w:lineRule="auto"/>
        <w:jc w:val="both"/>
        <w:rPr>
          <w:sz w:val="24"/>
          <w:szCs w:val="24"/>
        </w:rPr>
      </w:pPr>
      <w:proofErr w:type="spellStart"/>
      <w:r>
        <w:rPr>
          <w:sz w:val="24"/>
          <w:szCs w:val="24"/>
        </w:rPr>
        <w:t>Биктагиров</w:t>
      </w:r>
      <w:proofErr w:type="spellEnd"/>
      <w:r>
        <w:rPr>
          <w:sz w:val="24"/>
          <w:szCs w:val="24"/>
        </w:rPr>
        <w:t xml:space="preserve"> Р. И. Методология интегральной оценки уровня социально-экономического развития региона //Проблемы современной экономики (Новосибирск). – 2012. – №. 9. – С. 38-46.</w:t>
      </w:r>
    </w:p>
    <w:p w14:paraId="489406F0" w14:textId="77777777" w:rsidR="005D1A61" w:rsidRDefault="0045737E">
      <w:pPr>
        <w:numPr>
          <w:ilvl w:val="0"/>
          <w:numId w:val="1"/>
        </w:numPr>
        <w:spacing w:after="0" w:line="360" w:lineRule="auto"/>
        <w:jc w:val="both"/>
        <w:rPr>
          <w:sz w:val="24"/>
          <w:szCs w:val="24"/>
        </w:rPr>
      </w:pPr>
      <w:proofErr w:type="spellStart"/>
      <w:r>
        <w:rPr>
          <w:sz w:val="24"/>
          <w:szCs w:val="24"/>
        </w:rPr>
        <w:t>Быстрай</w:t>
      </w:r>
      <w:proofErr w:type="spellEnd"/>
      <w:r>
        <w:rPr>
          <w:sz w:val="24"/>
          <w:szCs w:val="24"/>
        </w:rPr>
        <w:t xml:space="preserve"> Г. П. и др. Диагностика и прогнозирование социально-экономического развития регионов в рамках нелинейной динамики //Вестник Тюменского государственного университета. – 2010. – №. 4. – С. 164-170.</w:t>
      </w:r>
    </w:p>
    <w:p w14:paraId="71DAFA9A" w14:textId="77777777" w:rsidR="005D1A61" w:rsidRDefault="0045737E">
      <w:pPr>
        <w:numPr>
          <w:ilvl w:val="0"/>
          <w:numId w:val="1"/>
        </w:numPr>
        <w:spacing w:after="0" w:line="360" w:lineRule="auto"/>
        <w:jc w:val="both"/>
        <w:rPr>
          <w:sz w:val="24"/>
          <w:szCs w:val="24"/>
        </w:rPr>
      </w:pPr>
      <w:r>
        <w:rPr>
          <w:sz w:val="24"/>
          <w:szCs w:val="24"/>
        </w:rPr>
        <w:t>Гагарина Г. Ю. и др. Прогнозирование социально-экономического развития российских регионов //Экономика региона. – 2017. – Т. 13. – №. 4. – С. 1080-1094.</w:t>
      </w:r>
    </w:p>
    <w:p w14:paraId="78CCE8D8" w14:textId="77777777" w:rsidR="005D1A61" w:rsidRDefault="0045737E">
      <w:pPr>
        <w:numPr>
          <w:ilvl w:val="0"/>
          <w:numId w:val="1"/>
        </w:numPr>
        <w:spacing w:after="0" w:line="360" w:lineRule="auto"/>
        <w:jc w:val="both"/>
        <w:rPr>
          <w:sz w:val="24"/>
          <w:szCs w:val="24"/>
        </w:rPr>
      </w:pPr>
      <w:r>
        <w:rPr>
          <w:sz w:val="24"/>
          <w:szCs w:val="24"/>
        </w:rPr>
        <w:t xml:space="preserve">Гагарина Г. Ю., Болотов Р. О. Оценка межрегионального неравенства в Российской Федерации и его декомпозиция с применением индекса </w:t>
      </w:r>
      <w:proofErr w:type="spellStart"/>
      <w:r>
        <w:rPr>
          <w:sz w:val="24"/>
          <w:szCs w:val="24"/>
        </w:rPr>
        <w:t>Тейла</w:t>
      </w:r>
      <w:proofErr w:type="spellEnd"/>
      <w:r>
        <w:rPr>
          <w:sz w:val="24"/>
          <w:szCs w:val="24"/>
        </w:rPr>
        <w:t xml:space="preserve"> //Федерализм. – 2021. – Т. 26. – №. 4. – С. 20-34.</w:t>
      </w:r>
    </w:p>
    <w:p w14:paraId="680D8CE5" w14:textId="77777777" w:rsidR="005D1A61" w:rsidRDefault="0045737E">
      <w:pPr>
        <w:numPr>
          <w:ilvl w:val="0"/>
          <w:numId w:val="1"/>
        </w:numPr>
        <w:spacing w:after="0" w:line="360" w:lineRule="auto"/>
        <w:jc w:val="both"/>
        <w:rPr>
          <w:sz w:val="24"/>
          <w:szCs w:val="24"/>
        </w:rPr>
      </w:pPr>
      <w:proofErr w:type="spellStart"/>
      <w:r>
        <w:rPr>
          <w:sz w:val="24"/>
          <w:szCs w:val="24"/>
        </w:rPr>
        <w:t>Гайнанов</w:t>
      </w:r>
      <w:proofErr w:type="spellEnd"/>
      <w:r>
        <w:rPr>
          <w:sz w:val="24"/>
          <w:szCs w:val="24"/>
        </w:rPr>
        <w:t xml:space="preserve"> Д. А., </w:t>
      </w:r>
      <w:proofErr w:type="spellStart"/>
      <w:r>
        <w:rPr>
          <w:sz w:val="24"/>
          <w:szCs w:val="24"/>
        </w:rPr>
        <w:t>Гатауллин</w:t>
      </w:r>
      <w:proofErr w:type="spellEnd"/>
      <w:r>
        <w:rPr>
          <w:sz w:val="24"/>
          <w:szCs w:val="24"/>
        </w:rPr>
        <w:t xml:space="preserve"> Р. Ф., Атаева А. Г. Методологический подход и инструментарий обеспечения сбалансированного пространственного развития региона //Экономические и социальные перемены: факты, тенденции, прогноз. – 2021. – Т. 14. – №. 2. – С. 75-91.</w:t>
      </w:r>
    </w:p>
    <w:p w14:paraId="6AE312B8" w14:textId="77777777" w:rsidR="005D1A61" w:rsidRDefault="0045737E">
      <w:pPr>
        <w:numPr>
          <w:ilvl w:val="0"/>
          <w:numId w:val="1"/>
        </w:numPr>
        <w:spacing w:after="0" w:line="360" w:lineRule="auto"/>
        <w:jc w:val="both"/>
        <w:rPr>
          <w:sz w:val="24"/>
          <w:szCs w:val="24"/>
        </w:rPr>
      </w:pPr>
      <w:proofErr w:type="spellStart"/>
      <w:r>
        <w:rPr>
          <w:sz w:val="24"/>
          <w:szCs w:val="24"/>
        </w:rPr>
        <w:lastRenderedPageBreak/>
        <w:t>Гирина</w:t>
      </w:r>
      <w:proofErr w:type="spellEnd"/>
      <w:r>
        <w:rPr>
          <w:sz w:val="24"/>
          <w:szCs w:val="24"/>
        </w:rPr>
        <w:t xml:space="preserve"> А. Н. Методика оценки социально-экономического развития региона //Вестник Оренбургского государственного университета. – 2013. – №. 8 (157). – С. 82-87.</w:t>
      </w:r>
    </w:p>
    <w:p w14:paraId="2451FB68" w14:textId="77777777" w:rsidR="005D1A61" w:rsidRDefault="0045737E">
      <w:pPr>
        <w:numPr>
          <w:ilvl w:val="0"/>
          <w:numId w:val="1"/>
        </w:numPr>
        <w:spacing w:after="0" w:line="360" w:lineRule="auto"/>
        <w:jc w:val="both"/>
        <w:rPr>
          <w:sz w:val="24"/>
          <w:szCs w:val="24"/>
        </w:rPr>
      </w:pPr>
      <w:r>
        <w:rPr>
          <w:sz w:val="24"/>
          <w:szCs w:val="24"/>
        </w:rPr>
        <w:t>Глущенко К. П. Об оценке межрегионального неравенства //Пространственная экономика. – 2015. – №. 4. – С. 39-58.</w:t>
      </w:r>
    </w:p>
    <w:p w14:paraId="7826813F" w14:textId="77777777" w:rsidR="005D1A61" w:rsidRDefault="0045737E">
      <w:pPr>
        <w:numPr>
          <w:ilvl w:val="0"/>
          <w:numId w:val="1"/>
        </w:numPr>
        <w:spacing w:after="0" w:line="360" w:lineRule="auto"/>
        <w:jc w:val="both"/>
        <w:rPr>
          <w:sz w:val="24"/>
          <w:szCs w:val="24"/>
        </w:rPr>
      </w:pPr>
      <w:r>
        <w:rPr>
          <w:sz w:val="24"/>
          <w:szCs w:val="24"/>
        </w:rPr>
        <w:t xml:space="preserve">Гончарова Л. В., Лещенко Е. М. СРАВНИТЕЛЬНЫЙ АНАЛИЗ НОРМАТИВНО-ПРАВОВОЙ БАЗЫ, РЕГУЛИРУЮЩЕЙ ОЦЕНКУ </w:t>
      </w:r>
      <w:proofErr w:type="gramStart"/>
      <w:r>
        <w:rPr>
          <w:sz w:val="24"/>
          <w:szCs w:val="24"/>
        </w:rPr>
        <w:t>ЭФФЕКТИВНОСТИ</w:t>
      </w:r>
      <w:proofErr w:type="gramEnd"/>
      <w:r>
        <w:rPr>
          <w:sz w:val="24"/>
          <w:szCs w:val="24"/>
        </w:rPr>
        <w:t xml:space="preserve"> ДЕЯТЕЛЬ //Регион: системы, экономика, управление. – 2019. – №. 4 (47). – С. 210-216.</w:t>
      </w:r>
    </w:p>
    <w:p w14:paraId="78393E20" w14:textId="77777777" w:rsidR="005D1A61" w:rsidRDefault="0045737E">
      <w:pPr>
        <w:numPr>
          <w:ilvl w:val="0"/>
          <w:numId w:val="1"/>
        </w:numPr>
        <w:spacing w:after="0" w:line="360" w:lineRule="auto"/>
        <w:jc w:val="both"/>
        <w:rPr>
          <w:sz w:val="24"/>
          <w:szCs w:val="24"/>
        </w:rPr>
      </w:pPr>
      <w:r>
        <w:rPr>
          <w:sz w:val="24"/>
          <w:szCs w:val="24"/>
        </w:rPr>
        <w:t>Гребенкина С. А., Хрусталев Е. Ю., Славянов А. С. Методические основы обеспечения устойчивого развития региона //Вестник Московского университета. Серия 5. География. – 2020. – №. 1. – С. 63-72.</w:t>
      </w:r>
    </w:p>
    <w:p w14:paraId="471155B9" w14:textId="77777777" w:rsidR="005D1A61" w:rsidRDefault="0045737E">
      <w:pPr>
        <w:numPr>
          <w:ilvl w:val="0"/>
          <w:numId w:val="1"/>
        </w:numPr>
        <w:spacing w:after="0" w:line="360" w:lineRule="auto"/>
        <w:jc w:val="both"/>
        <w:rPr>
          <w:sz w:val="24"/>
          <w:szCs w:val="24"/>
        </w:rPr>
      </w:pPr>
      <w:r>
        <w:rPr>
          <w:sz w:val="24"/>
          <w:szCs w:val="24"/>
        </w:rPr>
        <w:t>Грищенко М. А. Территориальная структура хозяйства и территориальная организация общества: соотношение понятий //Вестник Санкт-Петербургского университета. Науки о Земле. – 2012. – №. 2. – С. 136-143.</w:t>
      </w:r>
    </w:p>
    <w:p w14:paraId="7F127D09" w14:textId="77777777" w:rsidR="005D1A61" w:rsidRDefault="0045737E">
      <w:pPr>
        <w:numPr>
          <w:ilvl w:val="0"/>
          <w:numId w:val="1"/>
        </w:numPr>
        <w:spacing w:after="0" w:line="360" w:lineRule="auto"/>
        <w:jc w:val="both"/>
        <w:rPr>
          <w:sz w:val="24"/>
          <w:szCs w:val="24"/>
        </w:rPr>
      </w:pPr>
      <w:r>
        <w:rPr>
          <w:sz w:val="24"/>
          <w:szCs w:val="24"/>
        </w:rPr>
        <w:t>Гусева Э. Ю., Гарипова Д. Р. МЕТОДЫ ОЦЕНКИ УРОВНЯ СОЦИАЛЬНО-ЭКОНОМИЧЕСКОГО РАЗВИТИЯ РЕГИОНОВ РОССИИ //Редакционная коллегия. – 2013. – С. 145-147.</w:t>
      </w:r>
    </w:p>
    <w:p w14:paraId="0353B284" w14:textId="77777777" w:rsidR="005D1A61" w:rsidRDefault="0045737E">
      <w:pPr>
        <w:numPr>
          <w:ilvl w:val="0"/>
          <w:numId w:val="1"/>
        </w:numPr>
        <w:spacing w:after="0" w:line="360" w:lineRule="auto"/>
        <w:jc w:val="both"/>
        <w:rPr>
          <w:sz w:val="24"/>
          <w:szCs w:val="24"/>
        </w:rPr>
      </w:pPr>
      <w:r>
        <w:rPr>
          <w:sz w:val="24"/>
          <w:szCs w:val="24"/>
        </w:rPr>
        <w:t>Данилова М. Н. и др. Методические подходы к оценке дифференциации в уровне социально-экономического развития муниципальных образований агломерации //Вопросы управления. – 2017. – №. 2 (45). – С. 57-69.</w:t>
      </w:r>
    </w:p>
    <w:p w14:paraId="3CF42953" w14:textId="77777777" w:rsidR="005D1A61" w:rsidRDefault="0045737E">
      <w:pPr>
        <w:numPr>
          <w:ilvl w:val="0"/>
          <w:numId w:val="1"/>
        </w:numPr>
        <w:spacing w:after="0" w:line="360" w:lineRule="auto"/>
        <w:jc w:val="both"/>
        <w:rPr>
          <w:sz w:val="24"/>
          <w:szCs w:val="24"/>
        </w:rPr>
      </w:pPr>
      <w:r>
        <w:rPr>
          <w:sz w:val="24"/>
          <w:szCs w:val="24"/>
        </w:rPr>
        <w:t>Демьяненко А. Е. Закономерности и возможности экономического развития регионов //Вестник НГИЭИ. – 2019. – №. 11 (102). – С. 79-92.</w:t>
      </w:r>
    </w:p>
    <w:p w14:paraId="7DE237E8" w14:textId="77777777" w:rsidR="005D1A61" w:rsidRDefault="0045737E">
      <w:pPr>
        <w:numPr>
          <w:ilvl w:val="0"/>
          <w:numId w:val="1"/>
        </w:numPr>
        <w:spacing w:after="0" w:line="360" w:lineRule="auto"/>
        <w:jc w:val="both"/>
        <w:rPr>
          <w:sz w:val="24"/>
          <w:szCs w:val="24"/>
        </w:rPr>
      </w:pPr>
      <w:r>
        <w:rPr>
          <w:sz w:val="24"/>
          <w:szCs w:val="24"/>
        </w:rPr>
        <w:t>Демьяненко А. Е. ЗАКОНОМЕРНОСТИ, ТЕНДЕНЦИИ И СПЕЦИФИЧЕСКИЕ ОСОБЕННОСТИ СОЦИАЛЬНО-ЭКОНОМИЧЕСКОГО СОСТОЯНИЯ И РАЗВИТИЯ РЕГИОНОВ //ББК 72 С. 132. – 2020. – С. 33.</w:t>
      </w:r>
    </w:p>
    <w:p w14:paraId="6A87BF8E" w14:textId="77777777" w:rsidR="005D1A61" w:rsidRDefault="0045737E">
      <w:pPr>
        <w:numPr>
          <w:ilvl w:val="0"/>
          <w:numId w:val="1"/>
        </w:numPr>
        <w:spacing w:after="0" w:line="360" w:lineRule="auto"/>
        <w:jc w:val="both"/>
        <w:rPr>
          <w:sz w:val="24"/>
          <w:szCs w:val="24"/>
        </w:rPr>
      </w:pPr>
      <w:r>
        <w:rPr>
          <w:sz w:val="24"/>
          <w:szCs w:val="24"/>
        </w:rPr>
        <w:t>Демьяненко А. Е. Оценка потенциала и особенности социально-экономического развития регионов Уральского федерального округа //Дискуссия. – 2019. – №. 5 (96). – С. 20-35.</w:t>
      </w:r>
    </w:p>
    <w:p w14:paraId="74CCA996" w14:textId="77777777" w:rsidR="005D1A61" w:rsidRDefault="0045737E">
      <w:pPr>
        <w:numPr>
          <w:ilvl w:val="0"/>
          <w:numId w:val="1"/>
        </w:numPr>
        <w:spacing w:after="0" w:line="360" w:lineRule="auto"/>
        <w:jc w:val="both"/>
        <w:rPr>
          <w:sz w:val="24"/>
          <w:szCs w:val="24"/>
        </w:rPr>
      </w:pPr>
      <w:r>
        <w:rPr>
          <w:sz w:val="24"/>
          <w:szCs w:val="24"/>
        </w:rPr>
        <w:t>Демьяненко А. Е. Потенциал развития и эффективность его использования в регионах Уральского федерального округа //Экономика: вчера, сегодня, завтра. – 2020. – Т. 10. – №. 1-1. – С. 224-239.</w:t>
      </w:r>
    </w:p>
    <w:p w14:paraId="6A92DB1F" w14:textId="77777777" w:rsidR="005D1A61" w:rsidRDefault="0045737E">
      <w:pPr>
        <w:numPr>
          <w:ilvl w:val="0"/>
          <w:numId w:val="1"/>
        </w:numPr>
        <w:spacing w:after="0" w:line="360" w:lineRule="auto"/>
        <w:jc w:val="both"/>
        <w:rPr>
          <w:sz w:val="24"/>
          <w:szCs w:val="24"/>
        </w:rPr>
      </w:pPr>
      <w:proofErr w:type="spellStart"/>
      <w:r>
        <w:rPr>
          <w:sz w:val="24"/>
          <w:szCs w:val="24"/>
        </w:rPr>
        <w:t>Дертишникова</w:t>
      </w:r>
      <w:proofErr w:type="spellEnd"/>
      <w:r>
        <w:rPr>
          <w:sz w:val="24"/>
          <w:szCs w:val="24"/>
        </w:rPr>
        <w:t xml:space="preserve"> Е. Н. Комплексная оценка социально-экономического развития региона //Проблемы развития территории. – 2011. – Т. 53. – №. 1. – С. 25-35.</w:t>
      </w:r>
    </w:p>
    <w:p w14:paraId="1EED2961" w14:textId="77777777" w:rsidR="005D1A61" w:rsidRDefault="0045737E">
      <w:pPr>
        <w:numPr>
          <w:ilvl w:val="0"/>
          <w:numId w:val="1"/>
        </w:numPr>
        <w:spacing w:after="0" w:line="360" w:lineRule="auto"/>
        <w:jc w:val="both"/>
        <w:rPr>
          <w:sz w:val="24"/>
          <w:szCs w:val="24"/>
        </w:rPr>
      </w:pPr>
      <w:r>
        <w:rPr>
          <w:sz w:val="24"/>
          <w:szCs w:val="24"/>
        </w:rPr>
        <w:t xml:space="preserve">Дмитриева Т. Е., </w:t>
      </w:r>
      <w:proofErr w:type="spellStart"/>
      <w:r>
        <w:rPr>
          <w:sz w:val="24"/>
          <w:szCs w:val="24"/>
        </w:rPr>
        <w:t>Лаженцев</w:t>
      </w:r>
      <w:proofErr w:type="spellEnd"/>
      <w:r>
        <w:rPr>
          <w:sz w:val="24"/>
          <w:szCs w:val="24"/>
        </w:rPr>
        <w:t xml:space="preserve"> В. Н. Организация прогнозирования территориального развития //Экономика региона. – 2010. – №. 4. – С. 156-164.</w:t>
      </w:r>
    </w:p>
    <w:p w14:paraId="0B591E0C" w14:textId="77777777" w:rsidR="004D2AF9" w:rsidRDefault="004D2AF9">
      <w:pPr>
        <w:numPr>
          <w:ilvl w:val="0"/>
          <w:numId w:val="1"/>
        </w:numPr>
        <w:spacing w:after="0" w:line="360" w:lineRule="auto"/>
        <w:jc w:val="both"/>
        <w:rPr>
          <w:sz w:val="24"/>
          <w:szCs w:val="24"/>
        </w:rPr>
      </w:pPr>
      <w:proofErr w:type="spellStart"/>
      <w:r>
        <w:lastRenderedPageBreak/>
        <w:t>Елсуков</w:t>
      </w:r>
      <w:proofErr w:type="spellEnd"/>
      <w:r>
        <w:t xml:space="preserve"> М. Ю., Исаев А. П. Инновационная экономика России: противоречия формирования и перспективы </w:t>
      </w:r>
      <w:proofErr w:type="gramStart"/>
      <w:r>
        <w:t>развития :</w:t>
      </w:r>
      <w:proofErr w:type="gramEnd"/>
      <w:r>
        <w:t xml:space="preserve"> монография — СПб. : ИПЦ СЗИУ РАНХиГС, 2021. — 108 с.</w:t>
      </w:r>
    </w:p>
    <w:p w14:paraId="74E2617D" w14:textId="77777777" w:rsidR="005D1A61" w:rsidRDefault="0045737E">
      <w:pPr>
        <w:numPr>
          <w:ilvl w:val="0"/>
          <w:numId w:val="1"/>
        </w:numPr>
        <w:spacing w:after="0" w:line="360" w:lineRule="auto"/>
        <w:jc w:val="both"/>
        <w:rPr>
          <w:sz w:val="24"/>
          <w:szCs w:val="24"/>
        </w:rPr>
      </w:pPr>
      <w:proofErr w:type="spellStart"/>
      <w:r>
        <w:rPr>
          <w:sz w:val="24"/>
          <w:szCs w:val="24"/>
        </w:rPr>
        <w:t>Житин</w:t>
      </w:r>
      <w:proofErr w:type="spellEnd"/>
      <w:r>
        <w:rPr>
          <w:sz w:val="24"/>
          <w:szCs w:val="24"/>
        </w:rPr>
        <w:t xml:space="preserve"> Д. В., </w:t>
      </w:r>
      <w:proofErr w:type="spellStart"/>
      <w:r>
        <w:rPr>
          <w:sz w:val="24"/>
          <w:szCs w:val="24"/>
        </w:rPr>
        <w:t>Морачевская</w:t>
      </w:r>
      <w:proofErr w:type="spellEnd"/>
      <w:r>
        <w:rPr>
          <w:sz w:val="24"/>
          <w:szCs w:val="24"/>
        </w:rPr>
        <w:t xml:space="preserve"> К. А. ОЦЕНКА ВНУТРЕННЕЙ ТРАНСПОРТНОЙ СВЯЗНОСТИ МУНИЦИПАЛЬНЫХ ОБРАЗОВАНИЙ КРАСНОЯРСКОГО КРАЯ //География и природные ресурсы. – 2021. – Т. 42. – №. 3. – С. 148-159.</w:t>
      </w:r>
    </w:p>
    <w:p w14:paraId="2BC2DBEB" w14:textId="77777777" w:rsidR="005D1A61" w:rsidRDefault="0045737E">
      <w:pPr>
        <w:numPr>
          <w:ilvl w:val="0"/>
          <w:numId w:val="1"/>
        </w:numPr>
        <w:spacing w:after="0" w:line="360" w:lineRule="auto"/>
        <w:jc w:val="both"/>
        <w:rPr>
          <w:sz w:val="24"/>
          <w:szCs w:val="24"/>
        </w:rPr>
      </w:pPr>
      <w:r>
        <w:rPr>
          <w:sz w:val="24"/>
          <w:szCs w:val="24"/>
        </w:rPr>
        <w:t>Зубаревич Н. В. Развитие российского пространства: барьеры и возможности региональной политики //Мир новой экономики. – 2017. – №. 2. – С. 46-57.</w:t>
      </w:r>
    </w:p>
    <w:p w14:paraId="6D7B823D" w14:textId="77777777" w:rsidR="005D1A61" w:rsidRDefault="0045737E">
      <w:pPr>
        <w:numPr>
          <w:ilvl w:val="0"/>
          <w:numId w:val="1"/>
        </w:numPr>
        <w:spacing w:after="0" w:line="360" w:lineRule="auto"/>
        <w:jc w:val="both"/>
        <w:rPr>
          <w:sz w:val="24"/>
          <w:szCs w:val="24"/>
        </w:rPr>
      </w:pPr>
      <w:r>
        <w:rPr>
          <w:sz w:val="24"/>
          <w:szCs w:val="24"/>
        </w:rPr>
        <w:t>Зубаревич Н. В. Социально-экономическое развитие регионов: мифы и реалии выравнивания //SPERO. Социальная Политика: Экспертиза. Рекомендации. Обзоры. – 2008. – №. 9. – С. 7-22.</w:t>
      </w:r>
    </w:p>
    <w:p w14:paraId="36403D05" w14:textId="77777777" w:rsidR="005D1A61" w:rsidRDefault="0045737E">
      <w:pPr>
        <w:numPr>
          <w:ilvl w:val="0"/>
          <w:numId w:val="1"/>
        </w:numPr>
        <w:spacing w:after="0" w:line="360" w:lineRule="auto"/>
        <w:jc w:val="both"/>
        <w:rPr>
          <w:sz w:val="24"/>
          <w:szCs w:val="24"/>
        </w:rPr>
      </w:pPr>
      <w:r>
        <w:rPr>
          <w:sz w:val="24"/>
          <w:szCs w:val="24"/>
        </w:rPr>
        <w:t xml:space="preserve">Ионова Е. В., </w:t>
      </w:r>
      <w:proofErr w:type="spellStart"/>
      <w:r>
        <w:rPr>
          <w:sz w:val="24"/>
          <w:szCs w:val="24"/>
        </w:rPr>
        <w:t>Лиховидова</w:t>
      </w:r>
      <w:proofErr w:type="spellEnd"/>
      <w:r>
        <w:rPr>
          <w:sz w:val="24"/>
          <w:szCs w:val="24"/>
        </w:rPr>
        <w:t xml:space="preserve"> В. А., </w:t>
      </w:r>
      <w:proofErr w:type="spellStart"/>
      <w:r>
        <w:rPr>
          <w:sz w:val="24"/>
          <w:szCs w:val="24"/>
        </w:rPr>
        <w:t>Лобунская</w:t>
      </w:r>
      <w:proofErr w:type="spellEnd"/>
      <w:r>
        <w:rPr>
          <w:sz w:val="24"/>
          <w:szCs w:val="24"/>
        </w:rPr>
        <w:t xml:space="preserve"> И. А. Засуха и гидротермический коэффициент увлажнения как один из критериев оценки степени ее интенсивности (обзор литературы) //Зерновое хозяйство России. – 2019. – №. 6. – С. 18-22.</w:t>
      </w:r>
    </w:p>
    <w:p w14:paraId="5971C128" w14:textId="77777777" w:rsidR="005D1A61" w:rsidRDefault="0045737E">
      <w:pPr>
        <w:numPr>
          <w:ilvl w:val="0"/>
          <w:numId w:val="1"/>
        </w:numPr>
        <w:spacing w:after="0" w:line="360" w:lineRule="auto"/>
        <w:jc w:val="both"/>
        <w:rPr>
          <w:sz w:val="24"/>
          <w:szCs w:val="24"/>
        </w:rPr>
      </w:pPr>
      <w:proofErr w:type="spellStart"/>
      <w:r>
        <w:rPr>
          <w:sz w:val="24"/>
          <w:szCs w:val="24"/>
        </w:rPr>
        <w:t>Коварда</w:t>
      </w:r>
      <w:proofErr w:type="spellEnd"/>
      <w:r>
        <w:rPr>
          <w:sz w:val="24"/>
          <w:szCs w:val="24"/>
        </w:rPr>
        <w:t xml:space="preserve"> В. В., Лаптев Р. А. О ТРАНСФОРМАЦИИ ГОСУДАРСТВЕННОЙ ПОЛИТИКИ СТИМУЛИРОВАНИЯ ЭКОНОМИЧЕСКОГО РАЗВИТИЯ РЕГИОНОВ //Вестник евразийской науки. – 2022. – Т. 14. – №. 5. – С. 6.</w:t>
      </w:r>
    </w:p>
    <w:p w14:paraId="7C0BFB49" w14:textId="77777777" w:rsidR="005D1A61" w:rsidRDefault="0045737E">
      <w:pPr>
        <w:numPr>
          <w:ilvl w:val="0"/>
          <w:numId w:val="1"/>
        </w:numPr>
        <w:spacing w:after="0" w:line="360" w:lineRule="auto"/>
        <w:jc w:val="both"/>
        <w:rPr>
          <w:sz w:val="24"/>
          <w:szCs w:val="24"/>
        </w:rPr>
      </w:pPr>
      <w:r>
        <w:rPr>
          <w:sz w:val="24"/>
          <w:szCs w:val="24"/>
        </w:rPr>
        <w:t>Королева А. М. Оценка факторов социально-экономического развития Уральского федерального округа //Экономика и предпринимательство. – 2015. – №. 11-1. – С. 323-326.</w:t>
      </w:r>
    </w:p>
    <w:p w14:paraId="72B424F7" w14:textId="77777777" w:rsidR="005D1A61" w:rsidRDefault="0045737E">
      <w:pPr>
        <w:numPr>
          <w:ilvl w:val="0"/>
          <w:numId w:val="1"/>
        </w:numPr>
        <w:spacing w:after="0" w:line="360" w:lineRule="auto"/>
        <w:jc w:val="both"/>
        <w:rPr>
          <w:sz w:val="24"/>
          <w:szCs w:val="24"/>
        </w:rPr>
      </w:pPr>
      <w:r>
        <w:rPr>
          <w:sz w:val="24"/>
          <w:szCs w:val="24"/>
        </w:rPr>
        <w:t>Кривенко Н. В. Направления нейтрализации угроз для социально-экономического развития регионов //Национальные интересы: приоритеты и безопасность. – 2020. – Т. 16. – №. 7. – С. 1384-1400.</w:t>
      </w:r>
    </w:p>
    <w:p w14:paraId="03FB04E8" w14:textId="77777777" w:rsidR="005D1A61" w:rsidRDefault="0045737E">
      <w:pPr>
        <w:numPr>
          <w:ilvl w:val="0"/>
          <w:numId w:val="1"/>
        </w:numPr>
        <w:spacing w:after="0" w:line="360" w:lineRule="auto"/>
        <w:jc w:val="both"/>
        <w:rPr>
          <w:sz w:val="24"/>
          <w:szCs w:val="24"/>
        </w:rPr>
      </w:pPr>
      <w:r>
        <w:rPr>
          <w:sz w:val="24"/>
          <w:szCs w:val="24"/>
        </w:rPr>
        <w:t>Кузнецова И. И. Проблема территориальной дифференциации в региональной экономике и возможности ее исследования на городском уровне //Труды Института системного анализа Российской академии наук. – 2006. – Т. 22. – С. 261-268.</w:t>
      </w:r>
    </w:p>
    <w:p w14:paraId="4FF7DE6B" w14:textId="77777777" w:rsidR="005D1A61" w:rsidRDefault="0045737E">
      <w:pPr>
        <w:numPr>
          <w:ilvl w:val="0"/>
          <w:numId w:val="1"/>
        </w:numPr>
        <w:spacing w:after="0" w:line="360" w:lineRule="auto"/>
        <w:jc w:val="both"/>
        <w:rPr>
          <w:sz w:val="24"/>
          <w:szCs w:val="24"/>
        </w:rPr>
      </w:pPr>
      <w:r>
        <w:rPr>
          <w:sz w:val="24"/>
          <w:szCs w:val="24"/>
        </w:rPr>
        <w:t>Кузнецова О. В. Пирамида факторов социально-экономического развития регионов //Вопросы экономики. – 2013. – №. 2. – С. 121-131.</w:t>
      </w:r>
    </w:p>
    <w:p w14:paraId="731C9A2A" w14:textId="77777777" w:rsidR="005D1A61" w:rsidRDefault="0045737E">
      <w:pPr>
        <w:numPr>
          <w:ilvl w:val="0"/>
          <w:numId w:val="1"/>
        </w:numPr>
        <w:spacing w:after="0" w:line="360" w:lineRule="auto"/>
        <w:jc w:val="both"/>
        <w:rPr>
          <w:sz w:val="24"/>
          <w:szCs w:val="24"/>
        </w:rPr>
      </w:pPr>
      <w:r>
        <w:rPr>
          <w:sz w:val="24"/>
          <w:szCs w:val="24"/>
        </w:rPr>
        <w:t>Кузнецова О. В. Проблемы выбора приоритетов пространственного развития //Вопросы экономики. – 2019. – №. 1. – С. 146-157.</w:t>
      </w:r>
    </w:p>
    <w:p w14:paraId="2B5341A8" w14:textId="77777777" w:rsidR="005D1A61" w:rsidRDefault="0045737E">
      <w:pPr>
        <w:numPr>
          <w:ilvl w:val="0"/>
          <w:numId w:val="1"/>
        </w:numPr>
        <w:spacing w:after="0" w:line="360" w:lineRule="auto"/>
        <w:jc w:val="both"/>
        <w:rPr>
          <w:sz w:val="24"/>
          <w:szCs w:val="24"/>
        </w:rPr>
      </w:pPr>
      <w:r>
        <w:rPr>
          <w:sz w:val="24"/>
          <w:szCs w:val="24"/>
        </w:rPr>
        <w:t>Кузьминых В. С. ОЦЕНКА УРОВНЯ СОЦИАЛЬНО-ЭКОНОМИЧЕСКОГО РАЗВИТИЯ УРАЛЬСКОГО ФЕДЕРАЛЬНОГО ОКРУГА //XXII Всероссийская научно-практическая конференция Нижневартовского государственного университета. – 2020. – С. 34-38.</w:t>
      </w:r>
    </w:p>
    <w:p w14:paraId="340AA25F" w14:textId="77777777" w:rsidR="005D1A61" w:rsidRDefault="0045737E">
      <w:pPr>
        <w:numPr>
          <w:ilvl w:val="0"/>
          <w:numId w:val="1"/>
        </w:numPr>
        <w:spacing w:after="0" w:line="360" w:lineRule="auto"/>
        <w:jc w:val="both"/>
        <w:rPr>
          <w:sz w:val="24"/>
          <w:szCs w:val="24"/>
        </w:rPr>
      </w:pPr>
      <w:r>
        <w:rPr>
          <w:sz w:val="24"/>
          <w:szCs w:val="24"/>
        </w:rPr>
        <w:lastRenderedPageBreak/>
        <w:t>Куклин А. А., Коробков И. В. Выбор эффективной траектории социально-экономического развития региона //Экономика региона. – 2018. – Т. 14. – №. 4. – С. 1145-1155.</w:t>
      </w:r>
    </w:p>
    <w:p w14:paraId="1703F646" w14:textId="77777777" w:rsidR="005D1A61" w:rsidRDefault="0045737E">
      <w:pPr>
        <w:numPr>
          <w:ilvl w:val="0"/>
          <w:numId w:val="1"/>
        </w:numPr>
        <w:spacing w:after="0" w:line="360" w:lineRule="auto"/>
        <w:jc w:val="both"/>
        <w:rPr>
          <w:sz w:val="24"/>
          <w:szCs w:val="24"/>
        </w:rPr>
      </w:pPr>
      <w:proofErr w:type="spellStart"/>
      <w:r>
        <w:rPr>
          <w:sz w:val="24"/>
          <w:szCs w:val="24"/>
        </w:rPr>
        <w:t>Куконков</w:t>
      </w:r>
      <w:proofErr w:type="spellEnd"/>
      <w:r>
        <w:rPr>
          <w:sz w:val="24"/>
          <w:szCs w:val="24"/>
        </w:rPr>
        <w:t xml:space="preserve"> П. И., Морозова Н. М., </w:t>
      </w:r>
      <w:proofErr w:type="spellStart"/>
      <w:r>
        <w:rPr>
          <w:sz w:val="24"/>
          <w:szCs w:val="24"/>
        </w:rPr>
        <w:t>Устинкин</w:t>
      </w:r>
      <w:proofErr w:type="spellEnd"/>
      <w:r>
        <w:rPr>
          <w:sz w:val="24"/>
          <w:szCs w:val="24"/>
        </w:rPr>
        <w:t xml:space="preserve"> С. В. Неравенства и диспропорции социально-экономического развития полиэтнического региона России (на примере Приволжского федерального округа) //Россия реформирующаяся. – 2019. – №. 17. – С. 332-354.</w:t>
      </w:r>
    </w:p>
    <w:p w14:paraId="0E0B9427" w14:textId="77777777" w:rsidR="005D1A61" w:rsidRDefault="0045737E">
      <w:pPr>
        <w:numPr>
          <w:ilvl w:val="0"/>
          <w:numId w:val="1"/>
        </w:numPr>
        <w:spacing w:after="0" w:line="360" w:lineRule="auto"/>
        <w:jc w:val="both"/>
        <w:rPr>
          <w:sz w:val="24"/>
          <w:szCs w:val="24"/>
        </w:rPr>
      </w:pPr>
      <w:r>
        <w:rPr>
          <w:sz w:val="24"/>
          <w:szCs w:val="24"/>
        </w:rPr>
        <w:t>Кулаковский Е. С. Институциональный подход к управлению развитием территории муниципальных районов Воронежской области //Вестник ВГУ. Серия: География. Геоэкология. – 2019. – №. 4. – С. 67-75.</w:t>
      </w:r>
    </w:p>
    <w:p w14:paraId="6D3F62E6" w14:textId="77777777" w:rsidR="005D1A61" w:rsidRDefault="0045737E">
      <w:pPr>
        <w:numPr>
          <w:ilvl w:val="0"/>
          <w:numId w:val="1"/>
        </w:numPr>
        <w:spacing w:after="0" w:line="360" w:lineRule="auto"/>
        <w:jc w:val="both"/>
        <w:rPr>
          <w:sz w:val="24"/>
          <w:szCs w:val="24"/>
        </w:rPr>
      </w:pPr>
      <w:r>
        <w:rPr>
          <w:sz w:val="24"/>
          <w:szCs w:val="24"/>
        </w:rPr>
        <w:t xml:space="preserve">Кулаковский Е. С. Пространственная организация местного самоуправления в условиях Центрального Черноземья России (на материалах Воронежской области): </w:t>
      </w:r>
      <w:proofErr w:type="spellStart"/>
      <w:r>
        <w:rPr>
          <w:sz w:val="24"/>
          <w:szCs w:val="24"/>
        </w:rPr>
        <w:t>дис</w:t>
      </w:r>
      <w:proofErr w:type="spellEnd"/>
      <w:r>
        <w:rPr>
          <w:sz w:val="24"/>
          <w:szCs w:val="24"/>
        </w:rPr>
        <w:t>. … канд. геогр. наук. СПб., 2020. 210 с.</w:t>
      </w:r>
    </w:p>
    <w:p w14:paraId="33C1FD61" w14:textId="77777777" w:rsidR="005D1A61" w:rsidRDefault="0045737E">
      <w:pPr>
        <w:numPr>
          <w:ilvl w:val="0"/>
          <w:numId w:val="1"/>
        </w:numPr>
        <w:spacing w:after="0" w:line="360" w:lineRule="auto"/>
        <w:jc w:val="both"/>
        <w:rPr>
          <w:sz w:val="24"/>
          <w:szCs w:val="24"/>
        </w:rPr>
      </w:pPr>
      <w:proofErr w:type="spellStart"/>
      <w:r>
        <w:rPr>
          <w:sz w:val="24"/>
          <w:szCs w:val="24"/>
        </w:rPr>
        <w:t>Лаженцев</w:t>
      </w:r>
      <w:proofErr w:type="spellEnd"/>
      <w:r>
        <w:rPr>
          <w:sz w:val="24"/>
          <w:szCs w:val="24"/>
        </w:rPr>
        <w:t xml:space="preserve"> В. Н. Концепция программного решения проблем формирования и развития территориально-хозяйственных систем //Экономические и социальные перемены: факты, тенденции, прогноз. – 2017. – №. 5 (53). – С. 37-50.</w:t>
      </w:r>
    </w:p>
    <w:p w14:paraId="34223467" w14:textId="77777777" w:rsidR="005D1A61" w:rsidRDefault="0045737E">
      <w:pPr>
        <w:numPr>
          <w:ilvl w:val="0"/>
          <w:numId w:val="1"/>
        </w:numPr>
        <w:spacing w:after="0" w:line="360" w:lineRule="auto"/>
        <w:jc w:val="both"/>
        <w:rPr>
          <w:sz w:val="24"/>
          <w:szCs w:val="24"/>
        </w:rPr>
      </w:pPr>
      <w:proofErr w:type="spellStart"/>
      <w:r>
        <w:rPr>
          <w:sz w:val="24"/>
          <w:szCs w:val="24"/>
        </w:rPr>
        <w:t>Лаженцев</w:t>
      </w:r>
      <w:proofErr w:type="spellEnd"/>
      <w:r>
        <w:rPr>
          <w:sz w:val="24"/>
          <w:szCs w:val="24"/>
        </w:rPr>
        <w:t xml:space="preserve"> В. Н. Теория территориального развития и практика территориального планирования //Вопросы территориального развития. – 2014. – №. 8 (18). – С. 1.</w:t>
      </w:r>
    </w:p>
    <w:p w14:paraId="1F4115CF" w14:textId="77777777" w:rsidR="005D1A61" w:rsidRDefault="0045737E">
      <w:pPr>
        <w:numPr>
          <w:ilvl w:val="0"/>
          <w:numId w:val="1"/>
        </w:numPr>
        <w:spacing w:after="0" w:line="360" w:lineRule="auto"/>
        <w:jc w:val="both"/>
        <w:rPr>
          <w:sz w:val="24"/>
          <w:szCs w:val="24"/>
        </w:rPr>
      </w:pPr>
      <w:r>
        <w:rPr>
          <w:sz w:val="24"/>
          <w:szCs w:val="24"/>
        </w:rPr>
        <w:t>Лапин А. Е., Лапин Я. А. Оценка уровня социально-экономического развития регионов Приволжского Федерального округа //Известия высших учебных заведений. Поволжский регион. Общественные науки. – 2020. – №. 4 (56). – С. 117-135.</w:t>
      </w:r>
    </w:p>
    <w:p w14:paraId="1EEE5721" w14:textId="77777777" w:rsidR="005D1A61" w:rsidRDefault="0045737E">
      <w:pPr>
        <w:numPr>
          <w:ilvl w:val="0"/>
          <w:numId w:val="1"/>
        </w:numPr>
        <w:spacing w:after="0" w:line="360" w:lineRule="auto"/>
        <w:jc w:val="both"/>
        <w:rPr>
          <w:sz w:val="24"/>
          <w:szCs w:val="24"/>
        </w:rPr>
      </w:pPr>
      <w:r>
        <w:rPr>
          <w:sz w:val="24"/>
          <w:szCs w:val="24"/>
        </w:rPr>
        <w:t xml:space="preserve">Мажар Л. Ю., </w:t>
      </w:r>
      <w:proofErr w:type="spellStart"/>
      <w:r>
        <w:rPr>
          <w:sz w:val="24"/>
          <w:szCs w:val="24"/>
        </w:rPr>
        <w:t>Частобаев</w:t>
      </w:r>
      <w:proofErr w:type="spellEnd"/>
      <w:r>
        <w:rPr>
          <w:sz w:val="24"/>
          <w:szCs w:val="24"/>
        </w:rPr>
        <w:t xml:space="preserve"> А. И. Территориальные социально-экономические системы и региональное развитие //Вестник Санкт-Петербургского университета. Науки о Земле. – 2006. – №. 1. – С. 80-89.</w:t>
      </w:r>
    </w:p>
    <w:p w14:paraId="389157EB" w14:textId="77777777" w:rsidR="005D1A61" w:rsidRDefault="0045737E">
      <w:pPr>
        <w:numPr>
          <w:ilvl w:val="0"/>
          <w:numId w:val="1"/>
        </w:numPr>
        <w:spacing w:after="0" w:line="360" w:lineRule="auto"/>
        <w:jc w:val="both"/>
        <w:rPr>
          <w:sz w:val="24"/>
          <w:szCs w:val="24"/>
        </w:rPr>
      </w:pPr>
      <w:r>
        <w:rPr>
          <w:sz w:val="24"/>
          <w:szCs w:val="24"/>
        </w:rPr>
        <w:t>Малкина М. Ю. К вопросу о необходимости взвешивания в межрегиональных исследованиях (ответ на статью КП Глущенко) //Пространственная экономика. – 2016. – №. 1. – С. 163-184.</w:t>
      </w:r>
    </w:p>
    <w:p w14:paraId="3AE69E6D" w14:textId="77777777" w:rsidR="005D1A61" w:rsidRDefault="0045737E">
      <w:pPr>
        <w:numPr>
          <w:ilvl w:val="0"/>
          <w:numId w:val="1"/>
        </w:numPr>
        <w:spacing w:after="0" w:line="360" w:lineRule="auto"/>
        <w:jc w:val="both"/>
        <w:rPr>
          <w:sz w:val="24"/>
          <w:szCs w:val="24"/>
        </w:rPr>
      </w:pPr>
      <w:r>
        <w:rPr>
          <w:sz w:val="24"/>
          <w:szCs w:val="24"/>
        </w:rPr>
        <w:t xml:space="preserve">Малкина М. Ю. Оценка факторов конвергенции/дивергенции российских регионов по уровню бюджетной обеспеченности на основе декомпозиции индексов </w:t>
      </w:r>
      <w:proofErr w:type="spellStart"/>
      <w:r>
        <w:rPr>
          <w:sz w:val="24"/>
          <w:szCs w:val="24"/>
        </w:rPr>
        <w:t>Тейла</w:t>
      </w:r>
      <w:proofErr w:type="spellEnd"/>
      <w:r>
        <w:rPr>
          <w:sz w:val="24"/>
          <w:szCs w:val="24"/>
        </w:rPr>
        <w:t>-Бернулли //Пространственная экономика. – 2016. – №. 3. – С. 16-37.</w:t>
      </w:r>
    </w:p>
    <w:p w14:paraId="3C587D16" w14:textId="77777777" w:rsidR="005D1A61" w:rsidRDefault="0045737E">
      <w:pPr>
        <w:numPr>
          <w:ilvl w:val="0"/>
          <w:numId w:val="1"/>
        </w:numPr>
        <w:spacing w:after="0" w:line="360" w:lineRule="auto"/>
        <w:jc w:val="both"/>
        <w:rPr>
          <w:sz w:val="24"/>
          <w:szCs w:val="24"/>
        </w:rPr>
      </w:pPr>
      <w:r>
        <w:rPr>
          <w:sz w:val="24"/>
          <w:szCs w:val="24"/>
        </w:rPr>
        <w:t xml:space="preserve">Морозова Е. А., </w:t>
      </w:r>
      <w:proofErr w:type="spellStart"/>
      <w:r>
        <w:rPr>
          <w:sz w:val="24"/>
          <w:szCs w:val="24"/>
        </w:rPr>
        <w:t>Челомбитко</w:t>
      </w:r>
      <w:proofErr w:type="spellEnd"/>
      <w:r>
        <w:rPr>
          <w:sz w:val="24"/>
          <w:szCs w:val="24"/>
        </w:rPr>
        <w:t xml:space="preserve"> А. Н., Андреева Л. М. Демографическая ситуация и ее влияние на социально-экономическое развитие региона //Вестник Кемеровского государственного университета. – 2012. – №. 2. – С. 213-219.</w:t>
      </w:r>
    </w:p>
    <w:p w14:paraId="29C38564" w14:textId="77777777" w:rsidR="005D1A61" w:rsidRDefault="0045737E">
      <w:pPr>
        <w:numPr>
          <w:ilvl w:val="0"/>
          <w:numId w:val="1"/>
        </w:numPr>
        <w:spacing w:after="0" w:line="360" w:lineRule="auto"/>
        <w:jc w:val="both"/>
        <w:rPr>
          <w:sz w:val="24"/>
          <w:szCs w:val="24"/>
        </w:rPr>
      </w:pPr>
      <w:r>
        <w:rPr>
          <w:sz w:val="24"/>
          <w:szCs w:val="24"/>
        </w:rPr>
        <w:lastRenderedPageBreak/>
        <w:t xml:space="preserve">Морозова Н. В., </w:t>
      </w:r>
      <w:proofErr w:type="gramStart"/>
      <w:r>
        <w:rPr>
          <w:sz w:val="24"/>
          <w:szCs w:val="24"/>
        </w:rPr>
        <w:t>Ивашкова</w:t>
      </w:r>
      <w:proofErr w:type="gramEnd"/>
      <w:r>
        <w:rPr>
          <w:sz w:val="24"/>
          <w:szCs w:val="24"/>
        </w:rPr>
        <w:t xml:space="preserve"> Т. К. Дифференциация регионального развития субъектов Приволжского федерального округа //Транспортное дело России. – 2013. – №. 5. – С. 37-39.</w:t>
      </w:r>
    </w:p>
    <w:p w14:paraId="4CE12358" w14:textId="77777777" w:rsidR="005D1A61" w:rsidRDefault="0045737E">
      <w:pPr>
        <w:numPr>
          <w:ilvl w:val="0"/>
          <w:numId w:val="1"/>
        </w:numPr>
        <w:spacing w:after="0" w:line="360" w:lineRule="auto"/>
        <w:jc w:val="both"/>
        <w:rPr>
          <w:sz w:val="24"/>
          <w:szCs w:val="24"/>
        </w:rPr>
      </w:pPr>
      <w:r>
        <w:rPr>
          <w:sz w:val="24"/>
          <w:szCs w:val="24"/>
        </w:rPr>
        <w:t>Нестерова Н. Н., Осипова И. В. Особенности планирования и прогнозирования социально-экономического развития регионов в условиях глобальных изменений //Современные проблемы науки и образования. – 2014. – №. 4. – С. 349-349.</w:t>
      </w:r>
    </w:p>
    <w:p w14:paraId="7415D4E3" w14:textId="77777777" w:rsidR="005D1A61" w:rsidRDefault="0045737E">
      <w:pPr>
        <w:numPr>
          <w:ilvl w:val="0"/>
          <w:numId w:val="1"/>
        </w:numPr>
        <w:spacing w:after="0" w:line="360" w:lineRule="auto"/>
        <w:jc w:val="both"/>
        <w:rPr>
          <w:sz w:val="24"/>
          <w:szCs w:val="24"/>
        </w:rPr>
      </w:pPr>
      <w:r>
        <w:rPr>
          <w:sz w:val="24"/>
          <w:szCs w:val="24"/>
        </w:rPr>
        <w:t xml:space="preserve">Нижегородцев Р. М., Пискун Е. И., </w:t>
      </w:r>
      <w:proofErr w:type="spellStart"/>
      <w:r>
        <w:rPr>
          <w:sz w:val="24"/>
          <w:szCs w:val="24"/>
        </w:rPr>
        <w:t>Кудревич</w:t>
      </w:r>
      <w:proofErr w:type="spellEnd"/>
      <w:r>
        <w:rPr>
          <w:sz w:val="24"/>
          <w:szCs w:val="24"/>
        </w:rPr>
        <w:t xml:space="preserve"> В. В. Прогнозирование показателей социально-экономического развития региона //Экономика региона. – 2017. – Т. 13. – №. 1. – С. 38-48.</w:t>
      </w:r>
    </w:p>
    <w:p w14:paraId="0494F437" w14:textId="77777777" w:rsidR="005D1A61" w:rsidRDefault="0045737E">
      <w:pPr>
        <w:numPr>
          <w:ilvl w:val="0"/>
          <w:numId w:val="1"/>
        </w:numPr>
        <w:spacing w:after="0" w:line="360" w:lineRule="auto"/>
        <w:jc w:val="both"/>
        <w:rPr>
          <w:sz w:val="24"/>
          <w:szCs w:val="24"/>
        </w:rPr>
      </w:pPr>
      <w:r>
        <w:rPr>
          <w:sz w:val="24"/>
          <w:szCs w:val="24"/>
        </w:rPr>
        <w:t xml:space="preserve">Павлов К.В. Инерционность социально-экономических и экологических систем // Национальные интересы: приоритеты и безопасность. 2007. </w:t>
      </w:r>
    </w:p>
    <w:p w14:paraId="61699D3F" w14:textId="77777777" w:rsidR="005D1A61" w:rsidRDefault="0045737E">
      <w:pPr>
        <w:numPr>
          <w:ilvl w:val="0"/>
          <w:numId w:val="1"/>
        </w:numPr>
        <w:spacing w:after="0" w:line="360" w:lineRule="auto"/>
        <w:jc w:val="both"/>
        <w:rPr>
          <w:sz w:val="24"/>
          <w:szCs w:val="24"/>
        </w:rPr>
      </w:pPr>
      <w:r>
        <w:rPr>
          <w:sz w:val="24"/>
          <w:szCs w:val="24"/>
        </w:rPr>
        <w:t>Придворова Е. С. Сравнительный анализ методов прогнозирования социально-экономического развития региона (на примере Белгородской области) //Экономика. Информатика. – 2013. – Т. 25. – №. 1-1 (144). – С. 5-14.</w:t>
      </w:r>
    </w:p>
    <w:p w14:paraId="2BC26DBA" w14:textId="77777777" w:rsidR="005D1A61" w:rsidRDefault="0045737E">
      <w:pPr>
        <w:numPr>
          <w:ilvl w:val="0"/>
          <w:numId w:val="1"/>
        </w:numPr>
        <w:spacing w:after="0" w:line="360" w:lineRule="auto"/>
        <w:jc w:val="both"/>
        <w:rPr>
          <w:sz w:val="24"/>
          <w:szCs w:val="24"/>
        </w:rPr>
      </w:pPr>
      <w:r>
        <w:rPr>
          <w:sz w:val="24"/>
          <w:szCs w:val="24"/>
        </w:rPr>
        <w:t>Руднева Л. Н., Мосякина Е. А. Оценка дифференциации социально-экономического развития субъектов Уральского федерального округа //Перспективы науки. – 2013. – №. 6. – С. 45.</w:t>
      </w:r>
    </w:p>
    <w:p w14:paraId="5CF84B5D" w14:textId="77777777" w:rsidR="005D1A61" w:rsidRDefault="0045737E">
      <w:pPr>
        <w:numPr>
          <w:ilvl w:val="0"/>
          <w:numId w:val="1"/>
        </w:numPr>
        <w:spacing w:after="0" w:line="360" w:lineRule="auto"/>
        <w:jc w:val="both"/>
        <w:rPr>
          <w:sz w:val="24"/>
          <w:szCs w:val="24"/>
        </w:rPr>
      </w:pPr>
      <w:r>
        <w:rPr>
          <w:sz w:val="24"/>
          <w:szCs w:val="24"/>
        </w:rPr>
        <w:t>Седаков И. А. Общие методологические подходы к моделированию и прогнозированию социально-экономического развития региона //Проблемы прогнозирования. – 2008. – №. 4. – С. 151-155.</w:t>
      </w:r>
    </w:p>
    <w:p w14:paraId="3C7023F9" w14:textId="77777777" w:rsidR="005D1A61" w:rsidRDefault="0045737E">
      <w:pPr>
        <w:numPr>
          <w:ilvl w:val="0"/>
          <w:numId w:val="1"/>
        </w:numPr>
        <w:spacing w:after="0" w:line="360" w:lineRule="auto"/>
        <w:jc w:val="both"/>
        <w:rPr>
          <w:sz w:val="24"/>
          <w:szCs w:val="24"/>
        </w:rPr>
      </w:pPr>
      <w:r>
        <w:rPr>
          <w:sz w:val="24"/>
          <w:szCs w:val="24"/>
        </w:rPr>
        <w:t xml:space="preserve">Сидельников А. С., </w:t>
      </w:r>
      <w:proofErr w:type="spellStart"/>
      <w:r>
        <w:rPr>
          <w:sz w:val="24"/>
          <w:szCs w:val="24"/>
        </w:rPr>
        <w:t>Шадринцева</w:t>
      </w:r>
      <w:proofErr w:type="spellEnd"/>
      <w:r>
        <w:rPr>
          <w:sz w:val="24"/>
          <w:szCs w:val="24"/>
        </w:rPr>
        <w:t xml:space="preserve"> К. Д. Анализ социально-экономического развития Уральского федерального округа за период 2015-2017 годов //Научные записки молодых исследователей. – 2019. – №. 1. – С. 51-61.</w:t>
      </w:r>
    </w:p>
    <w:p w14:paraId="3520E498" w14:textId="77777777" w:rsidR="005D1A61" w:rsidRDefault="0045737E">
      <w:pPr>
        <w:numPr>
          <w:ilvl w:val="0"/>
          <w:numId w:val="1"/>
        </w:numPr>
        <w:spacing w:after="0" w:line="360" w:lineRule="auto"/>
        <w:jc w:val="both"/>
        <w:rPr>
          <w:sz w:val="24"/>
          <w:szCs w:val="24"/>
        </w:rPr>
      </w:pPr>
      <w:proofErr w:type="spellStart"/>
      <w:r>
        <w:rPr>
          <w:sz w:val="24"/>
          <w:szCs w:val="24"/>
        </w:rPr>
        <w:t>Скатерщиков</w:t>
      </w:r>
      <w:proofErr w:type="spellEnd"/>
      <w:r>
        <w:rPr>
          <w:sz w:val="24"/>
          <w:szCs w:val="24"/>
        </w:rPr>
        <w:t xml:space="preserve"> С. В., </w:t>
      </w:r>
      <w:proofErr w:type="spellStart"/>
      <w:r>
        <w:rPr>
          <w:sz w:val="24"/>
          <w:szCs w:val="24"/>
        </w:rPr>
        <w:t>Чистобаев</w:t>
      </w:r>
      <w:proofErr w:type="spellEnd"/>
      <w:r>
        <w:rPr>
          <w:sz w:val="24"/>
          <w:szCs w:val="24"/>
        </w:rPr>
        <w:t xml:space="preserve"> А. И. Принципы территориального планирования и их реализация в Европейском союзе и Российской Федерации //Балтийский регион. – 2014. – №. 1. – С. 137-148.</w:t>
      </w:r>
    </w:p>
    <w:p w14:paraId="49EE6C97" w14:textId="77777777" w:rsidR="005D1A61" w:rsidRDefault="0045737E">
      <w:pPr>
        <w:numPr>
          <w:ilvl w:val="0"/>
          <w:numId w:val="1"/>
        </w:numPr>
        <w:spacing w:after="0" w:line="360" w:lineRule="auto"/>
        <w:jc w:val="both"/>
        <w:rPr>
          <w:sz w:val="24"/>
          <w:szCs w:val="24"/>
        </w:rPr>
      </w:pPr>
      <w:proofErr w:type="spellStart"/>
      <w:r>
        <w:rPr>
          <w:sz w:val="24"/>
          <w:szCs w:val="24"/>
        </w:rPr>
        <w:t>Скуфьина</w:t>
      </w:r>
      <w:proofErr w:type="spellEnd"/>
      <w:r>
        <w:rPr>
          <w:sz w:val="24"/>
          <w:szCs w:val="24"/>
        </w:rPr>
        <w:t xml:space="preserve">, Т. П. Эконометрическая оценка развития межрегиональной дифференциации в России и прогноз влияния ВТО на динамику процесса / Т. П. </w:t>
      </w:r>
      <w:proofErr w:type="spellStart"/>
      <w:r>
        <w:rPr>
          <w:sz w:val="24"/>
          <w:szCs w:val="24"/>
        </w:rPr>
        <w:t>Скуфьина</w:t>
      </w:r>
      <w:proofErr w:type="spellEnd"/>
      <w:r>
        <w:rPr>
          <w:sz w:val="24"/>
          <w:szCs w:val="24"/>
        </w:rPr>
        <w:t xml:space="preserve">, С. В. Баранов, В. П. Самарина. – </w:t>
      </w:r>
      <w:proofErr w:type="gramStart"/>
      <w:r>
        <w:rPr>
          <w:sz w:val="24"/>
          <w:szCs w:val="24"/>
        </w:rPr>
        <w:t>Апатиты :</w:t>
      </w:r>
      <w:proofErr w:type="gramEnd"/>
      <w:r>
        <w:rPr>
          <w:sz w:val="24"/>
          <w:szCs w:val="24"/>
        </w:rPr>
        <w:t xml:space="preserve"> Институт экономических проблем им. Г.П. Лузина Кольского научного центра РАН, 2015. – 150 с. – ISBN 978-5-91137-319-1. – EDN UZRVVP.</w:t>
      </w:r>
    </w:p>
    <w:p w14:paraId="5AC8C0BC" w14:textId="77777777" w:rsidR="005D1A61" w:rsidRDefault="0045737E">
      <w:pPr>
        <w:numPr>
          <w:ilvl w:val="0"/>
          <w:numId w:val="1"/>
        </w:numPr>
        <w:spacing w:after="0" w:line="360" w:lineRule="auto"/>
        <w:jc w:val="both"/>
        <w:rPr>
          <w:sz w:val="24"/>
          <w:szCs w:val="24"/>
        </w:rPr>
      </w:pPr>
      <w:r>
        <w:rPr>
          <w:sz w:val="24"/>
          <w:szCs w:val="24"/>
        </w:rPr>
        <w:t>Слепнева Л. Р. Оценка уровня социально-экономического развития регионов: методический аспект //Россия: тенденции и перспективы развития. – 2017. – №. 12-2. – С. 944-950.</w:t>
      </w:r>
    </w:p>
    <w:p w14:paraId="6296CB01" w14:textId="77777777" w:rsidR="005D1A61" w:rsidRDefault="0045737E">
      <w:pPr>
        <w:numPr>
          <w:ilvl w:val="0"/>
          <w:numId w:val="1"/>
        </w:numPr>
        <w:spacing w:line="360" w:lineRule="auto"/>
        <w:jc w:val="both"/>
        <w:rPr>
          <w:sz w:val="24"/>
          <w:szCs w:val="24"/>
        </w:rPr>
      </w:pPr>
      <w:r>
        <w:rPr>
          <w:color w:val="222222"/>
          <w:sz w:val="24"/>
          <w:szCs w:val="24"/>
        </w:rPr>
        <w:lastRenderedPageBreak/>
        <w:t>Старовойтов М. К., Медведева Л. Н. Типология городов: эволюция и многогранность подходов //Национальные интересы: приоритеты и безопасность. – 2008. – №. 6. – С. 71-75.</w:t>
      </w:r>
    </w:p>
    <w:p w14:paraId="4DF6D5FB" w14:textId="77777777" w:rsidR="005D1A61" w:rsidRDefault="0045737E">
      <w:pPr>
        <w:numPr>
          <w:ilvl w:val="0"/>
          <w:numId w:val="1"/>
        </w:numPr>
        <w:spacing w:after="0" w:line="360" w:lineRule="auto"/>
        <w:jc w:val="both"/>
        <w:rPr>
          <w:sz w:val="24"/>
          <w:szCs w:val="24"/>
        </w:rPr>
      </w:pPr>
      <w:proofErr w:type="spellStart"/>
      <w:r>
        <w:rPr>
          <w:sz w:val="24"/>
          <w:szCs w:val="24"/>
        </w:rPr>
        <w:t>Суспицын</w:t>
      </w:r>
      <w:proofErr w:type="spellEnd"/>
      <w:r>
        <w:rPr>
          <w:sz w:val="24"/>
          <w:szCs w:val="24"/>
        </w:rPr>
        <w:t xml:space="preserve"> С. А. Барометры общего регионального положения //Проблемы прогнозирования. – 2005. – №. 2. – С. 97-111.</w:t>
      </w:r>
    </w:p>
    <w:p w14:paraId="117BD840" w14:textId="77777777" w:rsidR="005D1A61" w:rsidRDefault="0045737E">
      <w:pPr>
        <w:numPr>
          <w:ilvl w:val="0"/>
          <w:numId w:val="1"/>
        </w:numPr>
        <w:spacing w:after="0" w:line="360" w:lineRule="auto"/>
        <w:jc w:val="both"/>
        <w:rPr>
          <w:sz w:val="24"/>
          <w:szCs w:val="24"/>
        </w:rPr>
      </w:pPr>
      <w:proofErr w:type="spellStart"/>
      <w:r>
        <w:rPr>
          <w:sz w:val="24"/>
          <w:szCs w:val="24"/>
        </w:rPr>
        <w:t>Суспицын</w:t>
      </w:r>
      <w:proofErr w:type="spellEnd"/>
      <w:r>
        <w:rPr>
          <w:sz w:val="24"/>
          <w:szCs w:val="24"/>
        </w:rPr>
        <w:t xml:space="preserve"> С. А. Измерения в пространстве региональных индикаторов: методология, методики, результаты //Регион: экономика и социология. – 2014. – №. 3. – С. 3-30.</w:t>
      </w:r>
    </w:p>
    <w:p w14:paraId="5723CF76" w14:textId="77777777" w:rsidR="005D1A61" w:rsidRDefault="0045737E">
      <w:pPr>
        <w:numPr>
          <w:ilvl w:val="0"/>
          <w:numId w:val="1"/>
        </w:numPr>
        <w:spacing w:after="0" w:line="360" w:lineRule="auto"/>
        <w:jc w:val="both"/>
        <w:rPr>
          <w:sz w:val="24"/>
          <w:szCs w:val="24"/>
        </w:rPr>
      </w:pPr>
      <w:r>
        <w:rPr>
          <w:sz w:val="24"/>
          <w:szCs w:val="24"/>
        </w:rPr>
        <w:t>Татаркин А. И. Приоритеты социально-экономического развития Уральского федерального округа //Экономическая наука современной России. – 2001. – №. 3. – С. 101-113.</w:t>
      </w:r>
    </w:p>
    <w:p w14:paraId="13DAD543" w14:textId="77777777" w:rsidR="005D1A61" w:rsidRDefault="0045737E">
      <w:pPr>
        <w:numPr>
          <w:ilvl w:val="0"/>
          <w:numId w:val="1"/>
        </w:numPr>
        <w:spacing w:after="0" w:line="360" w:lineRule="auto"/>
        <w:jc w:val="both"/>
        <w:rPr>
          <w:sz w:val="24"/>
          <w:szCs w:val="24"/>
        </w:rPr>
      </w:pPr>
      <w:proofErr w:type="spellStart"/>
      <w:r>
        <w:rPr>
          <w:sz w:val="24"/>
          <w:szCs w:val="24"/>
        </w:rPr>
        <w:t>Троцковский</w:t>
      </w:r>
      <w:proofErr w:type="spellEnd"/>
      <w:r>
        <w:rPr>
          <w:sz w:val="24"/>
          <w:szCs w:val="24"/>
        </w:rPr>
        <w:t xml:space="preserve"> А. Я. Пространственные исследования в работах российских </w:t>
      </w:r>
      <w:proofErr w:type="spellStart"/>
      <w:r>
        <w:rPr>
          <w:sz w:val="24"/>
          <w:szCs w:val="24"/>
        </w:rPr>
        <w:t>регионалистов</w:t>
      </w:r>
      <w:proofErr w:type="spellEnd"/>
      <w:r>
        <w:rPr>
          <w:sz w:val="24"/>
          <w:szCs w:val="24"/>
        </w:rPr>
        <w:t>: нарративный обзор //Экономика Профессия Бизнес. – 2021. – №. 3. – С. 125-132.</w:t>
      </w:r>
    </w:p>
    <w:p w14:paraId="4D341453" w14:textId="77777777" w:rsidR="005D1A61" w:rsidRDefault="0045737E">
      <w:pPr>
        <w:numPr>
          <w:ilvl w:val="0"/>
          <w:numId w:val="1"/>
        </w:numPr>
        <w:spacing w:after="0" w:line="360" w:lineRule="auto"/>
        <w:jc w:val="both"/>
        <w:rPr>
          <w:sz w:val="24"/>
          <w:szCs w:val="24"/>
        </w:rPr>
      </w:pPr>
      <w:proofErr w:type="spellStart"/>
      <w:r>
        <w:rPr>
          <w:sz w:val="24"/>
          <w:szCs w:val="24"/>
        </w:rPr>
        <w:t>Троцковский</w:t>
      </w:r>
      <w:proofErr w:type="spellEnd"/>
      <w:r>
        <w:rPr>
          <w:sz w:val="24"/>
          <w:szCs w:val="24"/>
        </w:rPr>
        <w:t xml:space="preserve"> А. Я., </w:t>
      </w:r>
      <w:proofErr w:type="spellStart"/>
      <w:r>
        <w:rPr>
          <w:sz w:val="24"/>
          <w:szCs w:val="24"/>
        </w:rPr>
        <w:t>Наземцева</w:t>
      </w:r>
      <w:proofErr w:type="spellEnd"/>
      <w:r>
        <w:rPr>
          <w:sz w:val="24"/>
          <w:szCs w:val="24"/>
        </w:rPr>
        <w:t xml:space="preserve"> Ю. Ю. Ключевые концепции региональной политики: сравнительный анализ теоретических основ //Известия Алтайского государственного университета. – 2014. – Т. 1. – №. 2 (82). – С. 298-302.</w:t>
      </w:r>
    </w:p>
    <w:p w14:paraId="61FC9BB4" w14:textId="77777777" w:rsidR="005D1A61" w:rsidRDefault="0045737E">
      <w:pPr>
        <w:numPr>
          <w:ilvl w:val="0"/>
          <w:numId w:val="1"/>
        </w:numPr>
        <w:spacing w:after="0" w:line="360" w:lineRule="auto"/>
        <w:jc w:val="both"/>
        <w:rPr>
          <w:sz w:val="24"/>
          <w:szCs w:val="24"/>
        </w:rPr>
      </w:pPr>
      <w:proofErr w:type="spellStart"/>
      <w:r>
        <w:rPr>
          <w:sz w:val="24"/>
          <w:szCs w:val="24"/>
        </w:rPr>
        <w:t>Троцковский</w:t>
      </w:r>
      <w:proofErr w:type="spellEnd"/>
      <w:r>
        <w:rPr>
          <w:sz w:val="24"/>
          <w:szCs w:val="24"/>
        </w:rPr>
        <w:t xml:space="preserve"> А. Я., Щетинин М. П. Концептуальные основы регулирования территориального развития на </w:t>
      </w:r>
      <w:proofErr w:type="spellStart"/>
      <w:r>
        <w:rPr>
          <w:sz w:val="24"/>
          <w:szCs w:val="24"/>
        </w:rPr>
        <w:t>мезоуровне</w:t>
      </w:r>
      <w:proofErr w:type="spellEnd"/>
      <w:r>
        <w:rPr>
          <w:sz w:val="24"/>
          <w:szCs w:val="24"/>
        </w:rPr>
        <w:t xml:space="preserve"> //Известия Алтайского государственного университета. – 2010. – №. 2-2. – С. 298-308.</w:t>
      </w:r>
    </w:p>
    <w:p w14:paraId="32EE2348" w14:textId="77777777" w:rsidR="005D1A61" w:rsidRDefault="0045737E">
      <w:pPr>
        <w:numPr>
          <w:ilvl w:val="0"/>
          <w:numId w:val="1"/>
        </w:numPr>
        <w:spacing w:after="0" w:line="360" w:lineRule="auto"/>
        <w:jc w:val="both"/>
        <w:rPr>
          <w:sz w:val="24"/>
          <w:szCs w:val="24"/>
        </w:rPr>
      </w:pPr>
      <w:proofErr w:type="spellStart"/>
      <w:r>
        <w:rPr>
          <w:sz w:val="24"/>
          <w:szCs w:val="24"/>
        </w:rPr>
        <w:t>Тургель</w:t>
      </w:r>
      <w:proofErr w:type="spellEnd"/>
      <w:r>
        <w:rPr>
          <w:sz w:val="24"/>
          <w:szCs w:val="24"/>
        </w:rPr>
        <w:t xml:space="preserve"> И. Д., </w:t>
      </w:r>
      <w:proofErr w:type="spellStart"/>
      <w:r>
        <w:rPr>
          <w:sz w:val="24"/>
          <w:szCs w:val="24"/>
        </w:rPr>
        <w:t>Победин</w:t>
      </w:r>
      <w:proofErr w:type="spellEnd"/>
      <w:r>
        <w:rPr>
          <w:sz w:val="24"/>
          <w:szCs w:val="24"/>
        </w:rPr>
        <w:t xml:space="preserve"> А. А. Территориальная дифференциация социально-экономического развития муниципальных образований в субъекте Российской Федерации: опыт вариационного анализа (на примере Свердловской области) //Региональная экономика: теория и практика. – 2007. – №. 12. – С. 12-23.</w:t>
      </w:r>
    </w:p>
    <w:p w14:paraId="74CC414B" w14:textId="77777777" w:rsidR="005D1A61" w:rsidRDefault="0045737E">
      <w:pPr>
        <w:numPr>
          <w:ilvl w:val="0"/>
          <w:numId w:val="1"/>
        </w:numPr>
        <w:spacing w:after="0" w:line="360" w:lineRule="auto"/>
        <w:jc w:val="both"/>
        <w:rPr>
          <w:sz w:val="24"/>
          <w:szCs w:val="24"/>
        </w:rPr>
      </w:pPr>
      <w:r>
        <w:rPr>
          <w:sz w:val="24"/>
          <w:szCs w:val="24"/>
        </w:rPr>
        <w:t xml:space="preserve">Факторы устойчивого развития регионов России / Л. Х. </w:t>
      </w:r>
      <w:proofErr w:type="spellStart"/>
      <w:r>
        <w:rPr>
          <w:sz w:val="24"/>
          <w:szCs w:val="24"/>
        </w:rPr>
        <w:t>Абазова</w:t>
      </w:r>
      <w:proofErr w:type="spellEnd"/>
      <w:r>
        <w:rPr>
          <w:sz w:val="24"/>
          <w:szCs w:val="24"/>
        </w:rPr>
        <w:t xml:space="preserve">, А. А. Авдеева, Е. В. Бобровская и </w:t>
      </w:r>
      <w:proofErr w:type="gramStart"/>
      <w:r>
        <w:rPr>
          <w:sz w:val="24"/>
          <w:szCs w:val="24"/>
        </w:rPr>
        <w:t>др..</w:t>
      </w:r>
      <w:proofErr w:type="gramEnd"/>
      <w:r>
        <w:rPr>
          <w:sz w:val="24"/>
          <w:szCs w:val="24"/>
        </w:rPr>
        <w:t xml:space="preserve"> Том Книга 17. – </w:t>
      </w:r>
      <w:proofErr w:type="gramStart"/>
      <w:r>
        <w:rPr>
          <w:sz w:val="24"/>
          <w:szCs w:val="24"/>
        </w:rPr>
        <w:t>Новосибирск :</w:t>
      </w:r>
      <w:proofErr w:type="gramEnd"/>
      <w:r>
        <w:rPr>
          <w:sz w:val="24"/>
          <w:szCs w:val="24"/>
        </w:rPr>
        <w:t xml:space="preserve"> Общество с ограниченной ответственностью "Центр развития научного сотрудничества", 2014. – 339 с. – ISBN 978-5-00068-111-4. – EDN STIINN.</w:t>
      </w:r>
    </w:p>
    <w:p w14:paraId="5AF1C6AB" w14:textId="77777777" w:rsidR="005D1A61" w:rsidRDefault="0045737E">
      <w:pPr>
        <w:numPr>
          <w:ilvl w:val="0"/>
          <w:numId w:val="1"/>
        </w:numPr>
        <w:spacing w:after="0" w:line="360" w:lineRule="auto"/>
        <w:jc w:val="both"/>
        <w:rPr>
          <w:sz w:val="24"/>
          <w:szCs w:val="24"/>
        </w:rPr>
      </w:pPr>
      <w:r>
        <w:rPr>
          <w:sz w:val="24"/>
          <w:szCs w:val="24"/>
        </w:rPr>
        <w:t xml:space="preserve">Федулова С. И. Пространственное планирование в странах Европейского союза и в Российской Федерации: географические особенности, лучшие </w:t>
      </w:r>
      <w:proofErr w:type="gramStart"/>
      <w:r>
        <w:rPr>
          <w:sz w:val="24"/>
          <w:szCs w:val="24"/>
        </w:rPr>
        <w:t>практики :</w:t>
      </w:r>
      <w:proofErr w:type="gramEnd"/>
      <w:r>
        <w:rPr>
          <w:sz w:val="24"/>
          <w:szCs w:val="24"/>
        </w:rPr>
        <w:t xml:space="preserve"> </w:t>
      </w:r>
      <w:proofErr w:type="spellStart"/>
      <w:r>
        <w:rPr>
          <w:sz w:val="24"/>
          <w:szCs w:val="24"/>
        </w:rPr>
        <w:t>дис</w:t>
      </w:r>
      <w:proofErr w:type="spellEnd"/>
      <w:r>
        <w:rPr>
          <w:sz w:val="24"/>
          <w:szCs w:val="24"/>
        </w:rPr>
        <w:t>. – СПб, 2017.</w:t>
      </w:r>
    </w:p>
    <w:p w14:paraId="085F61AB" w14:textId="77777777" w:rsidR="005D1A61" w:rsidRDefault="0045737E">
      <w:pPr>
        <w:numPr>
          <w:ilvl w:val="0"/>
          <w:numId w:val="1"/>
        </w:numPr>
        <w:spacing w:after="0" w:line="360" w:lineRule="auto"/>
        <w:jc w:val="both"/>
        <w:rPr>
          <w:sz w:val="24"/>
          <w:szCs w:val="24"/>
        </w:rPr>
      </w:pPr>
      <w:r>
        <w:rPr>
          <w:sz w:val="24"/>
          <w:szCs w:val="24"/>
        </w:rPr>
        <w:t>Хрусталева О. А. Территориальное планирование как направление научной деятельности в сфере управления социально-экономическим развитием региона //Актуальные вопросы экономических наук. – 2016. – №. 48. – С. 82-88.</w:t>
      </w:r>
    </w:p>
    <w:p w14:paraId="4E32A4E7" w14:textId="77777777" w:rsidR="005D1A61" w:rsidRDefault="0045737E">
      <w:pPr>
        <w:numPr>
          <w:ilvl w:val="0"/>
          <w:numId w:val="1"/>
        </w:numPr>
        <w:spacing w:after="0" w:line="360" w:lineRule="auto"/>
        <w:jc w:val="both"/>
        <w:rPr>
          <w:sz w:val="24"/>
          <w:szCs w:val="24"/>
        </w:rPr>
      </w:pPr>
      <w:r>
        <w:rPr>
          <w:sz w:val="24"/>
          <w:szCs w:val="24"/>
        </w:rPr>
        <w:lastRenderedPageBreak/>
        <w:t>Чередниченко Л. Г. и др. Прогнозирование социального развития регионов России //Финансы: теория и практика. – 2018. – Т. 22. – №. 6. – С. 132-152.</w:t>
      </w:r>
    </w:p>
    <w:p w14:paraId="07ED0C36" w14:textId="77777777" w:rsidR="005D1A61" w:rsidRDefault="0045737E">
      <w:pPr>
        <w:numPr>
          <w:ilvl w:val="0"/>
          <w:numId w:val="1"/>
        </w:numPr>
        <w:spacing w:after="0" w:line="360" w:lineRule="auto"/>
        <w:jc w:val="both"/>
        <w:rPr>
          <w:sz w:val="24"/>
          <w:szCs w:val="24"/>
        </w:rPr>
      </w:pPr>
      <w:proofErr w:type="spellStart"/>
      <w:r>
        <w:rPr>
          <w:sz w:val="24"/>
          <w:szCs w:val="24"/>
        </w:rPr>
        <w:t>Черешнев</w:t>
      </w:r>
      <w:proofErr w:type="spellEnd"/>
      <w:r>
        <w:rPr>
          <w:sz w:val="24"/>
          <w:szCs w:val="24"/>
        </w:rPr>
        <w:t xml:space="preserve"> В. А., Куклин А. А., Черепанова А. В. Теоретико-методический подход к прогнозированию социально-демографического развития региона //Экономика региона. – 2010. – №. 2. – С. 38-46.</w:t>
      </w:r>
    </w:p>
    <w:p w14:paraId="2BFA2260" w14:textId="77777777" w:rsidR="005D1A61" w:rsidRDefault="0045737E">
      <w:pPr>
        <w:numPr>
          <w:ilvl w:val="0"/>
          <w:numId w:val="1"/>
        </w:numPr>
        <w:spacing w:after="0" w:line="360" w:lineRule="auto"/>
        <w:jc w:val="both"/>
        <w:rPr>
          <w:sz w:val="24"/>
          <w:szCs w:val="24"/>
        </w:rPr>
      </w:pPr>
      <w:proofErr w:type="spellStart"/>
      <w:r>
        <w:rPr>
          <w:sz w:val="24"/>
          <w:szCs w:val="24"/>
        </w:rPr>
        <w:t>Чистобаев</w:t>
      </w:r>
      <w:proofErr w:type="spellEnd"/>
      <w:r>
        <w:rPr>
          <w:sz w:val="24"/>
          <w:szCs w:val="24"/>
        </w:rPr>
        <w:t xml:space="preserve"> А. И. Пространственное планирование в России: состояние, проблемы, задачи географов // Вестник АРГО, 2013, №2, с. 15-24; </w:t>
      </w:r>
    </w:p>
    <w:p w14:paraId="36057D8A" w14:textId="77777777" w:rsidR="005D1A61" w:rsidRDefault="0045737E">
      <w:pPr>
        <w:numPr>
          <w:ilvl w:val="0"/>
          <w:numId w:val="1"/>
        </w:numPr>
        <w:spacing w:after="0" w:line="360" w:lineRule="auto"/>
        <w:jc w:val="both"/>
        <w:rPr>
          <w:sz w:val="24"/>
          <w:szCs w:val="24"/>
        </w:rPr>
      </w:pPr>
      <w:r>
        <w:rPr>
          <w:sz w:val="24"/>
          <w:szCs w:val="24"/>
        </w:rPr>
        <w:t>Шакиров А. В. Физико-географическое районирование Урала //Проблемы региональной экологии. – 2012. – №. 3. – С. 121-125.</w:t>
      </w:r>
    </w:p>
    <w:p w14:paraId="0BADE79C" w14:textId="77777777" w:rsidR="005D1A61" w:rsidRDefault="0045737E">
      <w:pPr>
        <w:numPr>
          <w:ilvl w:val="0"/>
          <w:numId w:val="1"/>
        </w:numPr>
        <w:spacing w:after="0" w:line="360" w:lineRule="auto"/>
        <w:jc w:val="both"/>
        <w:rPr>
          <w:sz w:val="24"/>
          <w:szCs w:val="24"/>
        </w:rPr>
      </w:pPr>
      <w:r>
        <w:rPr>
          <w:sz w:val="24"/>
          <w:szCs w:val="24"/>
        </w:rPr>
        <w:t>Шаронина Л. В., Бондаренко Д. А. Анализ социально-экономического развития Уральского федерального округа //ПРОГНОЗИРОВАНИЕ ИННОВАЦИОННОГО РАЗВИТИЯ НАЦИОНАЛЬНОЙ ЭКОНОМИКИ В РАМКАХ РАЦИОНАЛЬНОГО ПРИРОДОПОЛЬЗОВАНИЯ. – 2015. – С. 318-323.</w:t>
      </w:r>
    </w:p>
    <w:p w14:paraId="299B024C" w14:textId="77777777" w:rsidR="005D1A61" w:rsidRDefault="0045737E">
      <w:pPr>
        <w:numPr>
          <w:ilvl w:val="0"/>
          <w:numId w:val="1"/>
        </w:numPr>
        <w:spacing w:after="0" w:line="360" w:lineRule="auto"/>
        <w:jc w:val="both"/>
        <w:rPr>
          <w:sz w:val="24"/>
          <w:szCs w:val="24"/>
        </w:rPr>
      </w:pPr>
      <w:r>
        <w:rPr>
          <w:sz w:val="24"/>
          <w:szCs w:val="24"/>
        </w:rPr>
        <w:t>Шарыгин М. Д. Эволюция учения о территориальных общественных системах //Географический вестник. – 2006. – №. 1. – С. 4-13.</w:t>
      </w:r>
    </w:p>
    <w:p w14:paraId="3AB3E10C" w14:textId="77777777" w:rsidR="005D1A61" w:rsidRDefault="0045737E">
      <w:pPr>
        <w:numPr>
          <w:ilvl w:val="0"/>
          <w:numId w:val="1"/>
        </w:numPr>
        <w:spacing w:after="0" w:line="360" w:lineRule="auto"/>
        <w:jc w:val="both"/>
        <w:rPr>
          <w:sz w:val="24"/>
          <w:szCs w:val="24"/>
        </w:rPr>
      </w:pPr>
      <w:r>
        <w:rPr>
          <w:sz w:val="24"/>
          <w:szCs w:val="24"/>
        </w:rPr>
        <w:t>Шарыгин М. Д., Столбов В. А. Тенденции становления отечественной общественной географии: теоретико-методологические аспекты //Географический вестник. – 2006. – №. 2. – С. 4-10.</w:t>
      </w:r>
    </w:p>
    <w:p w14:paraId="21CD4F1F" w14:textId="77777777" w:rsidR="005D1A61" w:rsidRDefault="0045737E">
      <w:pPr>
        <w:numPr>
          <w:ilvl w:val="0"/>
          <w:numId w:val="1"/>
        </w:numPr>
        <w:spacing w:after="0" w:line="360" w:lineRule="auto"/>
        <w:jc w:val="both"/>
        <w:rPr>
          <w:sz w:val="24"/>
          <w:szCs w:val="24"/>
        </w:rPr>
      </w:pPr>
      <w:r w:rsidRPr="007A0A25">
        <w:rPr>
          <w:sz w:val="24"/>
          <w:szCs w:val="24"/>
          <w:lang w:val="en-US"/>
        </w:rPr>
        <w:t xml:space="preserve">Krugman P. R. Geography and Trade. </w:t>
      </w:r>
      <w:r>
        <w:rPr>
          <w:sz w:val="24"/>
          <w:szCs w:val="24"/>
        </w:rPr>
        <w:t>Cambridge // MIT Press. –  1991, C. 142.</w:t>
      </w:r>
    </w:p>
    <w:p w14:paraId="5C610FDB" w14:textId="77777777" w:rsidR="005D1A61" w:rsidRDefault="0045737E">
      <w:pPr>
        <w:numPr>
          <w:ilvl w:val="0"/>
          <w:numId w:val="1"/>
        </w:numPr>
        <w:spacing w:after="0" w:line="360" w:lineRule="auto"/>
        <w:jc w:val="both"/>
        <w:rPr>
          <w:sz w:val="24"/>
          <w:szCs w:val="24"/>
        </w:rPr>
      </w:pPr>
      <w:r w:rsidRPr="007A0A25">
        <w:rPr>
          <w:sz w:val="24"/>
          <w:szCs w:val="24"/>
          <w:lang w:val="en-US"/>
        </w:rPr>
        <w:t xml:space="preserve">Liao F. H. F., Wei Y. D. Dynamics, space, and regional inequality in provincial China: A case study of Guangdong province //Applied Geography. – 2012. – </w:t>
      </w:r>
      <w:r>
        <w:rPr>
          <w:sz w:val="24"/>
          <w:szCs w:val="24"/>
        </w:rPr>
        <w:t>Т</w:t>
      </w:r>
      <w:r w:rsidRPr="007A0A25">
        <w:rPr>
          <w:sz w:val="24"/>
          <w:szCs w:val="24"/>
          <w:lang w:val="en-US"/>
        </w:rPr>
        <w:t xml:space="preserve">. 35. – №. </w:t>
      </w:r>
      <w:r>
        <w:rPr>
          <w:sz w:val="24"/>
          <w:szCs w:val="24"/>
        </w:rPr>
        <w:t>1-2. – С. 71-83.</w:t>
      </w:r>
    </w:p>
    <w:p w14:paraId="12AA3C39" w14:textId="77777777" w:rsidR="005D1A61" w:rsidRPr="007A0A25" w:rsidRDefault="0045737E">
      <w:pPr>
        <w:numPr>
          <w:ilvl w:val="0"/>
          <w:numId w:val="1"/>
        </w:numPr>
        <w:spacing w:after="0" w:line="360" w:lineRule="auto"/>
        <w:jc w:val="both"/>
        <w:rPr>
          <w:sz w:val="24"/>
          <w:szCs w:val="24"/>
          <w:lang w:val="en-US"/>
        </w:rPr>
      </w:pPr>
      <w:r w:rsidRPr="007A0A25">
        <w:rPr>
          <w:sz w:val="24"/>
          <w:szCs w:val="24"/>
          <w:lang w:val="en-US"/>
        </w:rPr>
        <w:t xml:space="preserve">Pike A., Rodríguez-Pose A., </w:t>
      </w:r>
      <w:proofErr w:type="spellStart"/>
      <w:r w:rsidRPr="007A0A25">
        <w:rPr>
          <w:sz w:val="24"/>
          <w:szCs w:val="24"/>
          <w:lang w:val="en-US"/>
        </w:rPr>
        <w:t>Tomaney</w:t>
      </w:r>
      <w:proofErr w:type="spellEnd"/>
      <w:r w:rsidRPr="007A0A25">
        <w:rPr>
          <w:sz w:val="24"/>
          <w:szCs w:val="24"/>
          <w:lang w:val="en-US"/>
        </w:rPr>
        <w:t xml:space="preserve"> J. Local and regional development. – Routledge, 2016.</w:t>
      </w:r>
    </w:p>
    <w:p w14:paraId="27D50D42" w14:textId="77777777" w:rsidR="005D1A61" w:rsidRDefault="0045737E">
      <w:pPr>
        <w:numPr>
          <w:ilvl w:val="0"/>
          <w:numId w:val="1"/>
        </w:numPr>
        <w:spacing w:line="360" w:lineRule="auto"/>
        <w:jc w:val="both"/>
        <w:rPr>
          <w:sz w:val="24"/>
          <w:szCs w:val="24"/>
        </w:rPr>
      </w:pPr>
      <w:r w:rsidRPr="007A0A25">
        <w:rPr>
          <w:sz w:val="24"/>
          <w:szCs w:val="24"/>
          <w:lang w:val="en-US"/>
        </w:rPr>
        <w:t xml:space="preserve">Friedmann J. Regional development policy // Boston, Mass. </w:t>
      </w:r>
      <w:proofErr w:type="spellStart"/>
      <w:r>
        <w:rPr>
          <w:sz w:val="24"/>
          <w:szCs w:val="24"/>
        </w:rPr>
        <w:t>Inst</w:t>
      </w:r>
      <w:proofErr w:type="spellEnd"/>
      <w:r>
        <w:rPr>
          <w:sz w:val="24"/>
          <w:szCs w:val="24"/>
        </w:rPr>
        <w:t xml:space="preserve">. </w:t>
      </w:r>
      <w:proofErr w:type="spellStart"/>
      <w:proofErr w:type="gramStart"/>
      <w:r>
        <w:rPr>
          <w:sz w:val="24"/>
          <w:szCs w:val="24"/>
        </w:rPr>
        <w:t>Techn</w:t>
      </w:r>
      <w:proofErr w:type="spellEnd"/>
      <w:r>
        <w:rPr>
          <w:sz w:val="24"/>
          <w:szCs w:val="24"/>
        </w:rPr>
        <w:t xml:space="preserve">  –</w:t>
      </w:r>
      <w:proofErr w:type="gramEnd"/>
      <w:r>
        <w:rPr>
          <w:sz w:val="24"/>
          <w:szCs w:val="24"/>
        </w:rPr>
        <w:t xml:space="preserve"> 1966. – С. 279.</w:t>
      </w:r>
    </w:p>
    <w:p w14:paraId="336A5972" w14:textId="77777777" w:rsidR="005D1A61" w:rsidRDefault="0045737E">
      <w:pPr>
        <w:numPr>
          <w:ilvl w:val="0"/>
          <w:numId w:val="1"/>
        </w:numPr>
        <w:spacing w:after="0" w:line="360" w:lineRule="auto"/>
        <w:jc w:val="both"/>
        <w:rPr>
          <w:sz w:val="24"/>
          <w:szCs w:val="24"/>
        </w:rPr>
      </w:pPr>
      <w:r w:rsidRPr="007A0A25">
        <w:rPr>
          <w:sz w:val="24"/>
          <w:szCs w:val="24"/>
          <w:lang w:val="en-US"/>
        </w:rPr>
        <w:t xml:space="preserve">Yu D., Wei Y. D. Analyzing regional inequality in post-Mao China in a GIS environment //Eurasian Geography and Economics. – 2003. – </w:t>
      </w:r>
      <w:r>
        <w:rPr>
          <w:sz w:val="24"/>
          <w:szCs w:val="24"/>
        </w:rPr>
        <w:t>Т</w:t>
      </w:r>
      <w:r w:rsidRPr="007A0A25">
        <w:rPr>
          <w:sz w:val="24"/>
          <w:szCs w:val="24"/>
          <w:lang w:val="en-US"/>
        </w:rPr>
        <w:t xml:space="preserve">. 44. – №. </w:t>
      </w:r>
      <w:r>
        <w:rPr>
          <w:sz w:val="24"/>
          <w:szCs w:val="24"/>
        </w:rPr>
        <w:t>7. – С. 514-534.</w:t>
      </w:r>
    </w:p>
    <w:p w14:paraId="11F6344C" w14:textId="77777777" w:rsidR="005D1A61" w:rsidRDefault="0045737E">
      <w:pPr>
        <w:numPr>
          <w:ilvl w:val="0"/>
          <w:numId w:val="1"/>
        </w:numPr>
        <w:spacing w:after="0" w:line="360" w:lineRule="auto"/>
        <w:jc w:val="both"/>
        <w:rPr>
          <w:sz w:val="24"/>
          <w:szCs w:val="24"/>
        </w:rPr>
      </w:pPr>
      <w:r w:rsidRPr="007A0A25">
        <w:rPr>
          <w:sz w:val="24"/>
          <w:szCs w:val="24"/>
          <w:lang w:val="en-US"/>
        </w:rPr>
        <w:t xml:space="preserve">Yu D., Wei Y. D. Spatial data analysis of regional development in Greater Beijing, China, in a GIS environment //Papers in Regional Science. – 2008. – </w:t>
      </w:r>
      <w:r>
        <w:rPr>
          <w:sz w:val="24"/>
          <w:szCs w:val="24"/>
        </w:rPr>
        <w:t>Т</w:t>
      </w:r>
      <w:r w:rsidRPr="007A0A25">
        <w:rPr>
          <w:sz w:val="24"/>
          <w:szCs w:val="24"/>
          <w:lang w:val="en-US"/>
        </w:rPr>
        <w:t xml:space="preserve">. 87. – №. </w:t>
      </w:r>
      <w:r>
        <w:rPr>
          <w:sz w:val="24"/>
          <w:szCs w:val="24"/>
        </w:rPr>
        <w:t>1. – С. 97-117.</w:t>
      </w:r>
    </w:p>
    <w:p w14:paraId="2D40FED5" w14:textId="77777777" w:rsidR="005D1A61" w:rsidRDefault="0045737E">
      <w:pPr>
        <w:spacing w:after="0" w:line="360" w:lineRule="auto"/>
        <w:ind w:left="1440"/>
        <w:jc w:val="both"/>
        <w:rPr>
          <w:i/>
          <w:sz w:val="24"/>
          <w:szCs w:val="24"/>
        </w:rPr>
      </w:pPr>
      <w:r>
        <w:rPr>
          <w:i/>
          <w:sz w:val="24"/>
          <w:szCs w:val="24"/>
        </w:rPr>
        <w:t>Нормативно-правовые акты:</w:t>
      </w:r>
    </w:p>
    <w:p w14:paraId="317D0633" w14:textId="77777777" w:rsidR="005D1A61" w:rsidRDefault="0045737E">
      <w:pPr>
        <w:numPr>
          <w:ilvl w:val="0"/>
          <w:numId w:val="1"/>
        </w:numPr>
        <w:spacing w:after="0" w:line="360" w:lineRule="auto"/>
        <w:jc w:val="both"/>
        <w:rPr>
          <w:sz w:val="24"/>
          <w:szCs w:val="24"/>
        </w:rPr>
      </w:pPr>
      <w:r>
        <w:rPr>
          <w:sz w:val="24"/>
          <w:szCs w:val="24"/>
        </w:rPr>
        <w:t xml:space="preserve">Постановление Правительства РФ от 03.04.2021 N 542 (ред. от 30.11.2022) "Об утверждении методик расчета показателей для оценки эффективности деятельности высших должностных лиц субъектов Российской Федерации и </w:t>
      </w:r>
      <w:r>
        <w:rPr>
          <w:sz w:val="24"/>
          <w:szCs w:val="24"/>
        </w:rPr>
        <w:lastRenderedPageBreak/>
        <w:t>деятельности исполнительных органов субъектов Российской Федерации, а также о признании утратившими силу отдельных положений постановления Правительства Российской Федерации от 17 июля 2019 г. N 915"</w:t>
      </w:r>
    </w:p>
    <w:p w14:paraId="24639DAF" w14:textId="77777777" w:rsidR="005D1A61" w:rsidRDefault="0045737E">
      <w:pPr>
        <w:numPr>
          <w:ilvl w:val="0"/>
          <w:numId w:val="1"/>
        </w:numPr>
        <w:spacing w:after="0" w:line="360" w:lineRule="auto"/>
        <w:jc w:val="both"/>
        <w:rPr>
          <w:sz w:val="24"/>
          <w:szCs w:val="24"/>
        </w:rPr>
      </w:pPr>
      <w:r>
        <w:rPr>
          <w:sz w:val="24"/>
          <w:szCs w:val="24"/>
        </w:rPr>
        <w:t>Указ Президента РФ от 04.02.2021 N 68 (ред. от 09.09.2022)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p>
    <w:p w14:paraId="1CA4FD2C" w14:textId="77777777" w:rsidR="005D1A61" w:rsidRDefault="0045737E">
      <w:pPr>
        <w:spacing w:after="0" w:line="360" w:lineRule="auto"/>
        <w:ind w:left="1440"/>
        <w:jc w:val="both"/>
        <w:rPr>
          <w:i/>
          <w:sz w:val="24"/>
          <w:szCs w:val="24"/>
        </w:rPr>
      </w:pPr>
      <w:r>
        <w:rPr>
          <w:i/>
          <w:sz w:val="24"/>
          <w:szCs w:val="24"/>
        </w:rPr>
        <w:t>Электронные ресурсы:</w:t>
      </w:r>
    </w:p>
    <w:p w14:paraId="0091361D" w14:textId="77777777" w:rsidR="005D1A61" w:rsidRDefault="0045737E">
      <w:pPr>
        <w:numPr>
          <w:ilvl w:val="0"/>
          <w:numId w:val="1"/>
        </w:numPr>
        <w:spacing w:after="0" w:line="360" w:lineRule="auto"/>
        <w:jc w:val="both"/>
        <w:rPr>
          <w:sz w:val="24"/>
          <w:szCs w:val="24"/>
        </w:rPr>
      </w:pPr>
      <w:r>
        <w:rPr>
          <w:sz w:val="24"/>
          <w:szCs w:val="24"/>
        </w:rPr>
        <w:t xml:space="preserve">Агроэкологический атлас России - </w:t>
      </w:r>
      <w:hyperlink r:id="rId44">
        <w:r w:rsidRPr="00F93984">
          <w:rPr>
            <w:sz w:val="24"/>
            <w:szCs w:val="24"/>
            <w:u w:val="single"/>
          </w:rPr>
          <w:t>http://www.agroatlas.ru/ru/content/Climatic_maps/GTK/GTK_07/index.htm</w:t>
        </w:r>
      </w:hyperlink>
      <w:r w:rsidRPr="00F93984">
        <w:rPr>
          <w:sz w:val="24"/>
          <w:szCs w:val="24"/>
        </w:rPr>
        <w:t xml:space="preserve">l </w:t>
      </w:r>
      <w:r>
        <w:rPr>
          <w:sz w:val="24"/>
          <w:szCs w:val="24"/>
        </w:rPr>
        <w:t>(Дата обращения: 11.10.2022).</w:t>
      </w:r>
    </w:p>
    <w:p w14:paraId="5DD5A1B1" w14:textId="77777777" w:rsidR="005D1A61" w:rsidRDefault="005D1A61"/>
    <w:p w14:paraId="67A8F51E" w14:textId="77777777" w:rsidR="005D1A61" w:rsidRDefault="005D1A61"/>
    <w:p w14:paraId="57D061D4" w14:textId="77777777" w:rsidR="005D1A61" w:rsidRDefault="005D1A61"/>
    <w:p w14:paraId="7045EB5D" w14:textId="77777777" w:rsidR="005D1A61" w:rsidRDefault="005D1A61"/>
    <w:p w14:paraId="45633776" w14:textId="77777777" w:rsidR="005D1A61" w:rsidRDefault="005D1A61"/>
    <w:p w14:paraId="0A537A45" w14:textId="77777777" w:rsidR="005D1A61" w:rsidRDefault="005D1A61"/>
    <w:p w14:paraId="3F8658B9" w14:textId="77777777" w:rsidR="005D1A61" w:rsidRDefault="005D1A61"/>
    <w:p w14:paraId="200678C4" w14:textId="77777777" w:rsidR="005D1A61" w:rsidRDefault="005D1A61"/>
    <w:p w14:paraId="3353BC96" w14:textId="77777777" w:rsidR="005D1A61" w:rsidRDefault="005D1A61"/>
    <w:p w14:paraId="2E76A7FA" w14:textId="77777777" w:rsidR="005D1A61" w:rsidRDefault="005D1A61"/>
    <w:p w14:paraId="1916E15D" w14:textId="77777777" w:rsidR="005D1A61" w:rsidRDefault="005D1A61"/>
    <w:p w14:paraId="1DD06176" w14:textId="77777777" w:rsidR="005D1A61" w:rsidRDefault="005D1A61"/>
    <w:p w14:paraId="5E37B9F1" w14:textId="77777777" w:rsidR="005D1A61" w:rsidRDefault="005D1A61"/>
    <w:p w14:paraId="1AE536BC" w14:textId="77777777" w:rsidR="005D1A61" w:rsidRDefault="005D1A61"/>
    <w:p w14:paraId="66717827" w14:textId="77777777" w:rsidR="005D1A61" w:rsidRDefault="005D1A61"/>
    <w:p w14:paraId="2A1B504D" w14:textId="77777777" w:rsidR="005D1A61" w:rsidRDefault="005D1A61"/>
    <w:p w14:paraId="450F5419" w14:textId="77777777" w:rsidR="00D21325" w:rsidRDefault="00D21325"/>
    <w:p w14:paraId="74E47588" w14:textId="77777777" w:rsidR="005D1A61" w:rsidRDefault="005D1A61"/>
    <w:p w14:paraId="7B7DE142" w14:textId="77777777" w:rsidR="005D1A61" w:rsidRDefault="0045737E">
      <w:pPr>
        <w:pStyle w:val="1"/>
        <w:jc w:val="center"/>
        <w:rPr>
          <w:sz w:val="30"/>
          <w:szCs w:val="30"/>
        </w:rPr>
      </w:pPr>
      <w:bookmarkStart w:id="25" w:name="_Toc136642122"/>
      <w:bookmarkStart w:id="26" w:name="_Toc136642369"/>
      <w:r>
        <w:rPr>
          <w:sz w:val="30"/>
          <w:szCs w:val="30"/>
        </w:rPr>
        <w:t>ПРИЛОЖЕНИЯ</w:t>
      </w:r>
      <w:bookmarkEnd w:id="25"/>
      <w:bookmarkEnd w:id="26"/>
    </w:p>
    <w:p w14:paraId="27378EC0" w14:textId="77777777" w:rsidR="005D1A61" w:rsidRDefault="005D1A61"/>
    <w:p w14:paraId="196C1346" w14:textId="77777777" w:rsidR="005D1A61" w:rsidRDefault="0045737E">
      <w:pPr>
        <w:spacing w:line="360" w:lineRule="auto"/>
        <w:jc w:val="both"/>
        <w:rPr>
          <w:sz w:val="24"/>
          <w:szCs w:val="24"/>
        </w:rPr>
      </w:pPr>
      <w:r>
        <w:rPr>
          <w:sz w:val="24"/>
          <w:szCs w:val="24"/>
        </w:rPr>
        <w:t>Приложение 1.</w:t>
      </w:r>
    </w:p>
    <w:p w14:paraId="622C2EC2" w14:textId="77777777" w:rsidR="005D1A61" w:rsidRDefault="0045737E">
      <w:pPr>
        <w:spacing w:line="360" w:lineRule="auto"/>
        <w:jc w:val="both"/>
        <w:rPr>
          <w:sz w:val="24"/>
          <w:szCs w:val="24"/>
        </w:rPr>
      </w:pPr>
      <w:r>
        <w:rPr>
          <w:sz w:val="24"/>
          <w:szCs w:val="24"/>
        </w:rPr>
        <w:t>Таблица показателей оценки эффективности высших должностных лиц субъектов Российской Федерации и деятельности исполнительных органов субъектов Российской Федерации</w:t>
      </w:r>
    </w:p>
    <w:tbl>
      <w:tblPr>
        <w:tblStyle w:val="10"/>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677"/>
        <w:gridCol w:w="4360"/>
      </w:tblGrid>
      <w:tr w:rsidR="005D1A61" w14:paraId="1A92C2A6" w14:textId="77777777">
        <w:trPr>
          <w:trHeight w:val="288"/>
        </w:trPr>
        <w:tc>
          <w:tcPr>
            <w:tcW w:w="534" w:type="dxa"/>
          </w:tcPr>
          <w:p w14:paraId="540AA982" w14:textId="77777777" w:rsidR="005D1A61" w:rsidRDefault="0045737E">
            <w:pPr>
              <w:spacing w:line="360" w:lineRule="auto"/>
              <w:jc w:val="both"/>
              <w:rPr>
                <w:b/>
                <w:sz w:val="24"/>
                <w:szCs w:val="24"/>
              </w:rPr>
            </w:pPr>
            <w:r>
              <w:rPr>
                <w:b/>
                <w:sz w:val="24"/>
                <w:szCs w:val="24"/>
              </w:rPr>
              <w:t>№</w:t>
            </w:r>
          </w:p>
        </w:tc>
        <w:tc>
          <w:tcPr>
            <w:tcW w:w="4677" w:type="dxa"/>
          </w:tcPr>
          <w:p w14:paraId="3815C2AF" w14:textId="77777777" w:rsidR="005D1A61" w:rsidRDefault="0045737E">
            <w:pPr>
              <w:spacing w:line="360" w:lineRule="auto"/>
              <w:jc w:val="both"/>
              <w:rPr>
                <w:b/>
                <w:sz w:val="24"/>
                <w:szCs w:val="24"/>
              </w:rPr>
            </w:pPr>
            <w:r>
              <w:rPr>
                <w:b/>
                <w:sz w:val="24"/>
                <w:szCs w:val="24"/>
              </w:rPr>
              <w:t>Показатель</w:t>
            </w:r>
          </w:p>
        </w:tc>
        <w:tc>
          <w:tcPr>
            <w:tcW w:w="4360" w:type="dxa"/>
          </w:tcPr>
          <w:p w14:paraId="35DA80FA" w14:textId="77777777" w:rsidR="005D1A61" w:rsidRDefault="0045737E">
            <w:pPr>
              <w:spacing w:line="360" w:lineRule="auto"/>
              <w:jc w:val="both"/>
              <w:rPr>
                <w:b/>
                <w:sz w:val="24"/>
                <w:szCs w:val="24"/>
              </w:rPr>
            </w:pPr>
            <w:r>
              <w:rPr>
                <w:b/>
                <w:sz w:val="24"/>
                <w:szCs w:val="24"/>
              </w:rPr>
              <w:t>Единица измерения</w:t>
            </w:r>
          </w:p>
        </w:tc>
      </w:tr>
      <w:tr w:rsidR="005D1A61" w14:paraId="4E4755AB" w14:textId="77777777">
        <w:trPr>
          <w:trHeight w:val="785"/>
        </w:trPr>
        <w:tc>
          <w:tcPr>
            <w:tcW w:w="534" w:type="dxa"/>
          </w:tcPr>
          <w:p w14:paraId="0B422D41" w14:textId="77777777" w:rsidR="005D1A61" w:rsidRDefault="0045737E">
            <w:pPr>
              <w:spacing w:line="360" w:lineRule="auto"/>
              <w:jc w:val="both"/>
              <w:rPr>
                <w:sz w:val="24"/>
                <w:szCs w:val="24"/>
              </w:rPr>
            </w:pPr>
            <w:r>
              <w:rPr>
                <w:sz w:val="24"/>
                <w:szCs w:val="24"/>
              </w:rPr>
              <w:t>1</w:t>
            </w:r>
          </w:p>
        </w:tc>
        <w:tc>
          <w:tcPr>
            <w:tcW w:w="4677" w:type="dxa"/>
          </w:tcPr>
          <w:p w14:paraId="04CECD04" w14:textId="77777777" w:rsidR="005D1A61" w:rsidRDefault="0045737E">
            <w:pPr>
              <w:spacing w:line="360" w:lineRule="auto"/>
              <w:jc w:val="both"/>
              <w:rPr>
                <w:sz w:val="24"/>
                <w:szCs w:val="24"/>
              </w:rPr>
            </w:pPr>
            <w:r>
              <w:rPr>
                <w:sz w:val="24"/>
                <w:szCs w:val="24"/>
              </w:rPr>
              <w:t>Численность населения субъекта Российской Федерации</w:t>
            </w:r>
          </w:p>
        </w:tc>
        <w:tc>
          <w:tcPr>
            <w:tcW w:w="4360" w:type="dxa"/>
          </w:tcPr>
          <w:p w14:paraId="0C9BC0FD" w14:textId="77777777" w:rsidR="005D1A61" w:rsidRDefault="0045737E">
            <w:pPr>
              <w:spacing w:line="360" w:lineRule="auto"/>
              <w:jc w:val="both"/>
              <w:rPr>
                <w:sz w:val="24"/>
                <w:szCs w:val="24"/>
              </w:rPr>
            </w:pPr>
            <w:r>
              <w:rPr>
                <w:sz w:val="24"/>
                <w:szCs w:val="24"/>
              </w:rPr>
              <w:t>Человек</w:t>
            </w:r>
          </w:p>
        </w:tc>
      </w:tr>
      <w:tr w:rsidR="005D1A61" w14:paraId="3A53BA84" w14:textId="77777777">
        <w:trPr>
          <w:trHeight w:val="312"/>
        </w:trPr>
        <w:tc>
          <w:tcPr>
            <w:tcW w:w="534" w:type="dxa"/>
          </w:tcPr>
          <w:p w14:paraId="21AE5DF6" w14:textId="77777777" w:rsidR="005D1A61" w:rsidRDefault="0045737E">
            <w:pPr>
              <w:spacing w:line="360" w:lineRule="auto"/>
              <w:jc w:val="both"/>
              <w:rPr>
                <w:sz w:val="24"/>
                <w:szCs w:val="24"/>
              </w:rPr>
            </w:pPr>
            <w:r>
              <w:rPr>
                <w:sz w:val="24"/>
                <w:szCs w:val="24"/>
              </w:rPr>
              <w:t>2</w:t>
            </w:r>
          </w:p>
        </w:tc>
        <w:tc>
          <w:tcPr>
            <w:tcW w:w="4677" w:type="dxa"/>
          </w:tcPr>
          <w:p w14:paraId="39575BDE" w14:textId="77777777" w:rsidR="005D1A61" w:rsidRDefault="0045737E">
            <w:pPr>
              <w:spacing w:line="360" w:lineRule="auto"/>
              <w:jc w:val="both"/>
              <w:rPr>
                <w:sz w:val="24"/>
                <w:szCs w:val="24"/>
              </w:rPr>
            </w:pPr>
            <w:r>
              <w:rPr>
                <w:sz w:val="24"/>
                <w:szCs w:val="24"/>
              </w:rPr>
              <w:t>Ожидаемая продолжительность жизни при рождении</w:t>
            </w:r>
          </w:p>
        </w:tc>
        <w:tc>
          <w:tcPr>
            <w:tcW w:w="4360" w:type="dxa"/>
          </w:tcPr>
          <w:p w14:paraId="676C21A6" w14:textId="77777777" w:rsidR="005D1A61" w:rsidRDefault="0045737E">
            <w:pPr>
              <w:spacing w:line="360" w:lineRule="auto"/>
              <w:jc w:val="both"/>
              <w:rPr>
                <w:sz w:val="24"/>
                <w:szCs w:val="24"/>
              </w:rPr>
            </w:pPr>
            <w:r>
              <w:rPr>
                <w:sz w:val="24"/>
                <w:szCs w:val="24"/>
              </w:rPr>
              <w:t>Лет</w:t>
            </w:r>
          </w:p>
        </w:tc>
      </w:tr>
      <w:tr w:rsidR="005D1A61" w14:paraId="06C29283" w14:textId="77777777">
        <w:trPr>
          <w:trHeight w:val="312"/>
        </w:trPr>
        <w:tc>
          <w:tcPr>
            <w:tcW w:w="534" w:type="dxa"/>
          </w:tcPr>
          <w:p w14:paraId="3927324B" w14:textId="77777777" w:rsidR="005D1A61" w:rsidRDefault="0045737E">
            <w:pPr>
              <w:spacing w:line="360" w:lineRule="auto"/>
              <w:jc w:val="both"/>
              <w:rPr>
                <w:sz w:val="24"/>
                <w:szCs w:val="24"/>
              </w:rPr>
            </w:pPr>
            <w:r>
              <w:rPr>
                <w:sz w:val="24"/>
                <w:szCs w:val="24"/>
              </w:rPr>
              <w:t>3</w:t>
            </w:r>
          </w:p>
        </w:tc>
        <w:tc>
          <w:tcPr>
            <w:tcW w:w="4677" w:type="dxa"/>
          </w:tcPr>
          <w:p w14:paraId="2FC14701" w14:textId="77777777" w:rsidR="005D1A61" w:rsidRDefault="0045737E">
            <w:pPr>
              <w:spacing w:line="360" w:lineRule="auto"/>
              <w:jc w:val="both"/>
              <w:rPr>
                <w:sz w:val="24"/>
                <w:szCs w:val="24"/>
              </w:rPr>
            </w:pPr>
            <w:r>
              <w:rPr>
                <w:sz w:val="24"/>
                <w:szCs w:val="24"/>
              </w:rPr>
              <w:t>Уровень бедности</w:t>
            </w:r>
          </w:p>
        </w:tc>
        <w:tc>
          <w:tcPr>
            <w:tcW w:w="4360" w:type="dxa"/>
          </w:tcPr>
          <w:p w14:paraId="24CDD073" w14:textId="77777777" w:rsidR="005D1A61" w:rsidRDefault="0045737E">
            <w:pPr>
              <w:spacing w:line="360" w:lineRule="auto"/>
              <w:jc w:val="both"/>
              <w:rPr>
                <w:sz w:val="24"/>
                <w:szCs w:val="24"/>
              </w:rPr>
            </w:pPr>
            <w:r>
              <w:rPr>
                <w:sz w:val="24"/>
                <w:szCs w:val="24"/>
                <w:highlight w:val="white"/>
              </w:rPr>
              <w:t>Доля численности населения с денежными доходами ниже границы бедности (в процентах) в общей численности населения</w:t>
            </w:r>
          </w:p>
        </w:tc>
      </w:tr>
      <w:tr w:rsidR="005D1A61" w14:paraId="2E6F4F57" w14:textId="77777777">
        <w:trPr>
          <w:trHeight w:val="312"/>
        </w:trPr>
        <w:tc>
          <w:tcPr>
            <w:tcW w:w="534" w:type="dxa"/>
          </w:tcPr>
          <w:p w14:paraId="717B710C" w14:textId="77777777" w:rsidR="005D1A61" w:rsidRDefault="0045737E">
            <w:pPr>
              <w:spacing w:line="360" w:lineRule="auto"/>
              <w:jc w:val="both"/>
              <w:rPr>
                <w:sz w:val="24"/>
                <w:szCs w:val="24"/>
              </w:rPr>
            </w:pPr>
            <w:r>
              <w:rPr>
                <w:sz w:val="24"/>
                <w:szCs w:val="24"/>
              </w:rPr>
              <w:t>4</w:t>
            </w:r>
          </w:p>
        </w:tc>
        <w:tc>
          <w:tcPr>
            <w:tcW w:w="4677" w:type="dxa"/>
          </w:tcPr>
          <w:p w14:paraId="27ACC1D0" w14:textId="77777777" w:rsidR="005D1A61" w:rsidRDefault="0045737E">
            <w:pPr>
              <w:spacing w:line="360" w:lineRule="auto"/>
              <w:jc w:val="both"/>
              <w:rPr>
                <w:sz w:val="24"/>
                <w:szCs w:val="24"/>
              </w:rPr>
            </w:pPr>
            <w:r>
              <w:rPr>
                <w:sz w:val="24"/>
                <w:szCs w:val="24"/>
              </w:rPr>
              <w:t>Доля граждан, систематически занимающихся физической культурой и спортом</w:t>
            </w:r>
          </w:p>
        </w:tc>
        <w:tc>
          <w:tcPr>
            <w:tcW w:w="4360" w:type="dxa"/>
          </w:tcPr>
          <w:p w14:paraId="29940422" w14:textId="77777777" w:rsidR="005D1A61" w:rsidRDefault="0045737E">
            <w:pPr>
              <w:spacing w:line="360" w:lineRule="auto"/>
              <w:jc w:val="both"/>
              <w:rPr>
                <w:sz w:val="24"/>
                <w:szCs w:val="24"/>
              </w:rPr>
            </w:pPr>
            <w:r>
              <w:rPr>
                <w:sz w:val="24"/>
                <w:szCs w:val="24"/>
              </w:rPr>
              <w:t>%</w:t>
            </w:r>
          </w:p>
        </w:tc>
      </w:tr>
      <w:tr w:rsidR="005D1A61" w14:paraId="6C63DC28" w14:textId="77777777">
        <w:trPr>
          <w:trHeight w:val="312"/>
        </w:trPr>
        <w:tc>
          <w:tcPr>
            <w:tcW w:w="534" w:type="dxa"/>
          </w:tcPr>
          <w:p w14:paraId="7F437EEA" w14:textId="77777777" w:rsidR="005D1A61" w:rsidRDefault="0045737E">
            <w:pPr>
              <w:spacing w:line="360" w:lineRule="auto"/>
              <w:jc w:val="both"/>
              <w:rPr>
                <w:sz w:val="24"/>
                <w:szCs w:val="24"/>
              </w:rPr>
            </w:pPr>
            <w:r>
              <w:rPr>
                <w:sz w:val="24"/>
                <w:szCs w:val="24"/>
              </w:rPr>
              <w:t>5</w:t>
            </w:r>
          </w:p>
        </w:tc>
        <w:tc>
          <w:tcPr>
            <w:tcW w:w="4677" w:type="dxa"/>
          </w:tcPr>
          <w:p w14:paraId="5B68CDB1" w14:textId="77777777" w:rsidR="005D1A61" w:rsidRDefault="0045737E">
            <w:pPr>
              <w:spacing w:line="360" w:lineRule="auto"/>
              <w:jc w:val="both"/>
              <w:rPr>
                <w:sz w:val="24"/>
                <w:szCs w:val="24"/>
              </w:rPr>
            </w:pPr>
            <w:r>
              <w:rPr>
                <w:sz w:val="24"/>
                <w:szCs w:val="24"/>
              </w:rPr>
              <w:t>Уровень образования</w:t>
            </w:r>
          </w:p>
        </w:tc>
        <w:tc>
          <w:tcPr>
            <w:tcW w:w="4360" w:type="dxa"/>
          </w:tcPr>
          <w:p w14:paraId="5EA7F4B6" w14:textId="77777777" w:rsidR="005D1A61" w:rsidRDefault="0045737E">
            <w:pPr>
              <w:spacing w:line="360" w:lineRule="auto"/>
              <w:jc w:val="both"/>
              <w:rPr>
                <w:sz w:val="24"/>
                <w:szCs w:val="24"/>
              </w:rPr>
            </w:pPr>
            <w:r>
              <w:rPr>
                <w:sz w:val="24"/>
                <w:szCs w:val="24"/>
              </w:rPr>
              <w:t>%</w:t>
            </w:r>
          </w:p>
        </w:tc>
      </w:tr>
      <w:tr w:rsidR="005D1A61" w14:paraId="7DF502CA" w14:textId="77777777">
        <w:trPr>
          <w:trHeight w:val="312"/>
        </w:trPr>
        <w:tc>
          <w:tcPr>
            <w:tcW w:w="534" w:type="dxa"/>
          </w:tcPr>
          <w:p w14:paraId="4E01D5E7" w14:textId="77777777" w:rsidR="005D1A61" w:rsidRDefault="0045737E">
            <w:pPr>
              <w:spacing w:line="360" w:lineRule="auto"/>
              <w:jc w:val="both"/>
              <w:rPr>
                <w:sz w:val="24"/>
                <w:szCs w:val="24"/>
              </w:rPr>
            </w:pPr>
            <w:r>
              <w:rPr>
                <w:sz w:val="24"/>
                <w:szCs w:val="24"/>
              </w:rPr>
              <w:t>6</w:t>
            </w:r>
          </w:p>
        </w:tc>
        <w:tc>
          <w:tcPr>
            <w:tcW w:w="4677" w:type="dxa"/>
          </w:tcPr>
          <w:p w14:paraId="3777E3FF" w14:textId="77777777" w:rsidR="005D1A61" w:rsidRDefault="0045737E">
            <w:pPr>
              <w:spacing w:line="360" w:lineRule="auto"/>
              <w:jc w:val="both"/>
              <w:rPr>
                <w:sz w:val="24"/>
                <w:szCs w:val="24"/>
              </w:rPr>
            </w:pPr>
            <w:r>
              <w:rPr>
                <w:sz w:val="24"/>
                <w:szCs w:val="24"/>
              </w:rPr>
              <w:t>Эффективность системы выявления, поддержки и развития способностей и талантов у детей и молодежи</w:t>
            </w:r>
          </w:p>
        </w:tc>
        <w:tc>
          <w:tcPr>
            <w:tcW w:w="4360" w:type="dxa"/>
          </w:tcPr>
          <w:p w14:paraId="0D7288C1" w14:textId="77777777" w:rsidR="005D1A61" w:rsidRDefault="0045737E">
            <w:pPr>
              <w:spacing w:line="360" w:lineRule="auto"/>
              <w:jc w:val="both"/>
              <w:rPr>
                <w:sz w:val="24"/>
                <w:szCs w:val="24"/>
              </w:rPr>
            </w:pPr>
            <w:r>
              <w:rPr>
                <w:sz w:val="24"/>
                <w:szCs w:val="24"/>
              </w:rPr>
              <w:t>%</w:t>
            </w:r>
          </w:p>
        </w:tc>
      </w:tr>
      <w:tr w:rsidR="005D1A61" w14:paraId="26243E25" w14:textId="77777777">
        <w:trPr>
          <w:trHeight w:val="312"/>
        </w:trPr>
        <w:tc>
          <w:tcPr>
            <w:tcW w:w="534" w:type="dxa"/>
          </w:tcPr>
          <w:p w14:paraId="3B7905CE" w14:textId="77777777" w:rsidR="005D1A61" w:rsidRDefault="0045737E">
            <w:pPr>
              <w:spacing w:line="360" w:lineRule="auto"/>
              <w:jc w:val="both"/>
              <w:rPr>
                <w:sz w:val="24"/>
                <w:szCs w:val="24"/>
              </w:rPr>
            </w:pPr>
            <w:r>
              <w:rPr>
                <w:sz w:val="24"/>
                <w:szCs w:val="24"/>
              </w:rPr>
              <w:t>7</w:t>
            </w:r>
          </w:p>
        </w:tc>
        <w:tc>
          <w:tcPr>
            <w:tcW w:w="4677" w:type="dxa"/>
          </w:tcPr>
          <w:p w14:paraId="2CE08495" w14:textId="77777777" w:rsidR="005D1A61" w:rsidRDefault="0045737E">
            <w:pPr>
              <w:spacing w:line="360" w:lineRule="auto"/>
              <w:jc w:val="both"/>
              <w:rPr>
                <w:sz w:val="24"/>
                <w:szCs w:val="24"/>
              </w:rPr>
            </w:pPr>
            <w:r>
              <w:rPr>
                <w:sz w:val="24"/>
                <w:szCs w:val="24"/>
              </w:rPr>
              <w:t>Доля граждан, занимающихся добровольческой (волонтерской) деятельностью</w:t>
            </w:r>
          </w:p>
        </w:tc>
        <w:tc>
          <w:tcPr>
            <w:tcW w:w="4360" w:type="dxa"/>
          </w:tcPr>
          <w:p w14:paraId="3C4B0C50" w14:textId="77777777" w:rsidR="005D1A61" w:rsidRDefault="0045737E">
            <w:pPr>
              <w:spacing w:line="360" w:lineRule="auto"/>
              <w:jc w:val="both"/>
              <w:rPr>
                <w:sz w:val="24"/>
                <w:szCs w:val="24"/>
              </w:rPr>
            </w:pPr>
            <w:r>
              <w:rPr>
                <w:sz w:val="24"/>
                <w:szCs w:val="24"/>
              </w:rPr>
              <w:t>%</w:t>
            </w:r>
          </w:p>
        </w:tc>
      </w:tr>
      <w:tr w:rsidR="005D1A61" w14:paraId="2EFAFFA3" w14:textId="77777777">
        <w:trPr>
          <w:trHeight w:val="312"/>
        </w:trPr>
        <w:tc>
          <w:tcPr>
            <w:tcW w:w="534" w:type="dxa"/>
          </w:tcPr>
          <w:p w14:paraId="5770C631" w14:textId="77777777" w:rsidR="005D1A61" w:rsidRDefault="0045737E">
            <w:pPr>
              <w:spacing w:line="360" w:lineRule="auto"/>
              <w:jc w:val="both"/>
              <w:rPr>
                <w:sz w:val="24"/>
                <w:szCs w:val="24"/>
              </w:rPr>
            </w:pPr>
            <w:r>
              <w:rPr>
                <w:sz w:val="24"/>
                <w:szCs w:val="24"/>
              </w:rPr>
              <w:t>8</w:t>
            </w:r>
          </w:p>
        </w:tc>
        <w:tc>
          <w:tcPr>
            <w:tcW w:w="4677" w:type="dxa"/>
          </w:tcPr>
          <w:p w14:paraId="1C701AD9" w14:textId="77777777" w:rsidR="005D1A61" w:rsidRDefault="0045737E">
            <w:pPr>
              <w:spacing w:line="360" w:lineRule="auto"/>
              <w:jc w:val="both"/>
              <w:rPr>
                <w:sz w:val="24"/>
                <w:szCs w:val="24"/>
              </w:rPr>
            </w:pPr>
            <w:r>
              <w:rPr>
                <w:sz w:val="24"/>
                <w:szCs w:val="24"/>
              </w:rPr>
              <w:t>Условия для воспитания гармонично развитой и социально ответственной личности</w:t>
            </w:r>
          </w:p>
        </w:tc>
        <w:tc>
          <w:tcPr>
            <w:tcW w:w="4360" w:type="dxa"/>
          </w:tcPr>
          <w:p w14:paraId="13C2B088" w14:textId="77777777" w:rsidR="005D1A61" w:rsidRDefault="0045737E">
            <w:pPr>
              <w:spacing w:line="360" w:lineRule="auto"/>
              <w:jc w:val="both"/>
              <w:rPr>
                <w:sz w:val="24"/>
                <w:szCs w:val="24"/>
              </w:rPr>
            </w:pPr>
            <w:r>
              <w:rPr>
                <w:sz w:val="24"/>
                <w:szCs w:val="24"/>
              </w:rPr>
              <w:t>%</w:t>
            </w:r>
          </w:p>
        </w:tc>
      </w:tr>
      <w:tr w:rsidR="005D1A61" w14:paraId="67823552" w14:textId="77777777">
        <w:trPr>
          <w:trHeight w:val="312"/>
        </w:trPr>
        <w:tc>
          <w:tcPr>
            <w:tcW w:w="534" w:type="dxa"/>
          </w:tcPr>
          <w:p w14:paraId="6E2DECD3" w14:textId="77777777" w:rsidR="005D1A61" w:rsidRDefault="0045737E">
            <w:pPr>
              <w:spacing w:line="360" w:lineRule="auto"/>
              <w:jc w:val="both"/>
              <w:rPr>
                <w:sz w:val="24"/>
                <w:szCs w:val="24"/>
              </w:rPr>
            </w:pPr>
            <w:r>
              <w:rPr>
                <w:sz w:val="24"/>
                <w:szCs w:val="24"/>
              </w:rPr>
              <w:t>9</w:t>
            </w:r>
          </w:p>
        </w:tc>
        <w:tc>
          <w:tcPr>
            <w:tcW w:w="4677" w:type="dxa"/>
          </w:tcPr>
          <w:p w14:paraId="72E347F8" w14:textId="77777777" w:rsidR="005D1A61" w:rsidRDefault="0045737E">
            <w:pPr>
              <w:spacing w:line="360" w:lineRule="auto"/>
              <w:jc w:val="both"/>
              <w:rPr>
                <w:sz w:val="24"/>
                <w:szCs w:val="24"/>
              </w:rPr>
            </w:pPr>
            <w:r>
              <w:rPr>
                <w:sz w:val="24"/>
                <w:szCs w:val="24"/>
              </w:rPr>
              <w:t>Число посещений культурных мероприятий</w:t>
            </w:r>
          </w:p>
        </w:tc>
        <w:tc>
          <w:tcPr>
            <w:tcW w:w="4360" w:type="dxa"/>
          </w:tcPr>
          <w:p w14:paraId="144CF5E6" w14:textId="77777777" w:rsidR="005D1A61" w:rsidRDefault="0045737E">
            <w:pPr>
              <w:spacing w:line="360" w:lineRule="auto"/>
              <w:jc w:val="both"/>
              <w:rPr>
                <w:sz w:val="24"/>
                <w:szCs w:val="24"/>
              </w:rPr>
            </w:pPr>
            <w:r>
              <w:rPr>
                <w:sz w:val="24"/>
                <w:szCs w:val="24"/>
              </w:rPr>
              <w:t>Млн. единиц</w:t>
            </w:r>
          </w:p>
        </w:tc>
      </w:tr>
      <w:tr w:rsidR="005D1A61" w14:paraId="7C39CAFB" w14:textId="77777777">
        <w:trPr>
          <w:trHeight w:val="312"/>
        </w:trPr>
        <w:tc>
          <w:tcPr>
            <w:tcW w:w="534" w:type="dxa"/>
          </w:tcPr>
          <w:p w14:paraId="0944708C" w14:textId="77777777" w:rsidR="005D1A61" w:rsidRDefault="0045737E">
            <w:pPr>
              <w:spacing w:line="360" w:lineRule="auto"/>
              <w:jc w:val="both"/>
              <w:rPr>
                <w:sz w:val="24"/>
                <w:szCs w:val="24"/>
              </w:rPr>
            </w:pPr>
            <w:r>
              <w:rPr>
                <w:sz w:val="24"/>
                <w:szCs w:val="24"/>
              </w:rPr>
              <w:t>10</w:t>
            </w:r>
          </w:p>
        </w:tc>
        <w:tc>
          <w:tcPr>
            <w:tcW w:w="4677" w:type="dxa"/>
          </w:tcPr>
          <w:p w14:paraId="219E5199" w14:textId="77777777" w:rsidR="005D1A61" w:rsidRDefault="0045737E">
            <w:pPr>
              <w:spacing w:line="360" w:lineRule="auto"/>
              <w:jc w:val="both"/>
              <w:rPr>
                <w:sz w:val="24"/>
                <w:szCs w:val="24"/>
              </w:rPr>
            </w:pPr>
            <w:r>
              <w:rPr>
                <w:sz w:val="24"/>
                <w:szCs w:val="24"/>
              </w:rPr>
              <w:t>Количество семей, улучшивших жилищные условия</w:t>
            </w:r>
          </w:p>
        </w:tc>
        <w:tc>
          <w:tcPr>
            <w:tcW w:w="4360" w:type="dxa"/>
          </w:tcPr>
          <w:p w14:paraId="51AD30E6" w14:textId="77777777" w:rsidR="005D1A61" w:rsidRDefault="0045737E">
            <w:pPr>
              <w:spacing w:line="360" w:lineRule="auto"/>
              <w:jc w:val="both"/>
              <w:rPr>
                <w:sz w:val="24"/>
                <w:szCs w:val="24"/>
              </w:rPr>
            </w:pPr>
            <w:r>
              <w:rPr>
                <w:sz w:val="24"/>
                <w:szCs w:val="24"/>
              </w:rPr>
              <w:t>Млн. семей</w:t>
            </w:r>
          </w:p>
        </w:tc>
      </w:tr>
      <w:tr w:rsidR="005D1A61" w14:paraId="4C63582B" w14:textId="77777777">
        <w:trPr>
          <w:trHeight w:val="312"/>
        </w:trPr>
        <w:tc>
          <w:tcPr>
            <w:tcW w:w="534" w:type="dxa"/>
          </w:tcPr>
          <w:p w14:paraId="502D00CF" w14:textId="77777777" w:rsidR="005D1A61" w:rsidRDefault="0045737E">
            <w:pPr>
              <w:spacing w:line="360" w:lineRule="auto"/>
              <w:jc w:val="both"/>
              <w:rPr>
                <w:sz w:val="24"/>
                <w:szCs w:val="24"/>
              </w:rPr>
            </w:pPr>
            <w:r>
              <w:rPr>
                <w:sz w:val="24"/>
                <w:szCs w:val="24"/>
              </w:rPr>
              <w:lastRenderedPageBreak/>
              <w:t>11</w:t>
            </w:r>
          </w:p>
        </w:tc>
        <w:tc>
          <w:tcPr>
            <w:tcW w:w="4677" w:type="dxa"/>
          </w:tcPr>
          <w:p w14:paraId="6984E854" w14:textId="77777777" w:rsidR="005D1A61" w:rsidRDefault="0045737E">
            <w:pPr>
              <w:spacing w:line="360" w:lineRule="auto"/>
              <w:jc w:val="both"/>
              <w:rPr>
                <w:sz w:val="24"/>
                <w:szCs w:val="24"/>
              </w:rPr>
            </w:pPr>
            <w:r>
              <w:rPr>
                <w:sz w:val="24"/>
                <w:szCs w:val="24"/>
              </w:rPr>
              <w:t>Объем жилищного строительства</w:t>
            </w:r>
          </w:p>
        </w:tc>
        <w:tc>
          <w:tcPr>
            <w:tcW w:w="4360" w:type="dxa"/>
          </w:tcPr>
          <w:p w14:paraId="2AD1C445" w14:textId="77777777" w:rsidR="005D1A61" w:rsidRDefault="0045737E">
            <w:pPr>
              <w:spacing w:line="360" w:lineRule="auto"/>
              <w:jc w:val="both"/>
              <w:rPr>
                <w:sz w:val="24"/>
                <w:szCs w:val="24"/>
              </w:rPr>
            </w:pPr>
            <w:r>
              <w:rPr>
                <w:sz w:val="24"/>
                <w:szCs w:val="24"/>
              </w:rPr>
              <w:t>Млн. кв. метров общей площади</w:t>
            </w:r>
          </w:p>
        </w:tc>
      </w:tr>
      <w:tr w:rsidR="005D1A61" w14:paraId="6544035F" w14:textId="77777777">
        <w:trPr>
          <w:trHeight w:val="312"/>
        </w:trPr>
        <w:tc>
          <w:tcPr>
            <w:tcW w:w="534" w:type="dxa"/>
          </w:tcPr>
          <w:p w14:paraId="1A3A3FF1" w14:textId="77777777" w:rsidR="005D1A61" w:rsidRDefault="0045737E">
            <w:pPr>
              <w:spacing w:line="360" w:lineRule="auto"/>
              <w:jc w:val="both"/>
              <w:rPr>
                <w:sz w:val="24"/>
                <w:szCs w:val="24"/>
              </w:rPr>
            </w:pPr>
            <w:r>
              <w:rPr>
                <w:sz w:val="24"/>
                <w:szCs w:val="24"/>
              </w:rPr>
              <w:t>12</w:t>
            </w:r>
          </w:p>
        </w:tc>
        <w:tc>
          <w:tcPr>
            <w:tcW w:w="4677" w:type="dxa"/>
          </w:tcPr>
          <w:p w14:paraId="47B3BD9E" w14:textId="77777777" w:rsidR="005D1A61" w:rsidRDefault="0045737E">
            <w:pPr>
              <w:spacing w:line="360" w:lineRule="auto"/>
              <w:jc w:val="both"/>
              <w:rPr>
                <w:sz w:val="24"/>
                <w:szCs w:val="24"/>
              </w:rPr>
            </w:pPr>
            <w:r>
              <w:rPr>
                <w:sz w:val="24"/>
                <w:szCs w:val="24"/>
              </w:rPr>
              <w:t>Качество городской среды</w:t>
            </w:r>
          </w:p>
        </w:tc>
        <w:tc>
          <w:tcPr>
            <w:tcW w:w="4360" w:type="dxa"/>
          </w:tcPr>
          <w:p w14:paraId="557E31A9" w14:textId="77777777" w:rsidR="005D1A61" w:rsidRDefault="0045737E">
            <w:pPr>
              <w:spacing w:line="360" w:lineRule="auto"/>
              <w:jc w:val="both"/>
              <w:rPr>
                <w:sz w:val="24"/>
                <w:szCs w:val="24"/>
              </w:rPr>
            </w:pPr>
            <w:r>
              <w:rPr>
                <w:sz w:val="24"/>
                <w:szCs w:val="24"/>
              </w:rPr>
              <w:t>Прирост среднего индекса качества городской среды (в баллах) по Российской Федерации (субъекту Российской Федерации) за отчетный год по отношению к 2019 году</w:t>
            </w:r>
          </w:p>
        </w:tc>
      </w:tr>
      <w:tr w:rsidR="005D1A61" w14:paraId="54AB40A5" w14:textId="77777777">
        <w:trPr>
          <w:trHeight w:val="312"/>
        </w:trPr>
        <w:tc>
          <w:tcPr>
            <w:tcW w:w="534" w:type="dxa"/>
          </w:tcPr>
          <w:p w14:paraId="7D4251B0" w14:textId="77777777" w:rsidR="005D1A61" w:rsidRDefault="0045737E">
            <w:pPr>
              <w:spacing w:line="360" w:lineRule="auto"/>
              <w:jc w:val="both"/>
              <w:rPr>
                <w:sz w:val="24"/>
                <w:szCs w:val="24"/>
              </w:rPr>
            </w:pPr>
            <w:r>
              <w:rPr>
                <w:sz w:val="24"/>
                <w:szCs w:val="24"/>
              </w:rPr>
              <w:t>13</w:t>
            </w:r>
          </w:p>
        </w:tc>
        <w:tc>
          <w:tcPr>
            <w:tcW w:w="4677" w:type="dxa"/>
          </w:tcPr>
          <w:p w14:paraId="7444C8A4" w14:textId="77777777" w:rsidR="005D1A61" w:rsidRDefault="0045737E">
            <w:pPr>
              <w:spacing w:line="360" w:lineRule="auto"/>
              <w:jc w:val="both"/>
              <w:rPr>
                <w:sz w:val="24"/>
                <w:szCs w:val="24"/>
              </w:rPr>
            </w:pPr>
            <w:r>
              <w:rPr>
                <w:sz w:val="24"/>
                <w:szCs w:val="24"/>
              </w:rPr>
              <w:t>Доля дорожной сети в крупнейших городских агломерациях, соответствующая нормативам</w:t>
            </w:r>
          </w:p>
        </w:tc>
        <w:tc>
          <w:tcPr>
            <w:tcW w:w="4360" w:type="dxa"/>
          </w:tcPr>
          <w:p w14:paraId="0DD23796" w14:textId="77777777" w:rsidR="005D1A61" w:rsidRDefault="0045737E">
            <w:pPr>
              <w:spacing w:line="360" w:lineRule="auto"/>
              <w:jc w:val="both"/>
              <w:rPr>
                <w:sz w:val="24"/>
                <w:szCs w:val="24"/>
              </w:rPr>
            </w:pPr>
            <w:r>
              <w:rPr>
                <w:sz w:val="24"/>
                <w:szCs w:val="24"/>
              </w:rPr>
              <w:t>%</w:t>
            </w:r>
          </w:p>
        </w:tc>
      </w:tr>
      <w:tr w:rsidR="005D1A61" w14:paraId="271661C5" w14:textId="77777777">
        <w:trPr>
          <w:trHeight w:val="312"/>
        </w:trPr>
        <w:tc>
          <w:tcPr>
            <w:tcW w:w="534" w:type="dxa"/>
          </w:tcPr>
          <w:p w14:paraId="48DBDAE6" w14:textId="77777777" w:rsidR="005D1A61" w:rsidRDefault="0045737E">
            <w:pPr>
              <w:spacing w:line="360" w:lineRule="auto"/>
              <w:jc w:val="both"/>
              <w:rPr>
                <w:sz w:val="24"/>
                <w:szCs w:val="24"/>
              </w:rPr>
            </w:pPr>
            <w:r>
              <w:rPr>
                <w:sz w:val="24"/>
                <w:szCs w:val="24"/>
              </w:rPr>
              <w:t>14</w:t>
            </w:r>
          </w:p>
        </w:tc>
        <w:tc>
          <w:tcPr>
            <w:tcW w:w="4677" w:type="dxa"/>
          </w:tcPr>
          <w:p w14:paraId="3569850B" w14:textId="77777777" w:rsidR="005D1A61" w:rsidRDefault="0045737E">
            <w:pPr>
              <w:spacing w:line="360" w:lineRule="auto"/>
              <w:jc w:val="both"/>
              <w:rPr>
                <w:sz w:val="24"/>
                <w:szCs w:val="24"/>
              </w:rPr>
            </w:pPr>
            <w:r>
              <w:rPr>
                <w:sz w:val="24"/>
                <w:szCs w:val="24"/>
              </w:rPr>
              <w:t>Качество окружающей среды</w:t>
            </w:r>
          </w:p>
        </w:tc>
        <w:tc>
          <w:tcPr>
            <w:tcW w:w="4360" w:type="dxa"/>
          </w:tcPr>
          <w:p w14:paraId="2C21C885" w14:textId="77777777" w:rsidR="005D1A61" w:rsidRDefault="0045737E">
            <w:pPr>
              <w:spacing w:line="360" w:lineRule="auto"/>
              <w:jc w:val="both"/>
              <w:rPr>
                <w:sz w:val="24"/>
                <w:szCs w:val="24"/>
              </w:rPr>
            </w:pPr>
            <w:r>
              <w:rPr>
                <w:sz w:val="24"/>
                <w:szCs w:val="24"/>
              </w:rPr>
              <w:t>%</w:t>
            </w:r>
          </w:p>
        </w:tc>
      </w:tr>
      <w:tr w:rsidR="005D1A61" w14:paraId="71247081" w14:textId="77777777">
        <w:trPr>
          <w:trHeight w:val="312"/>
        </w:trPr>
        <w:tc>
          <w:tcPr>
            <w:tcW w:w="534" w:type="dxa"/>
          </w:tcPr>
          <w:p w14:paraId="20B19909" w14:textId="77777777" w:rsidR="005D1A61" w:rsidRDefault="0045737E">
            <w:pPr>
              <w:spacing w:line="360" w:lineRule="auto"/>
              <w:jc w:val="both"/>
              <w:rPr>
                <w:sz w:val="24"/>
                <w:szCs w:val="24"/>
              </w:rPr>
            </w:pPr>
            <w:r>
              <w:rPr>
                <w:sz w:val="24"/>
                <w:szCs w:val="24"/>
              </w:rPr>
              <w:t>15</w:t>
            </w:r>
          </w:p>
        </w:tc>
        <w:tc>
          <w:tcPr>
            <w:tcW w:w="4677" w:type="dxa"/>
          </w:tcPr>
          <w:p w14:paraId="5848B946" w14:textId="77777777" w:rsidR="005D1A61" w:rsidRDefault="0045737E">
            <w:pPr>
              <w:spacing w:line="360" w:lineRule="auto"/>
              <w:jc w:val="both"/>
              <w:rPr>
                <w:sz w:val="24"/>
                <w:szCs w:val="24"/>
              </w:rPr>
            </w:pPr>
            <w:r>
              <w:rPr>
                <w:sz w:val="24"/>
                <w:szCs w:val="24"/>
              </w:rPr>
              <w:t>Темп роста (индекс роста) реальной среднемесячной заработной платы</w:t>
            </w:r>
          </w:p>
        </w:tc>
        <w:tc>
          <w:tcPr>
            <w:tcW w:w="4360" w:type="dxa"/>
          </w:tcPr>
          <w:p w14:paraId="78F88572" w14:textId="77777777" w:rsidR="005D1A61" w:rsidRDefault="0045737E">
            <w:pPr>
              <w:spacing w:line="360" w:lineRule="auto"/>
              <w:jc w:val="both"/>
              <w:rPr>
                <w:sz w:val="24"/>
                <w:szCs w:val="24"/>
              </w:rPr>
            </w:pPr>
            <w:r>
              <w:rPr>
                <w:sz w:val="24"/>
                <w:szCs w:val="24"/>
              </w:rPr>
              <w:t>% к 2020 году</w:t>
            </w:r>
          </w:p>
        </w:tc>
      </w:tr>
      <w:tr w:rsidR="005D1A61" w14:paraId="73976E7D" w14:textId="77777777">
        <w:trPr>
          <w:trHeight w:val="312"/>
        </w:trPr>
        <w:tc>
          <w:tcPr>
            <w:tcW w:w="534" w:type="dxa"/>
          </w:tcPr>
          <w:p w14:paraId="1DFCFC14" w14:textId="77777777" w:rsidR="005D1A61" w:rsidRDefault="0045737E">
            <w:pPr>
              <w:spacing w:line="360" w:lineRule="auto"/>
              <w:jc w:val="both"/>
              <w:rPr>
                <w:sz w:val="24"/>
                <w:szCs w:val="24"/>
              </w:rPr>
            </w:pPr>
            <w:r>
              <w:rPr>
                <w:sz w:val="24"/>
                <w:szCs w:val="24"/>
              </w:rPr>
              <w:t>16</w:t>
            </w:r>
          </w:p>
        </w:tc>
        <w:tc>
          <w:tcPr>
            <w:tcW w:w="4677" w:type="dxa"/>
          </w:tcPr>
          <w:p w14:paraId="0D5F3E72" w14:textId="77777777" w:rsidR="005D1A61" w:rsidRDefault="0045737E">
            <w:pPr>
              <w:spacing w:line="360" w:lineRule="auto"/>
              <w:jc w:val="both"/>
              <w:rPr>
                <w:sz w:val="24"/>
                <w:szCs w:val="24"/>
              </w:rPr>
            </w:pPr>
            <w:r>
              <w:rPr>
                <w:sz w:val="24"/>
                <w:szCs w:val="24"/>
              </w:rPr>
              <w:t>Темп роста (индекс роста) реального среднедушевого денежного дохода населения</w:t>
            </w:r>
          </w:p>
        </w:tc>
        <w:tc>
          <w:tcPr>
            <w:tcW w:w="4360" w:type="dxa"/>
          </w:tcPr>
          <w:p w14:paraId="19EB5137" w14:textId="77777777" w:rsidR="005D1A61" w:rsidRDefault="0045737E">
            <w:pPr>
              <w:spacing w:line="360" w:lineRule="auto"/>
              <w:jc w:val="both"/>
              <w:rPr>
                <w:sz w:val="24"/>
                <w:szCs w:val="24"/>
              </w:rPr>
            </w:pPr>
            <w:r>
              <w:rPr>
                <w:sz w:val="24"/>
                <w:szCs w:val="24"/>
              </w:rPr>
              <w:t>% к 2020 году</w:t>
            </w:r>
          </w:p>
        </w:tc>
      </w:tr>
      <w:tr w:rsidR="005D1A61" w14:paraId="717D882E" w14:textId="77777777">
        <w:trPr>
          <w:trHeight w:val="312"/>
        </w:trPr>
        <w:tc>
          <w:tcPr>
            <w:tcW w:w="534" w:type="dxa"/>
          </w:tcPr>
          <w:p w14:paraId="1376A481" w14:textId="77777777" w:rsidR="005D1A61" w:rsidRDefault="0045737E">
            <w:pPr>
              <w:spacing w:line="360" w:lineRule="auto"/>
              <w:jc w:val="both"/>
              <w:rPr>
                <w:sz w:val="24"/>
                <w:szCs w:val="24"/>
              </w:rPr>
            </w:pPr>
            <w:r>
              <w:rPr>
                <w:sz w:val="24"/>
                <w:szCs w:val="24"/>
              </w:rPr>
              <w:t>17</w:t>
            </w:r>
          </w:p>
        </w:tc>
        <w:tc>
          <w:tcPr>
            <w:tcW w:w="4677" w:type="dxa"/>
          </w:tcPr>
          <w:p w14:paraId="49919C57" w14:textId="77777777" w:rsidR="005D1A61" w:rsidRDefault="0045737E">
            <w:pPr>
              <w:spacing w:line="360" w:lineRule="auto"/>
              <w:jc w:val="both"/>
              <w:rPr>
                <w:sz w:val="24"/>
                <w:szCs w:val="24"/>
              </w:rPr>
            </w:pPr>
            <w:r>
              <w:rPr>
                <w:sz w:val="24"/>
                <w:szCs w:val="24"/>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4360" w:type="dxa"/>
          </w:tcPr>
          <w:p w14:paraId="72278746" w14:textId="77777777" w:rsidR="005D1A61" w:rsidRDefault="0045737E">
            <w:pPr>
              <w:spacing w:line="360" w:lineRule="auto"/>
              <w:jc w:val="both"/>
              <w:rPr>
                <w:sz w:val="24"/>
                <w:szCs w:val="24"/>
              </w:rPr>
            </w:pPr>
            <w:r>
              <w:rPr>
                <w:sz w:val="24"/>
                <w:szCs w:val="24"/>
              </w:rPr>
              <w:t>% к 2020 году</w:t>
            </w:r>
          </w:p>
        </w:tc>
      </w:tr>
      <w:tr w:rsidR="005D1A61" w14:paraId="28DA96B5" w14:textId="77777777">
        <w:trPr>
          <w:trHeight w:val="312"/>
        </w:trPr>
        <w:tc>
          <w:tcPr>
            <w:tcW w:w="534" w:type="dxa"/>
          </w:tcPr>
          <w:p w14:paraId="77DE415F" w14:textId="77777777" w:rsidR="005D1A61" w:rsidRDefault="0045737E">
            <w:pPr>
              <w:spacing w:line="360" w:lineRule="auto"/>
              <w:jc w:val="both"/>
              <w:rPr>
                <w:sz w:val="24"/>
                <w:szCs w:val="24"/>
              </w:rPr>
            </w:pPr>
            <w:r>
              <w:rPr>
                <w:sz w:val="24"/>
                <w:szCs w:val="24"/>
              </w:rPr>
              <w:t>18</w:t>
            </w:r>
          </w:p>
        </w:tc>
        <w:tc>
          <w:tcPr>
            <w:tcW w:w="4677" w:type="dxa"/>
          </w:tcPr>
          <w:p w14:paraId="247ED2AC" w14:textId="77777777" w:rsidR="005D1A61" w:rsidRDefault="0045737E">
            <w:pPr>
              <w:spacing w:line="360" w:lineRule="auto"/>
              <w:jc w:val="both"/>
              <w:rPr>
                <w:sz w:val="24"/>
                <w:szCs w:val="24"/>
              </w:rPr>
            </w:pPr>
            <w:r>
              <w:rPr>
                <w:sz w:val="24"/>
                <w:szCs w:val="24"/>
              </w:rPr>
              <w:t>Численность занятых в сфере малого и среднего предпринимательства, включая индивидуальных предпринимателей и самозанятых</w:t>
            </w:r>
          </w:p>
        </w:tc>
        <w:tc>
          <w:tcPr>
            <w:tcW w:w="4360" w:type="dxa"/>
          </w:tcPr>
          <w:p w14:paraId="3064DF63" w14:textId="77777777" w:rsidR="005D1A61" w:rsidRDefault="0045737E">
            <w:pPr>
              <w:spacing w:line="360" w:lineRule="auto"/>
              <w:jc w:val="both"/>
              <w:rPr>
                <w:sz w:val="24"/>
                <w:szCs w:val="24"/>
              </w:rPr>
            </w:pPr>
            <w:r>
              <w:rPr>
                <w:sz w:val="24"/>
                <w:szCs w:val="24"/>
              </w:rPr>
              <w:t>Человек</w:t>
            </w:r>
          </w:p>
        </w:tc>
      </w:tr>
      <w:tr w:rsidR="005D1A61" w14:paraId="53F5AF81" w14:textId="77777777">
        <w:trPr>
          <w:trHeight w:val="312"/>
        </w:trPr>
        <w:tc>
          <w:tcPr>
            <w:tcW w:w="534" w:type="dxa"/>
          </w:tcPr>
          <w:p w14:paraId="64D46B01" w14:textId="77777777" w:rsidR="005D1A61" w:rsidRDefault="0045737E">
            <w:pPr>
              <w:spacing w:line="360" w:lineRule="auto"/>
              <w:jc w:val="both"/>
              <w:rPr>
                <w:sz w:val="24"/>
                <w:szCs w:val="24"/>
              </w:rPr>
            </w:pPr>
            <w:r>
              <w:rPr>
                <w:sz w:val="24"/>
                <w:szCs w:val="24"/>
              </w:rPr>
              <w:t>19</w:t>
            </w:r>
          </w:p>
        </w:tc>
        <w:tc>
          <w:tcPr>
            <w:tcW w:w="4677" w:type="dxa"/>
          </w:tcPr>
          <w:p w14:paraId="4419E99E" w14:textId="77777777" w:rsidR="005D1A61" w:rsidRDefault="0045737E">
            <w:pPr>
              <w:spacing w:line="360" w:lineRule="auto"/>
              <w:jc w:val="both"/>
              <w:rPr>
                <w:sz w:val="24"/>
                <w:szCs w:val="24"/>
              </w:rPr>
            </w:pPr>
            <w:r>
              <w:rPr>
                <w:sz w:val="24"/>
                <w:szCs w:val="24"/>
              </w:rPr>
              <w:t>"Цифровая зрелость"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w:t>
            </w:r>
          </w:p>
        </w:tc>
        <w:tc>
          <w:tcPr>
            <w:tcW w:w="4360" w:type="dxa"/>
          </w:tcPr>
          <w:p w14:paraId="31242D96" w14:textId="77777777" w:rsidR="005D1A61" w:rsidRDefault="0045737E">
            <w:pPr>
              <w:spacing w:line="360" w:lineRule="auto"/>
              <w:jc w:val="both"/>
              <w:rPr>
                <w:sz w:val="24"/>
                <w:szCs w:val="24"/>
              </w:rPr>
            </w:pPr>
            <w:r>
              <w:rPr>
                <w:sz w:val="24"/>
                <w:szCs w:val="24"/>
              </w:rPr>
              <w:t xml:space="preserve">Доля (%) достижения органами государственной власти субъектов Российской Федерации, органами местного самоуправления и организациями в сфере здравоохранения, образования, городского хозяйства и строительства, общественного транспорта, а также государственного управления целевых </w:t>
            </w:r>
            <w:r>
              <w:rPr>
                <w:sz w:val="24"/>
                <w:szCs w:val="24"/>
              </w:rPr>
              <w:lastRenderedPageBreak/>
              <w:t>значений индикаторов, характеризующих достижение показателя указанных отраслей и государственного управления, согласно приложению.</w:t>
            </w:r>
          </w:p>
        </w:tc>
      </w:tr>
    </w:tbl>
    <w:p w14:paraId="135AC3CE" w14:textId="77777777" w:rsidR="005D1A61" w:rsidRDefault="005D1A61">
      <w:pPr>
        <w:spacing w:line="360" w:lineRule="auto"/>
        <w:jc w:val="both"/>
        <w:rPr>
          <w:sz w:val="24"/>
          <w:szCs w:val="24"/>
        </w:rPr>
      </w:pPr>
    </w:p>
    <w:p w14:paraId="1C166472" w14:textId="77777777" w:rsidR="005D1A61" w:rsidRDefault="0045737E">
      <w:pPr>
        <w:spacing w:line="360" w:lineRule="auto"/>
        <w:jc w:val="both"/>
        <w:rPr>
          <w:sz w:val="24"/>
          <w:szCs w:val="24"/>
        </w:rPr>
      </w:pPr>
      <w:r>
        <w:rPr>
          <w:sz w:val="24"/>
          <w:szCs w:val="24"/>
        </w:rPr>
        <w:t xml:space="preserve">Приложение 2. </w:t>
      </w:r>
    </w:p>
    <w:p w14:paraId="22181C25" w14:textId="77777777" w:rsidR="005D1A61" w:rsidRDefault="0045737E">
      <w:pPr>
        <w:spacing w:line="360" w:lineRule="auto"/>
        <w:jc w:val="both"/>
        <w:rPr>
          <w:sz w:val="24"/>
          <w:szCs w:val="24"/>
        </w:rPr>
      </w:pPr>
      <w:r>
        <w:rPr>
          <w:sz w:val="24"/>
          <w:szCs w:val="24"/>
        </w:rPr>
        <w:t xml:space="preserve">Распределение гидротермического коэффициента Селянинова за вегетационный период (Составлен по: Агроэкологический атлас …электронный ресурс). </w:t>
      </w:r>
    </w:p>
    <w:p w14:paraId="11FC69CC" w14:textId="77777777" w:rsidR="005D1A61" w:rsidRDefault="0045737E">
      <w:pPr>
        <w:spacing w:line="360" w:lineRule="auto"/>
        <w:jc w:val="both"/>
        <w:rPr>
          <w:sz w:val="24"/>
          <w:szCs w:val="24"/>
        </w:rPr>
      </w:pPr>
      <w:r>
        <w:rPr>
          <w:noProof/>
          <w:sz w:val="24"/>
          <w:szCs w:val="24"/>
        </w:rPr>
        <w:drawing>
          <wp:inline distT="0" distB="0" distL="0" distR="0" wp14:anchorId="168A222F" wp14:editId="4C4E23CA">
            <wp:extent cx="5601653" cy="3533999"/>
            <wp:effectExtent l="0" t="0" r="0" b="0"/>
            <wp:docPr id="29" name="image24.gif" descr="C:\Users\Timur\AppData\Local\Microsoft\Windows\INetCache\Content.Word\GTK_ru.gif"/>
            <wp:cNvGraphicFramePr/>
            <a:graphic xmlns:a="http://schemas.openxmlformats.org/drawingml/2006/main">
              <a:graphicData uri="http://schemas.openxmlformats.org/drawingml/2006/picture">
                <pic:pic xmlns:pic="http://schemas.openxmlformats.org/drawingml/2006/picture">
                  <pic:nvPicPr>
                    <pic:cNvPr id="0" name="image24.gif" descr="C:\Users\Timur\AppData\Local\Microsoft\Windows\INetCache\Content.Word\GTK_ru.gif"/>
                    <pic:cNvPicPr preferRelativeResize="0"/>
                  </pic:nvPicPr>
                  <pic:blipFill>
                    <a:blip r:embed="rId45"/>
                    <a:srcRect/>
                    <a:stretch>
                      <a:fillRect/>
                    </a:stretch>
                  </pic:blipFill>
                  <pic:spPr>
                    <a:xfrm>
                      <a:off x="0" y="0"/>
                      <a:ext cx="5601653" cy="3533999"/>
                    </a:xfrm>
                    <a:prstGeom prst="rect">
                      <a:avLst/>
                    </a:prstGeom>
                    <a:ln/>
                  </pic:spPr>
                </pic:pic>
              </a:graphicData>
            </a:graphic>
          </wp:inline>
        </w:drawing>
      </w:r>
    </w:p>
    <w:p w14:paraId="1B736CFC" w14:textId="77777777" w:rsidR="005D1A61" w:rsidRDefault="005D1A61">
      <w:pPr>
        <w:spacing w:after="0" w:line="360" w:lineRule="auto"/>
        <w:jc w:val="both"/>
        <w:rPr>
          <w:sz w:val="24"/>
          <w:szCs w:val="24"/>
        </w:rPr>
      </w:pPr>
    </w:p>
    <w:p w14:paraId="3628CA07" w14:textId="77777777" w:rsidR="005D1A61" w:rsidRDefault="005D1A61">
      <w:pPr>
        <w:spacing w:after="0" w:line="360" w:lineRule="auto"/>
        <w:jc w:val="both"/>
        <w:rPr>
          <w:sz w:val="24"/>
          <w:szCs w:val="24"/>
        </w:rPr>
      </w:pPr>
    </w:p>
    <w:p w14:paraId="55DB3726" w14:textId="77777777" w:rsidR="005D1A61" w:rsidRDefault="005D1A61">
      <w:pPr>
        <w:spacing w:after="0" w:line="360" w:lineRule="auto"/>
        <w:jc w:val="both"/>
        <w:rPr>
          <w:sz w:val="24"/>
          <w:szCs w:val="24"/>
        </w:rPr>
      </w:pPr>
    </w:p>
    <w:p w14:paraId="2BC6056F" w14:textId="77777777" w:rsidR="00F93984" w:rsidRDefault="00F93984">
      <w:pPr>
        <w:spacing w:after="0" w:line="360" w:lineRule="auto"/>
        <w:jc w:val="both"/>
        <w:rPr>
          <w:sz w:val="24"/>
          <w:szCs w:val="24"/>
        </w:rPr>
      </w:pPr>
    </w:p>
    <w:p w14:paraId="1D317A67" w14:textId="77777777" w:rsidR="00F93984" w:rsidRDefault="00F93984">
      <w:pPr>
        <w:spacing w:after="0" w:line="360" w:lineRule="auto"/>
        <w:jc w:val="both"/>
        <w:rPr>
          <w:sz w:val="24"/>
          <w:szCs w:val="24"/>
        </w:rPr>
      </w:pPr>
    </w:p>
    <w:p w14:paraId="1BFC343E" w14:textId="77777777" w:rsidR="00F93984" w:rsidRDefault="00F93984">
      <w:pPr>
        <w:spacing w:after="0" w:line="360" w:lineRule="auto"/>
        <w:jc w:val="both"/>
        <w:rPr>
          <w:sz w:val="24"/>
          <w:szCs w:val="24"/>
        </w:rPr>
      </w:pPr>
    </w:p>
    <w:p w14:paraId="30238946" w14:textId="77777777" w:rsidR="00F93984" w:rsidRDefault="00F93984">
      <w:pPr>
        <w:spacing w:after="0" w:line="360" w:lineRule="auto"/>
        <w:jc w:val="both"/>
        <w:rPr>
          <w:sz w:val="24"/>
          <w:szCs w:val="24"/>
        </w:rPr>
      </w:pPr>
    </w:p>
    <w:p w14:paraId="2528FB8A" w14:textId="77777777" w:rsidR="00F93984" w:rsidRDefault="00F93984">
      <w:pPr>
        <w:spacing w:after="0" w:line="360" w:lineRule="auto"/>
        <w:jc w:val="both"/>
        <w:rPr>
          <w:sz w:val="24"/>
          <w:szCs w:val="24"/>
        </w:rPr>
      </w:pPr>
    </w:p>
    <w:p w14:paraId="55DF8704" w14:textId="77777777" w:rsidR="005D1A61" w:rsidRDefault="005D1A61">
      <w:pPr>
        <w:spacing w:after="0" w:line="360" w:lineRule="auto"/>
        <w:jc w:val="both"/>
        <w:rPr>
          <w:sz w:val="24"/>
          <w:szCs w:val="24"/>
        </w:rPr>
      </w:pPr>
    </w:p>
    <w:p w14:paraId="7B4B98F7" w14:textId="77777777" w:rsidR="005D1A61" w:rsidRDefault="0045737E">
      <w:pPr>
        <w:spacing w:after="0" w:line="360" w:lineRule="auto"/>
        <w:jc w:val="both"/>
        <w:rPr>
          <w:sz w:val="24"/>
          <w:szCs w:val="24"/>
        </w:rPr>
      </w:pPr>
      <w:r>
        <w:rPr>
          <w:sz w:val="24"/>
          <w:szCs w:val="24"/>
        </w:rPr>
        <w:lastRenderedPageBreak/>
        <w:t>Приложение 3.  Распределение количества дней в году с температурой выше 10 градусов Цельсия в Российской Федерации и сопредельных территориях</w:t>
      </w:r>
      <w:r>
        <w:rPr>
          <w:color w:val="FF0000"/>
          <w:sz w:val="24"/>
          <w:szCs w:val="24"/>
        </w:rPr>
        <w:t xml:space="preserve"> </w:t>
      </w:r>
      <w:r>
        <w:rPr>
          <w:sz w:val="24"/>
          <w:szCs w:val="24"/>
        </w:rPr>
        <w:t>(Агроэкологический атлас, 2022) электронный ресурс).</w:t>
      </w:r>
    </w:p>
    <w:p w14:paraId="1E3826E1" w14:textId="77777777" w:rsidR="005D1A61" w:rsidRDefault="005D1A61">
      <w:pPr>
        <w:spacing w:after="0" w:line="360" w:lineRule="auto"/>
        <w:jc w:val="both"/>
        <w:rPr>
          <w:sz w:val="24"/>
          <w:szCs w:val="24"/>
        </w:rPr>
      </w:pPr>
    </w:p>
    <w:p w14:paraId="6B3855FC" w14:textId="77777777" w:rsidR="005D1A61" w:rsidRDefault="0045737E">
      <w:pPr>
        <w:spacing w:after="0" w:line="360" w:lineRule="auto"/>
        <w:jc w:val="both"/>
        <w:rPr>
          <w:sz w:val="24"/>
          <w:szCs w:val="24"/>
        </w:rPr>
      </w:pPr>
      <w:r>
        <w:rPr>
          <w:noProof/>
          <w:sz w:val="24"/>
          <w:szCs w:val="24"/>
        </w:rPr>
        <w:drawing>
          <wp:inline distT="0" distB="0" distL="0" distR="0" wp14:anchorId="6CBFD77E" wp14:editId="16BAF82F">
            <wp:extent cx="5937885" cy="3733800"/>
            <wp:effectExtent l="0" t="0" r="0" b="0"/>
            <wp:docPr id="12" name="image9.gif" descr="Dneyvyshe10_ru"/>
            <wp:cNvGraphicFramePr/>
            <a:graphic xmlns:a="http://schemas.openxmlformats.org/drawingml/2006/main">
              <a:graphicData uri="http://schemas.openxmlformats.org/drawingml/2006/picture">
                <pic:pic xmlns:pic="http://schemas.openxmlformats.org/drawingml/2006/picture">
                  <pic:nvPicPr>
                    <pic:cNvPr id="0" name="image9.gif" descr="Dneyvyshe10_ru"/>
                    <pic:cNvPicPr preferRelativeResize="0"/>
                  </pic:nvPicPr>
                  <pic:blipFill>
                    <a:blip r:embed="rId46"/>
                    <a:srcRect/>
                    <a:stretch>
                      <a:fillRect/>
                    </a:stretch>
                  </pic:blipFill>
                  <pic:spPr>
                    <a:xfrm>
                      <a:off x="0" y="0"/>
                      <a:ext cx="5937885" cy="3733800"/>
                    </a:xfrm>
                    <a:prstGeom prst="rect">
                      <a:avLst/>
                    </a:prstGeom>
                    <a:ln/>
                  </pic:spPr>
                </pic:pic>
              </a:graphicData>
            </a:graphic>
          </wp:inline>
        </w:drawing>
      </w:r>
    </w:p>
    <w:p w14:paraId="6B4792FD" w14:textId="77777777" w:rsidR="005D1A61" w:rsidRDefault="005D1A61">
      <w:pPr>
        <w:spacing w:after="0" w:line="360" w:lineRule="auto"/>
        <w:jc w:val="both"/>
        <w:rPr>
          <w:sz w:val="24"/>
          <w:szCs w:val="24"/>
        </w:rPr>
      </w:pPr>
    </w:p>
    <w:p w14:paraId="33DEEA39" w14:textId="77777777" w:rsidR="005D1A61" w:rsidRDefault="005D1A61">
      <w:pPr>
        <w:spacing w:after="0" w:line="360" w:lineRule="auto"/>
        <w:jc w:val="both"/>
        <w:rPr>
          <w:sz w:val="24"/>
          <w:szCs w:val="24"/>
        </w:rPr>
      </w:pPr>
    </w:p>
    <w:p w14:paraId="09CC5F5B" w14:textId="77777777" w:rsidR="005D1A61" w:rsidRDefault="005D1A61">
      <w:pPr>
        <w:spacing w:after="0" w:line="360" w:lineRule="auto"/>
        <w:jc w:val="both"/>
        <w:rPr>
          <w:sz w:val="24"/>
          <w:szCs w:val="24"/>
        </w:rPr>
      </w:pPr>
    </w:p>
    <w:p w14:paraId="0072E6F3" w14:textId="77777777" w:rsidR="005D1A61" w:rsidRDefault="005D1A61">
      <w:pPr>
        <w:spacing w:after="0" w:line="360" w:lineRule="auto"/>
        <w:jc w:val="both"/>
        <w:rPr>
          <w:sz w:val="24"/>
          <w:szCs w:val="24"/>
        </w:rPr>
      </w:pPr>
    </w:p>
    <w:p w14:paraId="5312B74B" w14:textId="77777777" w:rsidR="005D1A61" w:rsidRDefault="005D1A61">
      <w:pPr>
        <w:spacing w:after="0" w:line="360" w:lineRule="auto"/>
        <w:jc w:val="both"/>
        <w:rPr>
          <w:sz w:val="24"/>
          <w:szCs w:val="24"/>
        </w:rPr>
      </w:pPr>
    </w:p>
    <w:p w14:paraId="100E88E0" w14:textId="77777777" w:rsidR="005D1A61" w:rsidRDefault="005D1A61">
      <w:pPr>
        <w:spacing w:after="0" w:line="360" w:lineRule="auto"/>
        <w:jc w:val="both"/>
        <w:rPr>
          <w:sz w:val="24"/>
          <w:szCs w:val="24"/>
        </w:rPr>
      </w:pPr>
    </w:p>
    <w:p w14:paraId="18A5A30A" w14:textId="77777777" w:rsidR="005D1A61" w:rsidRDefault="005D1A61">
      <w:pPr>
        <w:spacing w:after="0" w:line="360" w:lineRule="auto"/>
        <w:jc w:val="both"/>
        <w:rPr>
          <w:sz w:val="24"/>
          <w:szCs w:val="24"/>
        </w:rPr>
      </w:pPr>
    </w:p>
    <w:p w14:paraId="256C69D0" w14:textId="77777777" w:rsidR="005D1A61" w:rsidRDefault="005D1A61">
      <w:pPr>
        <w:spacing w:after="0" w:line="360" w:lineRule="auto"/>
        <w:jc w:val="both"/>
        <w:rPr>
          <w:sz w:val="24"/>
          <w:szCs w:val="24"/>
        </w:rPr>
      </w:pPr>
    </w:p>
    <w:p w14:paraId="4B24065C" w14:textId="77777777" w:rsidR="005D1A61" w:rsidRDefault="005D1A61">
      <w:pPr>
        <w:spacing w:after="0" w:line="360" w:lineRule="auto"/>
        <w:jc w:val="both"/>
        <w:rPr>
          <w:sz w:val="24"/>
          <w:szCs w:val="24"/>
        </w:rPr>
      </w:pPr>
    </w:p>
    <w:p w14:paraId="4014E14C" w14:textId="77777777" w:rsidR="005D1A61" w:rsidRDefault="005D1A61">
      <w:pPr>
        <w:spacing w:after="0" w:line="360" w:lineRule="auto"/>
        <w:jc w:val="both"/>
        <w:rPr>
          <w:sz w:val="24"/>
          <w:szCs w:val="24"/>
        </w:rPr>
      </w:pPr>
    </w:p>
    <w:p w14:paraId="7C13ED55" w14:textId="77777777" w:rsidR="005D1A61" w:rsidRDefault="005D1A61">
      <w:pPr>
        <w:spacing w:after="0" w:line="360" w:lineRule="auto"/>
        <w:jc w:val="both"/>
        <w:rPr>
          <w:sz w:val="24"/>
          <w:szCs w:val="24"/>
        </w:rPr>
      </w:pPr>
    </w:p>
    <w:p w14:paraId="2384D615" w14:textId="77777777" w:rsidR="005D1A61" w:rsidRDefault="005D1A61">
      <w:pPr>
        <w:spacing w:after="0" w:line="360" w:lineRule="auto"/>
        <w:jc w:val="both"/>
        <w:rPr>
          <w:sz w:val="24"/>
          <w:szCs w:val="24"/>
        </w:rPr>
      </w:pPr>
    </w:p>
    <w:p w14:paraId="3A15B560" w14:textId="77777777" w:rsidR="005D1A61" w:rsidRDefault="005D1A61">
      <w:pPr>
        <w:spacing w:after="0" w:line="360" w:lineRule="auto"/>
        <w:jc w:val="both"/>
        <w:rPr>
          <w:sz w:val="24"/>
          <w:szCs w:val="24"/>
        </w:rPr>
      </w:pPr>
    </w:p>
    <w:p w14:paraId="6DDC043B" w14:textId="77777777" w:rsidR="005D1A61" w:rsidRDefault="005D1A61">
      <w:pPr>
        <w:spacing w:after="0" w:line="360" w:lineRule="auto"/>
        <w:jc w:val="both"/>
        <w:rPr>
          <w:sz w:val="24"/>
          <w:szCs w:val="24"/>
        </w:rPr>
      </w:pPr>
    </w:p>
    <w:p w14:paraId="2C9B3BE7" w14:textId="77777777" w:rsidR="005D1A61" w:rsidRDefault="005D1A61">
      <w:pPr>
        <w:spacing w:after="0" w:line="360" w:lineRule="auto"/>
        <w:jc w:val="both"/>
        <w:rPr>
          <w:sz w:val="24"/>
          <w:szCs w:val="24"/>
        </w:rPr>
      </w:pPr>
    </w:p>
    <w:p w14:paraId="5A55D91E" w14:textId="77777777" w:rsidR="005D1A61" w:rsidRDefault="0045737E">
      <w:pPr>
        <w:spacing w:after="0" w:line="360" w:lineRule="auto"/>
        <w:jc w:val="both"/>
        <w:rPr>
          <w:sz w:val="24"/>
          <w:szCs w:val="24"/>
        </w:rPr>
      </w:pPr>
      <w:r>
        <w:rPr>
          <w:sz w:val="24"/>
          <w:szCs w:val="24"/>
        </w:rPr>
        <w:lastRenderedPageBreak/>
        <w:t>Приложение 4. Схема размещения главнейших месторождений полезных ископаемых Урала (ВСЕГЕИ, https://www.vsegei.ru/ru/info/gisatlas/ufo/okrug/f_39_Gor_PI.jpg).</w:t>
      </w:r>
    </w:p>
    <w:p w14:paraId="2A7749B0" w14:textId="77777777" w:rsidR="005D1A61" w:rsidRDefault="0045737E">
      <w:pPr>
        <w:spacing w:after="0" w:line="360" w:lineRule="auto"/>
        <w:jc w:val="both"/>
        <w:rPr>
          <w:sz w:val="24"/>
          <w:szCs w:val="24"/>
        </w:rPr>
      </w:pPr>
      <w:r>
        <w:rPr>
          <w:noProof/>
          <w:sz w:val="24"/>
          <w:szCs w:val="24"/>
        </w:rPr>
        <w:drawing>
          <wp:inline distT="0" distB="0" distL="0" distR="0" wp14:anchorId="1DCFDCD9" wp14:editId="4A582608">
            <wp:extent cx="5937885" cy="7914005"/>
            <wp:effectExtent l="0" t="0" r="0" b="0"/>
            <wp:docPr id="20" name="image35.jpg" descr="f_30_Skhema PI_(obshchaya)"/>
            <wp:cNvGraphicFramePr/>
            <a:graphic xmlns:a="http://schemas.openxmlformats.org/drawingml/2006/main">
              <a:graphicData uri="http://schemas.openxmlformats.org/drawingml/2006/picture">
                <pic:pic xmlns:pic="http://schemas.openxmlformats.org/drawingml/2006/picture">
                  <pic:nvPicPr>
                    <pic:cNvPr id="0" name="image35.jpg" descr="f_30_Skhema PI_(obshchaya)"/>
                    <pic:cNvPicPr preferRelativeResize="0"/>
                  </pic:nvPicPr>
                  <pic:blipFill>
                    <a:blip r:embed="rId47"/>
                    <a:srcRect/>
                    <a:stretch>
                      <a:fillRect/>
                    </a:stretch>
                  </pic:blipFill>
                  <pic:spPr>
                    <a:xfrm>
                      <a:off x="0" y="0"/>
                      <a:ext cx="5937885" cy="7914005"/>
                    </a:xfrm>
                    <a:prstGeom prst="rect">
                      <a:avLst/>
                    </a:prstGeom>
                    <a:ln/>
                  </pic:spPr>
                </pic:pic>
              </a:graphicData>
            </a:graphic>
          </wp:inline>
        </w:drawing>
      </w:r>
    </w:p>
    <w:p w14:paraId="3D52AD18" w14:textId="77777777" w:rsidR="005D1A61" w:rsidRDefault="0045737E">
      <w:pPr>
        <w:spacing w:after="0" w:line="360" w:lineRule="auto"/>
        <w:jc w:val="both"/>
        <w:rPr>
          <w:sz w:val="24"/>
          <w:szCs w:val="24"/>
        </w:rPr>
      </w:pPr>
      <w:r>
        <w:br w:type="page"/>
      </w:r>
    </w:p>
    <w:p w14:paraId="27C7487D" w14:textId="676F9C29" w:rsidR="005D1A61" w:rsidRDefault="0045737E">
      <w:pPr>
        <w:spacing w:after="0" w:line="360" w:lineRule="auto"/>
        <w:jc w:val="both"/>
        <w:rPr>
          <w:sz w:val="24"/>
          <w:szCs w:val="24"/>
        </w:rPr>
      </w:pPr>
      <w:r>
        <w:rPr>
          <w:sz w:val="24"/>
          <w:szCs w:val="24"/>
        </w:rPr>
        <w:lastRenderedPageBreak/>
        <w:t xml:space="preserve">Приложение 5. Карта горючих полезных ископаемых Уральского Федерального округа (ВСЕГЕИ, </w:t>
      </w:r>
      <w:r w:rsidR="00F93984">
        <w:rPr>
          <w:sz w:val="24"/>
          <w:szCs w:val="24"/>
        </w:rPr>
        <w:t xml:space="preserve">Электронный ресурс: </w:t>
      </w:r>
      <w:hyperlink r:id="rId48" w:history="1">
        <w:r w:rsidR="00F93984" w:rsidRPr="00105AA1">
          <w:rPr>
            <w:rStyle w:val="ab"/>
            <w:sz w:val="24"/>
            <w:szCs w:val="24"/>
          </w:rPr>
          <w:t>https://www.vsegei.ru/ru/info/gisatlas/ufo/okrug/f_39_Gor_PI.jpg</w:t>
        </w:r>
      </w:hyperlink>
      <w:r>
        <w:rPr>
          <w:sz w:val="24"/>
          <w:szCs w:val="24"/>
        </w:rPr>
        <w:t>)</w:t>
      </w:r>
    </w:p>
    <w:p w14:paraId="65FBC76F" w14:textId="4DD221AB" w:rsidR="00F93984" w:rsidRPr="00F93984" w:rsidRDefault="0045737E">
      <w:pPr>
        <w:spacing w:line="360" w:lineRule="auto"/>
        <w:jc w:val="both"/>
        <w:rPr>
          <w:sz w:val="24"/>
          <w:szCs w:val="24"/>
        </w:rPr>
      </w:pPr>
      <w:r>
        <w:rPr>
          <w:noProof/>
          <w:sz w:val="24"/>
          <w:szCs w:val="24"/>
        </w:rPr>
        <w:drawing>
          <wp:inline distT="0" distB="0" distL="0" distR="0" wp14:anchorId="32B7D966" wp14:editId="521BE563">
            <wp:extent cx="5225415" cy="8387715"/>
            <wp:effectExtent l="0" t="0" r="0" b="0"/>
            <wp:docPr id="1" name="image6.jpg" descr="f_39_Gor_PI"/>
            <wp:cNvGraphicFramePr/>
            <a:graphic xmlns:a="http://schemas.openxmlformats.org/drawingml/2006/main">
              <a:graphicData uri="http://schemas.openxmlformats.org/drawingml/2006/picture">
                <pic:pic xmlns:pic="http://schemas.openxmlformats.org/drawingml/2006/picture">
                  <pic:nvPicPr>
                    <pic:cNvPr id="0" name="image6.jpg" descr="f_39_Gor_PI"/>
                    <pic:cNvPicPr preferRelativeResize="0"/>
                  </pic:nvPicPr>
                  <pic:blipFill>
                    <a:blip r:embed="rId49"/>
                    <a:srcRect/>
                    <a:stretch>
                      <a:fillRect/>
                    </a:stretch>
                  </pic:blipFill>
                  <pic:spPr>
                    <a:xfrm>
                      <a:off x="0" y="0"/>
                      <a:ext cx="5225415" cy="8387715"/>
                    </a:xfrm>
                    <a:prstGeom prst="rect">
                      <a:avLst/>
                    </a:prstGeom>
                    <a:ln/>
                  </pic:spPr>
                </pic:pic>
              </a:graphicData>
            </a:graphic>
          </wp:inline>
        </w:drawing>
      </w:r>
    </w:p>
    <w:p w14:paraId="43CE1C4A" w14:textId="11628533" w:rsidR="00F93984" w:rsidRPr="00F93984" w:rsidRDefault="00F93984" w:rsidP="00F93984">
      <w:pPr>
        <w:jc w:val="both"/>
        <w:rPr>
          <w:sz w:val="24"/>
          <w:szCs w:val="24"/>
        </w:rPr>
      </w:pPr>
      <w:r>
        <w:rPr>
          <w:sz w:val="24"/>
          <w:szCs w:val="24"/>
        </w:rPr>
        <w:lastRenderedPageBreak/>
        <w:t>Приложение 6. Половозрастная структура населения субъектов Уральского ФО.</w:t>
      </w:r>
    </w:p>
    <w:p w14:paraId="43BD9514" w14:textId="77777777" w:rsidR="005D1A61" w:rsidRDefault="0045737E">
      <w:pPr>
        <w:jc w:val="both"/>
      </w:pPr>
      <w:r>
        <w:rPr>
          <w:noProof/>
        </w:rPr>
        <w:drawing>
          <wp:inline distT="0" distB="0" distL="0" distR="0" wp14:anchorId="133BDDCF" wp14:editId="2B70C3F3">
            <wp:extent cx="5308979" cy="3125337"/>
            <wp:effectExtent l="0" t="0" r="635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5324754" cy="3134623"/>
                    </a:xfrm>
                    <a:prstGeom prst="rect">
                      <a:avLst/>
                    </a:prstGeom>
                    <a:ln/>
                  </pic:spPr>
                </pic:pic>
              </a:graphicData>
            </a:graphic>
          </wp:inline>
        </w:drawing>
      </w:r>
    </w:p>
    <w:p w14:paraId="5B0D0950" w14:textId="77777777" w:rsidR="005D1A61" w:rsidRDefault="0045737E">
      <w:pPr>
        <w:jc w:val="both"/>
        <w:rPr>
          <w:sz w:val="24"/>
          <w:szCs w:val="24"/>
        </w:rPr>
      </w:pPr>
      <w:r>
        <w:rPr>
          <w:sz w:val="24"/>
          <w:szCs w:val="24"/>
        </w:rPr>
        <w:t>Рис. 1. Половозрастная структура населения Ханты-Мансийского автономного округа (по результатам переписи 2020 года).</w:t>
      </w:r>
    </w:p>
    <w:p w14:paraId="7AA5D2E0" w14:textId="77777777" w:rsidR="005D1A61" w:rsidRDefault="0045737E">
      <w:pPr>
        <w:jc w:val="both"/>
      </w:pPr>
      <w:r>
        <w:rPr>
          <w:noProof/>
        </w:rPr>
        <w:drawing>
          <wp:inline distT="0" distB="0" distL="0" distR="0" wp14:anchorId="298198FE" wp14:editId="6BD70796">
            <wp:extent cx="5829300" cy="446532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1"/>
                    <a:srcRect/>
                    <a:stretch>
                      <a:fillRect/>
                    </a:stretch>
                  </pic:blipFill>
                  <pic:spPr>
                    <a:xfrm>
                      <a:off x="0" y="0"/>
                      <a:ext cx="5829300" cy="4465320"/>
                    </a:xfrm>
                    <a:prstGeom prst="rect">
                      <a:avLst/>
                    </a:prstGeom>
                    <a:ln/>
                  </pic:spPr>
                </pic:pic>
              </a:graphicData>
            </a:graphic>
          </wp:inline>
        </w:drawing>
      </w:r>
    </w:p>
    <w:p w14:paraId="4697CF4A" w14:textId="77777777" w:rsidR="005D1A61" w:rsidRDefault="0045737E">
      <w:pPr>
        <w:jc w:val="both"/>
        <w:rPr>
          <w:sz w:val="24"/>
          <w:szCs w:val="24"/>
        </w:rPr>
      </w:pPr>
      <w:r>
        <w:rPr>
          <w:sz w:val="24"/>
          <w:szCs w:val="24"/>
        </w:rPr>
        <w:t>Рис. 2. Половозрастная структура населения Ямало-Ненецкого автономного округа (по результатам переписи 2020 года).</w:t>
      </w:r>
    </w:p>
    <w:p w14:paraId="48F823B9" w14:textId="77777777" w:rsidR="005D1A61" w:rsidRDefault="005D1A61">
      <w:pPr>
        <w:jc w:val="both"/>
        <w:rPr>
          <w:sz w:val="24"/>
          <w:szCs w:val="24"/>
        </w:rPr>
      </w:pPr>
    </w:p>
    <w:p w14:paraId="727F41E0" w14:textId="77777777" w:rsidR="005D1A61" w:rsidRDefault="0045737E">
      <w:pPr>
        <w:jc w:val="both"/>
      </w:pPr>
      <w:r>
        <w:rPr>
          <w:noProof/>
        </w:rPr>
        <w:drawing>
          <wp:inline distT="0" distB="0" distL="0" distR="0" wp14:anchorId="334AF1FD" wp14:editId="7B980FD1">
            <wp:extent cx="5090615" cy="3234519"/>
            <wp:effectExtent l="0" t="0" r="0" b="4445"/>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
                    <a:srcRect/>
                    <a:stretch>
                      <a:fillRect/>
                    </a:stretch>
                  </pic:blipFill>
                  <pic:spPr>
                    <a:xfrm>
                      <a:off x="0" y="0"/>
                      <a:ext cx="5093179" cy="3236148"/>
                    </a:xfrm>
                    <a:prstGeom prst="rect">
                      <a:avLst/>
                    </a:prstGeom>
                    <a:ln/>
                  </pic:spPr>
                </pic:pic>
              </a:graphicData>
            </a:graphic>
          </wp:inline>
        </w:drawing>
      </w:r>
    </w:p>
    <w:p w14:paraId="170F2E21" w14:textId="77777777" w:rsidR="005D1A61" w:rsidRDefault="0045737E">
      <w:pPr>
        <w:jc w:val="both"/>
        <w:rPr>
          <w:sz w:val="24"/>
          <w:szCs w:val="24"/>
        </w:rPr>
      </w:pPr>
      <w:r>
        <w:rPr>
          <w:sz w:val="24"/>
          <w:szCs w:val="24"/>
        </w:rPr>
        <w:t>Рис. 3. Половозрастная структура населения Курганской области (по результатам переписи 2020 года).</w:t>
      </w:r>
    </w:p>
    <w:p w14:paraId="3C69764A" w14:textId="77777777" w:rsidR="005D1A61" w:rsidRDefault="005D1A61">
      <w:pPr>
        <w:jc w:val="both"/>
        <w:rPr>
          <w:sz w:val="24"/>
          <w:szCs w:val="24"/>
        </w:rPr>
      </w:pPr>
    </w:p>
    <w:p w14:paraId="34EBC79B" w14:textId="77777777" w:rsidR="005D1A61" w:rsidRDefault="0045737E">
      <w:pPr>
        <w:jc w:val="both"/>
      </w:pPr>
      <w:r>
        <w:rPr>
          <w:noProof/>
        </w:rPr>
        <w:drawing>
          <wp:inline distT="0" distB="0" distL="0" distR="0" wp14:anchorId="6E67A662" wp14:editId="70B0F5DE">
            <wp:extent cx="5281684" cy="32481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5284152" cy="3249686"/>
                    </a:xfrm>
                    <a:prstGeom prst="rect">
                      <a:avLst/>
                    </a:prstGeom>
                    <a:ln/>
                  </pic:spPr>
                </pic:pic>
              </a:graphicData>
            </a:graphic>
          </wp:inline>
        </w:drawing>
      </w:r>
    </w:p>
    <w:p w14:paraId="54554D2A" w14:textId="77777777" w:rsidR="005D1A61" w:rsidRDefault="0045737E">
      <w:pPr>
        <w:jc w:val="both"/>
        <w:rPr>
          <w:sz w:val="24"/>
          <w:szCs w:val="24"/>
        </w:rPr>
      </w:pPr>
      <w:r>
        <w:rPr>
          <w:sz w:val="24"/>
          <w:szCs w:val="24"/>
        </w:rPr>
        <w:t>Рис. 4. Половозрастная структура населения Свердловской области (по результатам переписи 2020 года).</w:t>
      </w:r>
    </w:p>
    <w:p w14:paraId="677E2583" w14:textId="77777777" w:rsidR="005D1A61" w:rsidRDefault="0045737E">
      <w:pPr>
        <w:jc w:val="both"/>
      </w:pPr>
      <w:r>
        <w:rPr>
          <w:noProof/>
        </w:rPr>
        <w:lastRenderedPageBreak/>
        <w:drawing>
          <wp:inline distT="0" distB="0" distL="0" distR="0" wp14:anchorId="1FE1510D" wp14:editId="49F18DE8">
            <wp:extent cx="5322627" cy="3821373"/>
            <wp:effectExtent l="0" t="0" r="0" b="8255"/>
            <wp:docPr id="4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4"/>
                    <a:srcRect/>
                    <a:stretch>
                      <a:fillRect/>
                    </a:stretch>
                  </pic:blipFill>
                  <pic:spPr>
                    <a:xfrm>
                      <a:off x="0" y="0"/>
                      <a:ext cx="5331387" cy="3827662"/>
                    </a:xfrm>
                    <a:prstGeom prst="rect">
                      <a:avLst/>
                    </a:prstGeom>
                    <a:ln/>
                  </pic:spPr>
                </pic:pic>
              </a:graphicData>
            </a:graphic>
          </wp:inline>
        </w:drawing>
      </w:r>
    </w:p>
    <w:p w14:paraId="6D7209F3" w14:textId="77777777" w:rsidR="005D1A61" w:rsidRDefault="0045737E">
      <w:pPr>
        <w:jc w:val="both"/>
        <w:rPr>
          <w:sz w:val="24"/>
          <w:szCs w:val="24"/>
        </w:rPr>
      </w:pPr>
      <w:r>
        <w:rPr>
          <w:sz w:val="24"/>
          <w:szCs w:val="24"/>
        </w:rPr>
        <w:t>Рис. 5. Половозрастная структура населения Тюменской области (по результатам переписи 2020 года).</w:t>
      </w:r>
    </w:p>
    <w:p w14:paraId="4AF496AE" w14:textId="77777777" w:rsidR="005D1A61" w:rsidRDefault="005D1A61">
      <w:pPr>
        <w:jc w:val="both"/>
        <w:rPr>
          <w:sz w:val="24"/>
          <w:szCs w:val="24"/>
        </w:rPr>
      </w:pPr>
    </w:p>
    <w:p w14:paraId="24455E2A" w14:textId="77777777" w:rsidR="005D1A61" w:rsidRDefault="0045737E">
      <w:pPr>
        <w:jc w:val="both"/>
      </w:pPr>
      <w:r>
        <w:rPr>
          <w:noProof/>
        </w:rPr>
        <w:drawing>
          <wp:inline distT="0" distB="0" distL="0" distR="0" wp14:anchorId="6C3637E5" wp14:editId="56E1C094">
            <wp:extent cx="4653887" cy="3275463"/>
            <wp:effectExtent l="0" t="0" r="0" b="1270"/>
            <wp:docPr id="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5"/>
                    <a:srcRect/>
                    <a:stretch>
                      <a:fillRect/>
                    </a:stretch>
                  </pic:blipFill>
                  <pic:spPr>
                    <a:xfrm>
                      <a:off x="0" y="0"/>
                      <a:ext cx="4656611" cy="3277380"/>
                    </a:xfrm>
                    <a:prstGeom prst="rect">
                      <a:avLst/>
                    </a:prstGeom>
                    <a:ln/>
                  </pic:spPr>
                </pic:pic>
              </a:graphicData>
            </a:graphic>
          </wp:inline>
        </w:drawing>
      </w:r>
    </w:p>
    <w:p w14:paraId="143A39A4" w14:textId="77777777" w:rsidR="005D1A61" w:rsidRDefault="0045737E">
      <w:pPr>
        <w:jc w:val="both"/>
        <w:rPr>
          <w:sz w:val="22"/>
          <w:szCs w:val="22"/>
          <w:shd w:val="clear" w:color="auto" w:fill="93C47D"/>
        </w:rPr>
      </w:pPr>
      <w:r>
        <w:rPr>
          <w:sz w:val="24"/>
          <w:szCs w:val="24"/>
        </w:rPr>
        <w:t>Рис. 6. Половозрастная структура населения Челябинской области (по результатам переписи 2020 года).</w:t>
      </w:r>
    </w:p>
    <w:sectPr w:rsidR="005D1A61">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ejaVu Sans">
    <w:altName w:val="Verdan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39E6"/>
    <w:multiLevelType w:val="multilevel"/>
    <w:tmpl w:val="BF349EF8"/>
    <w:lvl w:ilvl="0">
      <w:numFmt w:val="bullet"/>
      <w:lvlText w:val="•"/>
      <w:lvlJc w:val="left"/>
      <w:pPr>
        <w:ind w:left="2266" w:hanging="564"/>
      </w:pPr>
      <w:rPr>
        <w:rFonts w:ascii="Times New Roman" w:eastAsia="Times New Roman" w:hAnsi="Times New Roman" w:cs="Times New Roman"/>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 w15:restartNumberingAfterBreak="0">
    <w:nsid w:val="1C831373"/>
    <w:multiLevelType w:val="multilevel"/>
    <w:tmpl w:val="B5C61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E53C91"/>
    <w:multiLevelType w:val="hybridMultilevel"/>
    <w:tmpl w:val="8398BD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30E916B3"/>
    <w:multiLevelType w:val="hybridMultilevel"/>
    <w:tmpl w:val="06A64E92"/>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 w15:restartNumberingAfterBreak="0">
    <w:nsid w:val="31EF69A7"/>
    <w:multiLevelType w:val="multilevel"/>
    <w:tmpl w:val="CECE3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5830AA"/>
    <w:multiLevelType w:val="multilevel"/>
    <w:tmpl w:val="60DC37C2"/>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num w:numId="1" w16cid:durableId="447243299">
    <w:abstractNumId w:val="4"/>
  </w:num>
  <w:num w:numId="2" w16cid:durableId="1948734313">
    <w:abstractNumId w:val="0"/>
  </w:num>
  <w:num w:numId="3" w16cid:durableId="53240544">
    <w:abstractNumId w:val="1"/>
  </w:num>
  <w:num w:numId="4" w16cid:durableId="1534727424">
    <w:abstractNumId w:val="5"/>
  </w:num>
  <w:num w:numId="5" w16cid:durableId="109325523">
    <w:abstractNumId w:val="2"/>
  </w:num>
  <w:num w:numId="6" w16cid:durableId="1861969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5D1A61"/>
    <w:rsid w:val="000248E2"/>
    <w:rsid w:val="000E42DB"/>
    <w:rsid w:val="001D6EC4"/>
    <w:rsid w:val="002254D8"/>
    <w:rsid w:val="00306377"/>
    <w:rsid w:val="0034180A"/>
    <w:rsid w:val="0045059D"/>
    <w:rsid w:val="0045737E"/>
    <w:rsid w:val="004D2AF9"/>
    <w:rsid w:val="004E74A6"/>
    <w:rsid w:val="005705B8"/>
    <w:rsid w:val="005D1A61"/>
    <w:rsid w:val="006C7862"/>
    <w:rsid w:val="006E7248"/>
    <w:rsid w:val="00755F65"/>
    <w:rsid w:val="007A0A25"/>
    <w:rsid w:val="007A5C77"/>
    <w:rsid w:val="007E0CA1"/>
    <w:rsid w:val="00834643"/>
    <w:rsid w:val="008651A7"/>
    <w:rsid w:val="0087386E"/>
    <w:rsid w:val="00885087"/>
    <w:rsid w:val="008F438A"/>
    <w:rsid w:val="00911EB4"/>
    <w:rsid w:val="00AC4805"/>
    <w:rsid w:val="00AF2FD4"/>
    <w:rsid w:val="00B87BDC"/>
    <w:rsid w:val="00BF4DD3"/>
    <w:rsid w:val="00C02501"/>
    <w:rsid w:val="00C42BAB"/>
    <w:rsid w:val="00C67B8E"/>
    <w:rsid w:val="00C805DA"/>
    <w:rsid w:val="00C9401A"/>
    <w:rsid w:val="00D21325"/>
    <w:rsid w:val="00D31C2C"/>
    <w:rsid w:val="00EB5914"/>
    <w:rsid w:val="00EC239E"/>
    <w:rsid w:val="00EF7A6F"/>
    <w:rsid w:val="00F80D58"/>
    <w:rsid w:val="00F93984"/>
    <w:rsid w:val="00F95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74401"/>
  <w15:docId w15:val="{33E2FE64-1B18-45EE-8CCE-93FB7F261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240" w:after="0"/>
      <w:outlineLvl w:val="0"/>
    </w:pPr>
    <w:rPr>
      <w:color w:val="000000"/>
      <w:sz w:val="32"/>
      <w:szCs w:val="32"/>
    </w:rPr>
  </w:style>
  <w:style w:type="paragraph" w:styleId="2">
    <w:name w:val="heading 2"/>
    <w:basedOn w:val="a"/>
    <w:next w:val="a"/>
    <w:pPr>
      <w:keepNext/>
      <w:keepLines/>
      <w:spacing w:before="40" w:after="0"/>
      <w:outlineLvl w:val="1"/>
    </w:pPr>
    <w:rPr>
      <w:b/>
      <w:i/>
      <w:color w:val="000000"/>
    </w:rPr>
  </w:style>
  <w:style w:type="paragraph" w:styleId="3">
    <w:name w:val="heading 3"/>
    <w:basedOn w:val="a"/>
    <w:next w:val="a"/>
    <w:pPr>
      <w:keepNext/>
      <w:keepLines/>
      <w:spacing w:before="280" w:after="80"/>
      <w:outlineLvl w:val="2"/>
    </w:pPr>
    <w:rPr>
      <w:b/>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iPriority w:val="9"/>
    <w:unhideWhenUsed/>
    <w:qFormat/>
    <w:rsid w:val="00755F6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755F6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755F6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jc w:val="center"/>
    </w:pPr>
    <w:rPr>
      <w:rFonts w:ascii="Cambria" w:eastAsia="Cambria" w:hAnsi="Cambria" w:cs="Cambria"/>
      <w:sz w:val="56"/>
      <w:szCs w:val="56"/>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0">
    <w:name w:val="5"/>
    <w:basedOn w:val="TableNormal"/>
    <w:pPr>
      <w:spacing w:after="0" w:line="240" w:lineRule="auto"/>
    </w:pPr>
    <w:tblPr>
      <w:tblStyleRowBandSize w:val="1"/>
      <w:tblStyleColBandSize w:val="1"/>
      <w:tblCellMar>
        <w:left w:w="108" w:type="dxa"/>
        <w:right w:w="108" w:type="dxa"/>
      </w:tblCellMar>
    </w:tblPr>
  </w:style>
  <w:style w:type="table" w:customStyle="1" w:styleId="40">
    <w:name w:val="4"/>
    <w:basedOn w:val="TableNormal"/>
    <w:pPr>
      <w:spacing w:after="0" w:line="240" w:lineRule="auto"/>
    </w:pPr>
    <w:tblPr>
      <w:tblStyleRowBandSize w:val="1"/>
      <w:tblStyleColBandSize w:val="1"/>
      <w:tblCellMar>
        <w:left w:w="108" w:type="dxa"/>
        <w:right w:w="108" w:type="dxa"/>
      </w:tblCellMar>
    </w:tblPr>
  </w:style>
  <w:style w:type="table" w:customStyle="1" w:styleId="30">
    <w:name w:val="3"/>
    <w:basedOn w:val="TableNormal"/>
    <w:pPr>
      <w:spacing w:after="0" w:line="240" w:lineRule="auto"/>
    </w:pPr>
    <w:tblPr>
      <w:tblStyleRowBandSize w:val="1"/>
      <w:tblStyleColBandSize w:val="1"/>
      <w:tblCellMar>
        <w:left w:w="108" w:type="dxa"/>
        <w:right w:w="108" w:type="dxa"/>
      </w:tblCellMar>
    </w:tblPr>
  </w:style>
  <w:style w:type="table" w:customStyle="1" w:styleId="20">
    <w:name w:val="2"/>
    <w:basedOn w:val="TableNormal"/>
    <w:pPr>
      <w:spacing w:after="0" w:line="240" w:lineRule="auto"/>
    </w:pPr>
    <w:tblPr>
      <w:tblStyleRowBandSize w:val="1"/>
      <w:tblStyleColBandSize w:val="1"/>
      <w:tblCellMar>
        <w:left w:w="108" w:type="dxa"/>
        <w:right w:w="108" w:type="dxa"/>
      </w:tblCellMar>
    </w:tblPr>
  </w:style>
  <w:style w:type="table" w:customStyle="1" w:styleId="10">
    <w:name w:val="1"/>
    <w:basedOn w:val="TableNormal"/>
    <w:pPr>
      <w:spacing w:after="0" w:line="240" w:lineRule="auto"/>
    </w:pPr>
    <w:tblPr>
      <w:tblStyleRowBandSize w:val="1"/>
      <w:tblStyleColBandSize w:val="1"/>
      <w:tblCellMar>
        <w:left w:w="108" w:type="dxa"/>
        <w:right w:w="108" w:type="dxa"/>
      </w:tblCellMar>
    </w:tbl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7A0A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A0A25"/>
    <w:rPr>
      <w:rFonts w:ascii="Tahoma" w:hAnsi="Tahoma" w:cs="Tahoma"/>
      <w:sz w:val="16"/>
      <w:szCs w:val="16"/>
    </w:rPr>
  </w:style>
  <w:style w:type="paragraph" w:styleId="aa">
    <w:name w:val="TOC Heading"/>
    <w:basedOn w:val="1"/>
    <w:next w:val="a"/>
    <w:uiPriority w:val="39"/>
    <w:unhideWhenUsed/>
    <w:qFormat/>
    <w:rsid w:val="007A0A25"/>
    <w:pPr>
      <w:spacing w:before="480"/>
      <w:outlineLvl w:val="9"/>
    </w:pPr>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7A0A25"/>
    <w:pPr>
      <w:spacing w:after="100"/>
    </w:pPr>
  </w:style>
  <w:style w:type="character" w:styleId="ab">
    <w:name w:val="Hyperlink"/>
    <w:basedOn w:val="a0"/>
    <w:uiPriority w:val="99"/>
    <w:unhideWhenUsed/>
    <w:rsid w:val="007A0A25"/>
    <w:rPr>
      <w:color w:val="0000FF" w:themeColor="hyperlink"/>
      <w:u w:val="single"/>
    </w:rPr>
  </w:style>
  <w:style w:type="paragraph" w:styleId="ac">
    <w:name w:val="List Paragraph"/>
    <w:basedOn w:val="a"/>
    <w:uiPriority w:val="34"/>
    <w:qFormat/>
    <w:rsid w:val="007A0A25"/>
    <w:pPr>
      <w:ind w:left="720"/>
      <w:contextualSpacing/>
    </w:pPr>
  </w:style>
  <w:style w:type="paragraph" w:styleId="ad">
    <w:name w:val="annotation subject"/>
    <w:basedOn w:val="a5"/>
    <w:next w:val="a5"/>
    <w:link w:val="ae"/>
    <w:uiPriority w:val="99"/>
    <w:semiHidden/>
    <w:unhideWhenUsed/>
    <w:rsid w:val="007A5C77"/>
    <w:rPr>
      <w:b/>
      <w:bCs/>
    </w:rPr>
  </w:style>
  <w:style w:type="character" w:customStyle="1" w:styleId="ae">
    <w:name w:val="Тема примечания Знак"/>
    <w:basedOn w:val="a6"/>
    <w:link w:val="ad"/>
    <w:uiPriority w:val="99"/>
    <w:semiHidden/>
    <w:rsid w:val="007A5C77"/>
    <w:rPr>
      <w:b/>
      <w:bCs/>
      <w:sz w:val="20"/>
      <w:szCs w:val="20"/>
    </w:rPr>
  </w:style>
  <w:style w:type="character" w:styleId="af">
    <w:name w:val="Unresolved Mention"/>
    <w:basedOn w:val="a0"/>
    <w:uiPriority w:val="99"/>
    <w:semiHidden/>
    <w:unhideWhenUsed/>
    <w:rsid w:val="00F93984"/>
    <w:rPr>
      <w:color w:val="605E5C"/>
      <w:shd w:val="clear" w:color="auto" w:fill="E1DFDD"/>
    </w:rPr>
  </w:style>
  <w:style w:type="character" w:customStyle="1" w:styleId="70">
    <w:name w:val="Заголовок 7 Знак"/>
    <w:basedOn w:val="a0"/>
    <w:link w:val="7"/>
    <w:uiPriority w:val="9"/>
    <w:rsid w:val="00755F65"/>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rsid w:val="00755F6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755F65"/>
    <w:rPr>
      <w:rFonts w:asciiTheme="majorHAnsi" w:eastAsiaTheme="majorEastAsia" w:hAnsiTheme="majorHAnsi" w:cstheme="majorBidi"/>
      <w:i/>
      <w:iCs/>
      <w:color w:val="272727" w:themeColor="text1" w:themeTint="D8"/>
      <w:sz w:val="21"/>
      <w:szCs w:val="21"/>
    </w:rPr>
  </w:style>
  <w:style w:type="paragraph" w:styleId="af0">
    <w:name w:val="Body Text"/>
    <w:basedOn w:val="a"/>
    <w:link w:val="af1"/>
    <w:semiHidden/>
    <w:unhideWhenUsed/>
    <w:rsid w:val="00F80D58"/>
    <w:pPr>
      <w:suppressAutoHyphens/>
      <w:spacing w:after="140"/>
    </w:pPr>
    <w:rPr>
      <w:rFonts w:eastAsia="Calibri" w:cs="DejaVu Sans"/>
      <w:szCs w:val="22"/>
      <w:lang w:eastAsia="en-US"/>
    </w:rPr>
  </w:style>
  <w:style w:type="character" w:customStyle="1" w:styleId="af1">
    <w:name w:val="Основной текст Знак"/>
    <w:basedOn w:val="a0"/>
    <w:link w:val="af0"/>
    <w:semiHidden/>
    <w:rsid w:val="00F80D58"/>
    <w:rPr>
      <w:rFonts w:eastAsia="Calibri" w:cs="DejaVu Sans"/>
      <w:szCs w:val="22"/>
      <w:lang w:eastAsia="en-US"/>
    </w:rPr>
  </w:style>
  <w:style w:type="paragraph" w:styleId="21">
    <w:name w:val="toc 2"/>
    <w:basedOn w:val="a"/>
    <w:next w:val="a"/>
    <w:autoRedefine/>
    <w:uiPriority w:val="39"/>
    <w:unhideWhenUsed/>
    <w:rsid w:val="00C02501"/>
    <w:pPr>
      <w:spacing w:after="100"/>
      <w:ind w:left="280"/>
    </w:pPr>
  </w:style>
  <w:style w:type="paragraph" w:styleId="af2">
    <w:name w:val="Normal (Web)"/>
    <w:basedOn w:val="a"/>
    <w:uiPriority w:val="99"/>
    <w:semiHidden/>
    <w:unhideWhenUsed/>
    <w:rsid w:val="00C02501"/>
    <w:pPr>
      <w:spacing w:before="100" w:beforeAutospacing="1" w:after="100" w:afterAutospacing="1" w:line="240" w:lineRule="auto"/>
    </w:pPr>
    <w:rPr>
      <w:sz w:val="24"/>
      <w:szCs w:val="24"/>
    </w:rPr>
  </w:style>
  <w:style w:type="character" w:customStyle="1" w:styleId="apple-tab-span">
    <w:name w:val="apple-tab-span"/>
    <w:basedOn w:val="a0"/>
    <w:rsid w:val="00C02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24120">
      <w:bodyDiv w:val="1"/>
      <w:marLeft w:val="0"/>
      <w:marRight w:val="0"/>
      <w:marTop w:val="0"/>
      <w:marBottom w:val="0"/>
      <w:divBdr>
        <w:top w:val="none" w:sz="0" w:space="0" w:color="auto"/>
        <w:left w:val="none" w:sz="0" w:space="0" w:color="auto"/>
        <w:bottom w:val="none" w:sz="0" w:space="0" w:color="auto"/>
        <w:right w:val="none" w:sz="0" w:space="0" w:color="auto"/>
      </w:divBdr>
    </w:div>
    <w:div w:id="829053989">
      <w:bodyDiv w:val="1"/>
      <w:marLeft w:val="0"/>
      <w:marRight w:val="0"/>
      <w:marTop w:val="0"/>
      <w:marBottom w:val="0"/>
      <w:divBdr>
        <w:top w:val="none" w:sz="0" w:space="0" w:color="auto"/>
        <w:left w:val="none" w:sz="0" w:space="0" w:color="auto"/>
        <w:bottom w:val="none" w:sz="0" w:space="0" w:color="auto"/>
        <w:right w:val="none" w:sz="0" w:space="0" w:color="auto"/>
      </w:divBdr>
    </w:div>
    <w:div w:id="914780059">
      <w:bodyDiv w:val="1"/>
      <w:marLeft w:val="0"/>
      <w:marRight w:val="0"/>
      <w:marTop w:val="0"/>
      <w:marBottom w:val="0"/>
      <w:divBdr>
        <w:top w:val="none" w:sz="0" w:space="0" w:color="auto"/>
        <w:left w:val="none" w:sz="0" w:space="0" w:color="auto"/>
        <w:bottom w:val="none" w:sz="0" w:space="0" w:color="auto"/>
        <w:right w:val="none" w:sz="0" w:space="0" w:color="auto"/>
      </w:divBdr>
    </w:div>
    <w:div w:id="1091199983">
      <w:bodyDiv w:val="1"/>
      <w:marLeft w:val="0"/>
      <w:marRight w:val="0"/>
      <w:marTop w:val="0"/>
      <w:marBottom w:val="0"/>
      <w:divBdr>
        <w:top w:val="none" w:sz="0" w:space="0" w:color="auto"/>
        <w:left w:val="none" w:sz="0" w:space="0" w:color="auto"/>
        <w:bottom w:val="none" w:sz="0" w:space="0" w:color="auto"/>
        <w:right w:val="none" w:sz="0" w:space="0" w:color="auto"/>
      </w:divBdr>
    </w:div>
    <w:div w:id="1684167752">
      <w:bodyDiv w:val="1"/>
      <w:marLeft w:val="0"/>
      <w:marRight w:val="0"/>
      <w:marTop w:val="0"/>
      <w:marBottom w:val="0"/>
      <w:divBdr>
        <w:top w:val="none" w:sz="0" w:space="0" w:color="auto"/>
        <w:left w:val="none" w:sz="0" w:space="0" w:color="auto"/>
        <w:bottom w:val="none" w:sz="0" w:space="0" w:color="auto"/>
        <w:right w:val="none" w:sz="0" w:space="0" w:color="auto"/>
      </w:divBdr>
    </w:div>
    <w:div w:id="2022272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0.xml"/><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image" Target="media/image7.jpg"/><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image" Target="media/image5.gif"/><Relationship Id="rId53" Type="http://schemas.openxmlformats.org/officeDocument/2006/relationships/image" Target="media/image12.png"/><Relationship Id="rId5" Type="http://schemas.openxmlformats.org/officeDocument/2006/relationships/webSettings" Target="webSettings.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4.jpeg"/><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www.vsegei.ru/ru/info/gisatlas/ufo/okrug/f_39_Gor_PI.jpg" TargetMode="External"/><Relationship Id="rId56"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image" Target="media/image6.gif"/><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7.xml"/><Relationship Id="rId49" Type="http://schemas.openxmlformats.org/officeDocument/2006/relationships/image" Target="media/image8.jp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chart" Target="charts/chart22.xml"/><Relationship Id="rId44" Type="http://schemas.openxmlformats.org/officeDocument/2006/relationships/hyperlink" Target="http://www.agroatlas.ru/ru/content/Climatic_maps/GTK/GTK_07/index.html" TargetMode="External"/><Relationship Id="rId52"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8;&#1088;&#1072;&#1085;&#1089;&#1087;&#1086;&#1088;&#109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3;&#1072;&#1089;&#1077;&#1083;&#1077;&#1085;&#1080;&#107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3;&#1072;&#1089;&#1077;&#1083;&#1077;&#1085;&#1080;&#107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3;&#1072;&#1089;&#1077;&#1083;&#1077;&#1085;&#1080;&#107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5;&#1086;&#1082;&#1072;&#1079;&#1072;&#1090;&#1077;&#1083;&#1080;%20(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5;&#1086;&#1082;&#1072;&#1079;&#1072;&#1090;&#1077;&#1083;&#1080;%20(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5;&#1086;&#1082;&#1072;&#1079;&#1072;&#1090;&#1077;&#1083;&#1080;%20(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5;&#1086;&#1082;&#1072;&#1079;&#1072;&#1090;&#1077;&#1083;&#1080;%20(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5;&#1086;&#1082;&#1072;&#1079;&#1072;&#1090;&#1077;&#1083;&#1080;%20(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5;&#1086;&#1082;&#1072;&#1079;&#1072;&#1090;&#1077;&#1083;&#1080;%20(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5;&#1086;&#1082;&#1072;&#1079;&#1072;&#1090;&#1077;&#1083;&#1080;%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8;&#1088;&#1072;&#1085;&#1089;&#1087;&#1086;&#1088;&#109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5;&#1086;&#1082;&#1072;&#1079;&#1072;&#1090;&#1077;&#1083;&#1080;%20(4).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55;&#1086;&#1082;&#1072;&#1079;&#1072;&#1090;&#1077;&#1083;&#1080;%20(4).xlsx" TargetMode="External"/><Relationship Id="rId2" Type="http://schemas.microsoft.com/office/2011/relationships/chartColorStyle" Target="colors1.xml"/><Relationship Id="rId1" Type="http://schemas.microsoft.com/office/2011/relationships/chartStyle" Target="style1.xml"/></Relationships>
</file>

<file path=word/charts/_rels/chart23.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55;&#1086;&#1082;&#1072;&#1079;&#1072;&#1090;&#1077;&#1083;&#1080;%20(4).xlsx" TargetMode="External"/><Relationship Id="rId2" Type="http://schemas.microsoft.com/office/2011/relationships/chartColorStyle" Target="colors2.xml"/><Relationship Id="rId1" Type="http://schemas.microsoft.com/office/2011/relationships/chartStyle" Target="style2.xml"/></Relationships>
</file>

<file path=word/charts/_rels/chart24.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47;&#1072;&#1085;&#1103;&#1090;&#1086;&#1089;&#1090;&#1100;.xlsx" TargetMode="External"/><Relationship Id="rId2" Type="http://schemas.microsoft.com/office/2011/relationships/chartColorStyle" Target="colors3.xml"/><Relationship Id="rId1" Type="http://schemas.microsoft.com/office/2011/relationships/chartStyle" Target="style3.xml"/></Relationships>
</file>

<file path=word/charts/_rels/chart25.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47;&#1072;&#1085;&#1103;&#1090;&#1086;&#1089;&#1090;&#1100;.xlsx" TargetMode="External"/><Relationship Id="rId2" Type="http://schemas.microsoft.com/office/2011/relationships/chartColorStyle" Target="colors4.xml"/><Relationship Id="rId1" Type="http://schemas.microsoft.com/office/2011/relationships/chartStyle" Target="style4.xml"/></Relationships>
</file>

<file path=word/charts/_rels/chart26.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55;&#1086;&#1082;&#1072;&#1079;&#1072;&#1090;&#1077;&#1083;&#1080;%20(4).xlsx" TargetMode="External"/><Relationship Id="rId2" Type="http://schemas.microsoft.com/office/2011/relationships/chartColorStyle" Target="colors5.xml"/><Relationship Id="rId1" Type="http://schemas.microsoft.com/office/2011/relationships/chartStyle" Target="style5.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data\&#1044;&#1080;&#1087;&#1083;&#1086;&#1084;\&#1057;&#1090;&#1072;&#1090;&#1080;&#1089;&#1090;&#1080;&#1082;&#1072;\&#1055;&#1086;&#1082;&#1072;&#1079;&#1072;&#1090;&#1077;&#1083;&#1080;%20(4).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55;&#1086;&#1082;&#1072;&#1079;&#1072;&#1090;&#1077;&#1083;&#1080;%20(4).xlsx" TargetMode="External"/><Relationship Id="rId2" Type="http://schemas.microsoft.com/office/2011/relationships/chartColorStyle" Target="colors7.xml"/><Relationship Id="rId1" Type="http://schemas.microsoft.com/office/2011/relationships/chartStyle" Target="style7.xml"/></Relationships>
</file>

<file path=word/charts/_rels/chart29.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44;&#1080;&#1092;&#1092;&#1077;&#1088;&#1077;&#1085;&#1094;&#1080;&#1072;&#1094;&#1080;&#1103;.xlsx" TargetMode="External"/><Relationship Id="rId2" Type="http://schemas.microsoft.com/office/2011/relationships/chartColorStyle" Target="colors8.xml"/><Relationship Id="rId1" Type="http://schemas.microsoft.com/office/2011/relationships/chartStyle" Target="style8.xml"/></Relationships>
</file>

<file path=word/charts/_rels/chart3.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5;&#1086;&#1082;&#1072;&#1079;&#1072;&#1090;&#1077;&#1083;&#1080;%20(4).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44;&#1080;&#1092;&#1092;&#1077;&#1088;&#1077;&#1085;&#1094;&#1080;&#1072;&#1094;&#1080;&#1103;.xlsx" TargetMode="External"/><Relationship Id="rId2" Type="http://schemas.microsoft.com/office/2011/relationships/chartColorStyle" Target="colors9.xml"/><Relationship Id="rId1" Type="http://schemas.microsoft.com/office/2011/relationships/chartStyle" Target="style9.xml"/></Relationships>
</file>

<file path=word/charts/_rels/chart31.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44;&#1080;&#1092;&#1092;&#1077;&#1088;&#1077;&#1085;&#1094;&#1080;&#1072;&#1094;&#1080;&#1103;.xlsx" TargetMode="External"/><Relationship Id="rId2" Type="http://schemas.microsoft.com/office/2011/relationships/chartColorStyle" Target="colors10.xml"/><Relationship Id="rId1" Type="http://schemas.microsoft.com/office/2011/relationships/chartStyle" Target="style10.xml"/></Relationships>
</file>

<file path=word/charts/_rels/chart32.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44;&#1080;&#1092;&#1092;&#1077;&#1088;&#1077;&#1085;&#1094;&#1080;&#1072;&#1094;&#1080;&#1103;.xlsx" TargetMode="External"/><Relationship Id="rId2" Type="http://schemas.microsoft.com/office/2011/relationships/chartColorStyle" Target="colors11.xml"/><Relationship Id="rId1" Type="http://schemas.microsoft.com/office/2011/relationships/chartStyle" Target="style11.xml"/></Relationships>
</file>

<file path=word/charts/_rels/chart33.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44;&#1080;&#1092;&#1092;&#1077;&#1088;&#1077;&#1085;&#1094;&#1080;&#1072;&#1094;&#1080;&#1103;.xlsx" TargetMode="External"/><Relationship Id="rId2" Type="http://schemas.microsoft.com/office/2011/relationships/chartColorStyle" Target="colors12.xml"/><Relationship Id="rId1" Type="http://schemas.microsoft.com/office/2011/relationships/chartStyle" Target="style12.xml"/></Relationships>
</file>

<file path=word/charts/_rels/chart34.xml.rels><?xml version="1.0" encoding="UTF-8" standalone="yes"?>
<Relationships xmlns="http://schemas.openxmlformats.org/package/2006/relationships"><Relationship Id="rId3" Type="http://schemas.openxmlformats.org/officeDocument/2006/relationships/oleObject" Target="file:///E:\data\&#1044;&#1080;&#1087;&#1083;&#1086;&#1084;\&#1057;&#1090;&#1072;&#1090;&#1080;&#1089;&#1090;&#1080;&#1082;&#1072;\&#1044;&#1080;&#1092;&#1092;&#1077;&#1088;&#1077;&#1085;&#1094;&#1080;&#1072;&#1094;&#1080;&#1103;.xlsx" TargetMode="External"/><Relationship Id="rId2" Type="http://schemas.microsoft.com/office/2011/relationships/chartColorStyle" Target="colors13.xml"/><Relationship Id="rId1" Type="http://schemas.microsoft.com/office/2011/relationships/chartStyle" Target="style13.xml"/></Relationships>
</file>

<file path=word/charts/_rels/chart4.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4;&#1082;&#1088;&#1091;&#1078;&#1072;&#1102;&#1097;&#1072;&#1103;%20&#1089;&#1088;&#1077;&#1076;&#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4;&#1082;&#1088;&#1091;&#1078;&#1072;&#1102;&#1097;&#1072;&#1103;%20&#1089;&#1088;&#1077;&#1076;&#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3;&#1072;&#1089;&#1077;&#1083;&#1077;&#1085;&#1080;&#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3;&#1072;&#1089;&#1077;&#1083;&#1077;&#1085;&#1080;&#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3;&#1072;&#1089;&#1077;&#1083;&#1077;&#1085;&#1080;&#10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data\&#1044;&#1080;&#1087;&#1083;&#1086;&#1084;\&#1057;&#1090;&#1072;&#1090;&#1080;&#1089;&#1090;&#1080;&#1082;&#1072;\&#1053;&#1072;&#1089;&#1077;&#1083;&#1077;&#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014728964122933E-2"/>
          <c:y val="3.478810879190386E-2"/>
          <c:w val="0.90135231223437895"/>
          <c:h val="0.64886895067907779"/>
        </c:manualLayout>
      </c:layout>
      <c:scatterChart>
        <c:scatterStyle val="smoothMarker"/>
        <c:varyColors val="0"/>
        <c:ser>
          <c:idx val="0"/>
          <c:order val="0"/>
          <c:tx>
            <c:strRef>
              <c:f>Лист1!$A$76</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Лист1!$B$76:$AC$76</c:f>
              <c:numCache>
                <c:formatCode>General</c:formatCode>
                <c:ptCount val="28"/>
                <c:pt idx="0">
                  <c:v>0.79526983171600363</c:v>
                </c:pt>
                <c:pt idx="1">
                  <c:v>0.84895275126391101</c:v>
                </c:pt>
                <c:pt idx="2">
                  <c:v>0.86046235423239692</c:v>
                </c:pt>
                <c:pt idx="3">
                  <c:v>0.8611228663196876</c:v>
                </c:pt>
                <c:pt idx="4">
                  <c:v>0.86189003458073576</c:v>
                </c:pt>
                <c:pt idx="5">
                  <c:v>0.87458936806596199</c:v>
                </c:pt>
                <c:pt idx="6">
                  <c:v>0.87633913977050049</c:v>
                </c:pt>
                <c:pt idx="7">
                  <c:v>0.87830742738475354</c:v>
                </c:pt>
                <c:pt idx="8">
                  <c:v>0.89124901003078438</c:v>
                </c:pt>
                <c:pt idx="9">
                  <c:v>0.89370606586110168</c:v>
                </c:pt>
                <c:pt idx="10">
                  <c:v>0.8958649371029539</c:v>
                </c:pt>
                <c:pt idx="11">
                  <c:v>0.88567465484572039</c:v>
                </c:pt>
                <c:pt idx="12">
                  <c:v>0.93062418111930345</c:v>
                </c:pt>
                <c:pt idx="13">
                  <c:v>0.9529048263560127</c:v>
                </c:pt>
                <c:pt idx="14">
                  <c:v>0.95294154336404246</c:v>
                </c:pt>
                <c:pt idx="15">
                  <c:v>0.96357091656296923</c:v>
                </c:pt>
                <c:pt idx="16">
                  <c:v>0.97441143965423815</c:v>
                </c:pt>
                <c:pt idx="17">
                  <c:v>1.0175252611809005</c:v>
                </c:pt>
                <c:pt idx="18">
                  <c:v>1.1367221566112347</c:v>
                </c:pt>
                <c:pt idx="19">
                  <c:v>1.1791268640921362</c:v>
                </c:pt>
                <c:pt idx="20">
                  <c:v>1.1902407041201597</c:v>
                </c:pt>
                <c:pt idx="21">
                  <c:v>1.1999213099860566</c:v>
                </c:pt>
                <c:pt idx="22">
                  <c:v>1.2096629196483744</c:v>
                </c:pt>
                <c:pt idx="23">
                  <c:v>1.220147688857899</c:v>
                </c:pt>
                <c:pt idx="24">
                  <c:v>1.2313605065286304</c:v>
                </c:pt>
                <c:pt idx="25">
                  <c:v>1.2422973396439381</c:v>
                </c:pt>
                <c:pt idx="26">
                  <c:v>1.2447511075699738</c:v>
                </c:pt>
                <c:pt idx="27">
                  <c:v>1.2582204261604488</c:v>
                </c:pt>
              </c:numCache>
            </c:numRef>
          </c:yVal>
          <c:smooth val="1"/>
          <c:extLst>
            <c:ext xmlns:c16="http://schemas.microsoft.com/office/drawing/2014/chart" uri="{C3380CC4-5D6E-409C-BE32-E72D297353CC}">
              <c16:uniqueId val="{00000000-803C-46F2-B372-3AEDCE91BFD2}"/>
            </c:ext>
          </c:extLst>
        </c:ser>
        <c:ser>
          <c:idx val="1"/>
          <c:order val="1"/>
          <c:tx>
            <c:strRef>
              <c:f>Лист1!$A$77</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Лист1!$B$77:$AC$77</c:f>
              <c:numCache>
                <c:formatCode>General</c:formatCode>
                <c:ptCount val="28"/>
                <c:pt idx="0">
                  <c:v>0.72854019721082819</c:v>
                </c:pt>
                <c:pt idx="1">
                  <c:v>0.78067346250090341</c:v>
                </c:pt>
                <c:pt idx="2">
                  <c:v>0.79366028758372131</c:v>
                </c:pt>
                <c:pt idx="3">
                  <c:v>0.79340795142359288</c:v>
                </c:pt>
                <c:pt idx="4">
                  <c:v>0.80571748057347625</c:v>
                </c:pt>
                <c:pt idx="5">
                  <c:v>0.80761446164467043</c:v>
                </c:pt>
                <c:pt idx="6">
                  <c:v>0.80903791397145564</c:v>
                </c:pt>
                <c:pt idx="7">
                  <c:v>0.8228634956180032</c:v>
                </c:pt>
                <c:pt idx="8">
                  <c:v>0.82472518011442508</c:v>
                </c:pt>
                <c:pt idx="9">
                  <c:v>0.82626391024095769</c:v>
                </c:pt>
                <c:pt idx="10">
                  <c:v>0.82750785392654913</c:v>
                </c:pt>
                <c:pt idx="11">
                  <c:v>0.83260904793086854</c:v>
                </c:pt>
                <c:pt idx="12">
                  <c:v>0.83426146145996183</c:v>
                </c:pt>
                <c:pt idx="13">
                  <c:v>0.84677536814752385</c:v>
                </c:pt>
                <c:pt idx="14">
                  <c:v>0.8467052447265806</c:v>
                </c:pt>
                <c:pt idx="15">
                  <c:v>0.85858538253619443</c:v>
                </c:pt>
                <c:pt idx="16">
                  <c:v>0.85858538253619443</c:v>
                </c:pt>
                <c:pt idx="17">
                  <c:v>0.86884051143338825</c:v>
                </c:pt>
                <c:pt idx="18">
                  <c:v>0.96455609160115319</c:v>
                </c:pt>
                <c:pt idx="19">
                  <c:v>1.0362854464698952</c:v>
                </c:pt>
                <c:pt idx="20">
                  <c:v>1.0466819208033504</c:v>
                </c:pt>
                <c:pt idx="21">
                  <c:v>1.0453203827690503</c:v>
                </c:pt>
                <c:pt idx="22">
                  <c:v>1.0558893678930796</c:v>
                </c:pt>
                <c:pt idx="23">
                  <c:v>1.0675505132843719</c:v>
                </c:pt>
                <c:pt idx="24">
                  <c:v>1.092078210483922</c:v>
                </c:pt>
                <c:pt idx="25">
                  <c:v>1.0915921845130001</c:v>
                </c:pt>
                <c:pt idx="26">
                  <c:v>1.1051075993602739</c:v>
                </c:pt>
                <c:pt idx="27">
                  <c:v>1.1059061492027826</c:v>
                </c:pt>
              </c:numCache>
            </c:numRef>
          </c:yVal>
          <c:smooth val="1"/>
          <c:extLst>
            <c:ext xmlns:c16="http://schemas.microsoft.com/office/drawing/2014/chart" uri="{C3380CC4-5D6E-409C-BE32-E72D297353CC}">
              <c16:uniqueId val="{00000001-803C-46F2-B372-3AEDCE91BFD2}"/>
            </c:ext>
          </c:extLst>
        </c:ser>
        <c:ser>
          <c:idx val="2"/>
          <c:order val="2"/>
          <c:tx>
            <c:strRef>
              <c:f>Лист1!$A$78</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Лист1!$B$78:$AC$78</c:f>
              <c:numCache>
                <c:formatCode>General</c:formatCode>
                <c:ptCount val="28"/>
                <c:pt idx="0">
                  <c:v>1.3343693410977107</c:v>
                </c:pt>
                <c:pt idx="1">
                  <c:v>1.5377631795339217</c:v>
                </c:pt>
                <c:pt idx="2">
                  <c:v>1.5604055546274238</c:v>
                </c:pt>
                <c:pt idx="3">
                  <c:v>1.5729038764817012</c:v>
                </c:pt>
                <c:pt idx="4">
                  <c:v>1.5854844363901994</c:v>
                </c:pt>
                <c:pt idx="5">
                  <c:v>1.6004082615925179</c:v>
                </c:pt>
                <c:pt idx="6">
                  <c:v>1.6103132870722674</c:v>
                </c:pt>
                <c:pt idx="7">
                  <c:v>1.6227603382576001</c:v>
                </c:pt>
                <c:pt idx="8">
                  <c:v>1.6430785393931033</c:v>
                </c:pt>
                <c:pt idx="9">
                  <c:v>1.6613015705664442</c:v>
                </c:pt>
                <c:pt idx="10">
                  <c:v>1.6713195602818287</c:v>
                </c:pt>
                <c:pt idx="11">
                  <c:v>1.6885644482962137</c:v>
                </c:pt>
                <c:pt idx="12">
                  <c:v>1.720159538301405</c:v>
                </c:pt>
                <c:pt idx="13">
                  <c:v>1.7399178523028933</c:v>
                </c:pt>
                <c:pt idx="14">
                  <c:v>1.7571475656778424</c:v>
                </c:pt>
                <c:pt idx="15">
                  <c:v>1.8873026018927415</c:v>
                </c:pt>
                <c:pt idx="16">
                  <c:v>1.8966226714230157</c:v>
                </c:pt>
                <c:pt idx="17">
                  <c:v>1.9014053190995339</c:v>
                </c:pt>
                <c:pt idx="18">
                  <c:v>2.0736918692026767</c:v>
                </c:pt>
                <c:pt idx="19">
                  <c:v>2.1023510214899566</c:v>
                </c:pt>
                <c:pt idx="20">
                  <c:v>2.1198510032221765</c:v>
                </c:pt>
                <c:pt idx="21">
                  <c:v>2.1478674472056372</c:v>
                </c:pt>
                <c:pt idx="22">
                  <c:v>2.1579042656411178</c:v>
                </c:pt>
                <c:pt idx="23">
                  <c:v>2.1772699086973923</c:v>
                </c:pt>
                <c:pt idx="24">
                  <c:v>2.1915642842444867</c:v>
                </c:pt>
                <c:pt idx="25">
                  <c:v>2.211430566657866</c:v>
                </c:pt>
                <c:pt idx="26">
                  <c:v>2.222204957197889</c:v>
                </c:pt>
                <c:pt idx="27">
                  <c:v>2.2411400270151915</c:v>
                </c:pt>
              </c:numCache>
            </c:numRef>
          </c:yVal>
          <c:smooth val="1"/>
          <c:extLst>
            <c:ext xmlns:c16="http://schemas.microsoft.com/office/drawing/2014/chart" uri="{C3380CC4-5D6E-409C-BE32-E72D297353CC}">
              <c16:uniqueId val="{00000002-803C-46F2-B372-3AEDCE91BFD2}"/>
            </c:ext>
          </c:extLst>
        </c:ser>
        <c:ser>
          <c:idx val="3"/>
          <c:order val="3"/>
          <c:tx>
            <c:strRef>
              <c:f>Лист1!$A$79</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Лист1!$B$79:$AC$79</c:f>
              <c:numCache>
                <c:formatCode>General</c:formatCode>
                <c:ptCount val="28"/>
                <c:pt idx="0">
                  <c:v>1.423700663331557</c:v>
                </c:pt>
                <c:pt idx="1">
                  <c:v>1.504524841935154</c:v>
                </c:pt>
                <c:pt idx="2">
                  <c:v>1.5074390216974445</c:v>
                </c:pt>
                <c:pt idx="3">
                  <c:v>1.5102069090386616</c:v>
                </c:pt>
                <c:pt idx="4">
                  <c:v>1.5196485204766417</c:v>
                </c:pt>
                <c:pt idx="5">
                  <c:v>1.5376516091270178</c:v>
                </c:pt>
                <c:pt idx="6">
                  <c:v>1.5494231147628375</c:v>
                </c:pt>
                <c:pt idx="7">
                  <c:v>1.5549053897053897</c:v>
                </c:pt>
                <c:pt idx="8">
                  <c:v>1.5677301576652911</c:v>
                </c:pt>
                <c:pt idx="9">
                  <c:v>1.5730081329513004</c:v>
                </c:pt>
                <c:pt idx="10">
                  <c:v>1.5765565429035511</c:v>
                </c:pt>
                <c:pt idx="11">
                  <c:v>1.5895325357718599</c:v>
                </c:pt>
                <c:pt idx="12">
                  <c:v>1.6008115509941672</c:v>
                </c:pt>
                <c:pt idx="13">
                  <c:v>1.6095548038717622</c:v>
                </c:pt>
                <c:pt idx="14">
                  <c:v>1.6375182778639248</c:v>
                </c:pt>
                <c:pt idx="15">
                  <c:v>1.6386582141508601</c:v>
                </c:pt>
                <c:pt idx="16">
                  <c:v>1.6474786979023095</c:v>
                </c:pt>
                <c:pt idx="17">
                  <c:v>1.6724313948182778</c:v>
                </c:pt>
                <c:pt idx="18">
                  <c:v>1.8384263881920162</c:v>
                </c:pt>
                <c:pt idx="19">
                  <c:v>1.9982992768852219</c:v>
                </c:pt>
                <c:pt idx="20">
                  <c:v>2.0237175392159252</c:v>
                </c:pt>
                <c:pt idx="21">
                  <c:v>2.0364138202028497</c:v>
                </c:pt>
                <c:pt idx="22">
                  <c:v>2.0433485159837903</c:v>
                </c:pt>
                <c:pt idx="23">
                  <c:v>2.0509957993097228</c:v>
                </c:pt>
                <c:pt idx="24">
                  <c:v>2.0598427050180619</c:v>
                </c:pt>
                <c:pt idx="25">
                  <c:v>2.07446383645709</c:v>
                </c:pt>
                <c:pt idx="26">
                  <c:v>2.0862648838297511</c:v>
                </c:pt>
                <c:pt idx="27">
                  <c:v>2.1028641408060853</c:v>
                </c:pt>
              </c:numCache>
            </c:numRef>
          </c:yVal>
          <c:smooth val="1"/>
          <c:extLst>
            <c:ext xmlns:c16="http://schemas.microsoft.com/office/drawing/2014/chart" uri="{C3380CC4-5D6E-409C-BE32-E72D297353CC}">
              <c16:uniqueId val="{00000003-803C-46F2-B372-3AEDCE91BFD2}"/>
            </c:ext>
          </c:extLst>
        </c:ser>
        <c:ser>
          <c:idx val="4"/>
          <c:order val="4"/>
          <c:tx>
            <c:strRef>
              <c:f>Лист1!$A$80</c:f>
              <c:strCache>
                <c:ptCount val="1"/>
                <c:pt idx="0">
                  <c:v>Тюменская область</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Лист1!$B$80:$AC$80</c:f>
              <c:numCache>
                <c:formatCode>General</c:formatCode>
                <c:ptCount val="28"/>
              </c:numCache>
            </c:numRef>
          </c:yVal>
          <c:smooth val="1"/>
          <c:extLst>
            <c:ext xmlns:c16="http://schemas.microsoft.com/office/drawing/2014/chart" uri="{C3380CC4-5D6E-409C-BE32-E72D297353CC}">
              <c16:uniqueId val="{00000004-803C-46F2-B372-3AEDCE91BFD2}"/>
            </c:ext>
          </c:extLst>
        </c:ser>
        <c:ser>
          <c:idx val="5"/>
          <c:order val="5"/>
          <c:tx>
            <c:strRef>
              <c:f>Лист1!$A$81</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Лист1!$B$81:$AC$81</c:f>
              <c:numCache>
                <c:formatCode>General</c:formatCode>
                <c:ptCount val="28"/>
              </c:numCache>
            </c:numRef>
          </c:yVal>
          <c:smooth val="1"/>
          <c:extLst>
            <c:ext xmlns:c16="http://schemas.microsoft.com/office/drawing/2014/chart" uri="{C3380CC4-5D6E-409C-BE32-E72D297353CC}">
              <c16:uniqueId val="{00000005-803C-46F2-B372-3AEDCE91BFD2}"/>
            </c:ext>
          </c:extLst>
        </c:ser>
        <c:ser>
          <c:idx val="6"/>
          <c:order val="6"/>
          <c:tx>
            <c:strRef>
              <c:f>Лист1!$A$82</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Лист1!$B$82:$AC$82</c:f>
              <c:numCache>
                <c:formatCode>General</c:formatCode>
                <c:ptCount val="28"/>
                <c:pt idx="0">
                  <c:v>0.45377826358255635</c:v>
                </c:pt>
                <c:pt idx="1">
                  <c:v>0.46596288706919931</c:v>
                </c:pt>
                <c:pt idx="2">
                  <c:v>0.47355527003057224</c:v>
                </c:pt>
                <c:pt idx="3">
                  <c:v>0.47293999121888358</c:v>
                </c:pt>
                <c:pt idx="4">
                  <c:v>0.47213144675707025</c:v>
                </c:pt>
                <c:pt idx="5">
                  <c:v>0.47592386934442016</c:v>
                </c:pt>
                <c:pt idx="6">
                  <c:v>0.47784922153849513</c:v>
                </c:pt>
                <c:pt idx="7">
                  <c:v>0.47875514923376755</c:v>
                </c:pt>
                <c:pt idx="8">
                  <c:v>0.48019275510821113</c:v>
                </c:pt>
                <c:pt idx="9">
                  <c:v>0.48088324422659995</c:v>
                </c:pt>
                <c:pt idx="10">
                  <c:v>0.48082311997502653</c:v>
                </c:pt>
                <c:pt idx="11">
                  <c:v>0.45999140200470723</c:v>
                </c:pt>
                <c:pt idx="12">
                  <c:v>0.47984417809767921</c:v>
                </c:pt>
                <c:pt idx="13">
                  <c:v>0.48483821414644457</c:v>
                </c:pt>
                <c:pt idx="14">
                  <c:v>0.48650968152007623</c:v>
                </c:pt>
                <c:pt idx="15">
                  <c:v>0.48940860338278558</c:v>
                </c:pt>
                <c:pt idx="16">
                  <c:v>0.48871993781585976</c:v>
                </c:pt>
                <c:pt idx="17">
                  <c:v>0.48124651300349902</c:v>
                </c:pt>
                <c:pt idx="18">
                  <c:v>0.5530757364068869</c:v>
                </c:pt>
                <c:pt idx="19">
                  <c:v>0.55082004557285691</c:v>
                </c:pt>
                <c:pt idx="20">
                  <c:v>0.55189417342462455</c:v>
                </c:pt>
                <c:pt idx="21">
                  <c:v>0.55495383272625898</c:v>
                </c:pt>
                <c:pt idx="22">
                  <c:v>0.55517704421677361</c:v>
                </c:pt>
                <c:pt idx="23">
                  <c:v>0.55186782646318178</c:v>
                </c:pt>
                <c:pt idx="24">
                  <c:v>0.55575161337528367</c:v>
                </c:pt>
                <c:pt idx="25">
                  <c:v>0.55392375142077066</c:v>
                </c:pt>
                <c:pt idx="26">
                  <c:v>0.56958619718086334</c:v>
                </c:pt>
                <c:pt idx="27">
                  <c:v>0.56842561164068228</c:v>
                </c:pt>
              </c:numCache>
            </c:numRef>
          </c:yVal>
          <c:smooth val="1"/>
          <c:extLst>
            <c:ext xmlns:c16="http://schemas.microsoft.com/office/drawing/2014/chart" uri="{C3380CC4-5D6E-409C-BE32-E72D297353CC}">
              <c16:uniqueId val="{00000006-803C-46F2-B372-3AEDCE91BFD2}"/>
            </c:ext>
          </c:extLst>
        </c:ser>
        <c:ser>
          <c:idx val="7"/>
          <c:order val="7"/>
          <c:tx>
            <c:strRef>
              <c:f>Лист1!$A$83</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Лист1!$B$83:$AC$83</c:f>
              <c:numCache>
                <c:formatCode>General</c:formatCode>
                <c:ptCount val="28"/>
                <c:pt idx="0">
                  <c:v>0.28161240749878136</c:v>
                </c:pt>
                <c:pt idx="1">
                  <c:v>0.29808810695360999</c:v>
                </c:pt>
                <c:pt idx="2">
                  <c:v>0.31238660706954569</c:v>
                </c:pt>
                <c:pt idx="3">
                  <c:v>0.31049905741988093</c:v>
                </c:pt>
                <c:pt idx="4">
                  <c:v>0.31804063528326498</c:v>
                </c:pt>
                <c:pt idx="5">
                  <c:v>0.31900100174278956</c:v>
                </c:pt>
                <c:pt idx="6">
                  <c:v>0.31835979305076406</c:v>
                </c:pt>
                <c:pt idx="7">
                  <c:v>0.31677353608064202</c:v>
                </c:pt>
                <c:pt idx="8">
                  <c:v>0.32267629926303909</c:v>
                </c:pt>
                <c:pt idx="9">
                  <c:v>0.32079112461392684</c:v>
                </c:pt>
                <c:pt idx="10">
                  <c:v>0.31832820046649507</c:v>
                </c:pt>
                <c:pt idx="11">
                  <c:v>0.28545280463685818</c:v>
                </c:pt>
                <c:pt idx="12">
                  <c:v>0.28408240399668605</c:v>
                </c:pt>
                <c:pt idx="13">
                  <c:v>0.2873713618618261</c:v>
                </c:pt>
                <c:pt idx="14">
                  <c:v>0.29148124380064605</c:v>
                </c:pt>
                <c:pt idx="15">
                  <c:v>0.29503459817814143</c:v>
                </c:pt>
                <c:pt idx="16">
                  <c:v>0.29858144617507631</c:v>
                </c:pt>
                <c:pt idx="17">
                  <c:v>0.29522649197564538</c:v>
                </c:pt>
                <c:pt idx="18">
                  <c:v>0.31646632880825198</c:v>
                </c:pt>
                <c:pt idx="19">
                  <c:v>0.33214954240299427</c:v>
                </c:pt>
                <c:pt idx="20">
                  <c:v>0.33214954240299427</c:v>
                </c:pt>
                <c:pt idx="21">
                  <c:v>0.33780591074362998</c:v>
                </c:pt>
                <c:pt idx="22">
                  <c:v>0.34096357095211488</c:v>
                </c:pt>
                <c:pt idx="23">
                  <c:v>0.340329219573</c:v>
                </c:pt>
                <c:pt idx="24">
                  <c:v>0.34315523289499206</c:v>
                </c:pt>
                <c:pt idx="25">
                  <c:v>0.34972877358537341</c:v>
                </c:pt>
                <c:pt idx="26">
                  <c:v>0.35626881425029694</c:v>
                </c:pt>
                <c:pt idx="27">
                  <c:v>0.35916642941325577</c:v>
                </c:pt>
              </c:numCache>
            </c:numRef>
          </c:yVal>
          <c:smooth val="1"/>
          <c:extLst>
            <c:ext xmlns:c16="http://schemas.microsoft.com/office/drawing/2014/chart" uri="{C3380CC4-5D6E-409C-BE32-E72D297353CC}">
              <c16:uniqueId val="{00000007-803C-46F2-B372-3AEDCE91BFD2}"/>
            </c:ext>
          </c:extLst>
        </c:ser>
        <c:ser>
          <c:idx val="8"/>
          <c:order val="8"/>
          <c:tx>
            <c:strRef>
              <c:f>Лист1!$A$84</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Лист1!$B$84:$AC$84</c:f>
              <c:numCache>
                <c:formatCode>General</c:formatCode>
                <c:ptCount val="28"/>
                <c:pt idx="0">
                  <c:v>0.78678199471590371</c:v>
                </c:pt>
                <c:pt idx="1">
                  <c:v>0.9135513769493856</c:v>
                </c:pt>
                <c:pt idx="2">
                  <c:v>0.95604434891426915</c:v>
                </c:pt>
                <c:pt idx="3">
                  <c:v>0.97005184707098557</c:v>
                </c:pt>
                <c:pt idx="4">
                  <c:v>0.99094166922824745</c:v>
                </c:pt>
                <c:pt idx="5">
                  <c:v>1.0061322929395227</c:v>
                </c:pt>
                <c:pt idx="6">
                  <c:v>1.0225266157760571</c:v>
                </c:pt>
                <c:pt idx="7">
                  <c:v>1.0487161255440138</c:v>
                </c:pt>
                <c:pt idx="8">
                  <c:v>1.0670566534811885</c:v>
                </c:pt>
                <c:pt idx="9">
                  <c:v>1.0756916030564667</c:v>
                </c:pt>
                <c:pt idx="10">
                  <c:v>1.0831265688430594</c:v>
                </c:pt>
                <c:pt idx="11">
                  <c:v>1.0992898728719966</c:v>
                </c:pt>
                <c:pt idx="12">
                  <c:v>1.1453013523899549</c:v>
                </c:pt>
                <c:pt idx="13">
                  <c:v>1.1559232628793545</c:v>
                </c:pt>
                <c:pt idx="14">
                  <c:v>1.1651815309212552</c:v>
                </c:pt>
                <c:pt idx="15">
                  <c:v>1.1743905191435569</c:v>
                </c:pt>
                <c:pt idx="16">
                  <c:v>1.1682651921528047</c:v>
                </c:pt>
                <c:pt idx="17">
                  <c:v>1.1492459380559201</c:v>
                </c:pt>
                <c:pt idx="18">
                  <c:v>1.472961333590501</c:v>
                </c:pt>
                <c:pt idx="19">
                  <c:v>1.4603627158647481</c:v>
                </c:pt>
                <c:pt idx="20">
                  <c:v>1.4606919571565695</c:v>
                </c:pt>
                <c:pt idx="21">
                  <c:v>1.4580719981846009</c:v>
                </c:pt>
                <c:pt idx="22">
                  <c:v>1.467498147156576</c:v>
                </c:pt>
                <c:pt idx="23">
                  <c:v>1.4675171791546686</c:v>
                </c:pt>
                <c:pt idx="24">
                  <c:v>1.4685739410359475</c:v>
                </c:pt>
                <c:pt idx="25">
                  <c:v>1.4691968560477342</c:v>
                </c:pt>
                <c:pt idx="26">
                  <c:v>1.4770007136865979</c:v>
                </c:pt>
                <c:pt idx="27">
                  <c:v>1.484879120790513</c:v>
                </c:pt>
              </c:numCache>
            </c:numRef>
          </c:yVal>
          <c:smooth val="1"/>
          <c:extLst>
            <c:ext xmlns:c16="http://schemas.microsoft.com/office/drawing/2014/chart" uri="{C3380CC4-5D6E-409C-BE32-E72D297353CC}">
              <c16:uniqueId val="{00000008-803C-46F2-B372-3AEDCE91BFD2}"/>
            </c:ext>
          </c:extLst>
        </c:ser>
        <c:ser>
          <c:idx val="9"/>
          <c:order val="9"/>
          <c:tx>
            <c:strRef>
              <c:f>Лист1!$A$85</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Лист1!$B$75:$AC$75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Лист1!$B$85:$AC$85</c:f>
              <c:numCache>
                <c:formatCode>General</c:formatCode>
                <c:ptCount val="28"/>
                <c:pt idx="0">
                  <c:v>1.3829464485852712</c:v>
                </c:pt>
                <c:pt idx="1">
                  <c:v>1.4466708878002266</c:v>
                </c:pt>
                <c:pt idx="2">
                  <c:v>1.4490353746209732</c:v>
                </c:pt>
                <c:pt idx="3">
                  <c:v>1.4486404882872688</c:v>
                </c:pt>
                <c:pt idx="4">
                  <c:v>1.453155232836105</c:v>
                </c:pt>
                <c:pt idx="5">
                  <c:v>1.4604528547623872</c:v>
                </c:pt>
                <c:pt idx="6">
                  <c:v>1.4587274727434707</c:v>
                </c:pt>
                <c:pt idx="7">
                  <c:v>1.4977524575426664</c:v>
                </c:pt>
                <c:pt idx="8">
                  <c:v>1.5076989745594824</c:v>
                </c:pt>
                <c:pt idx="9">
                  <c:v>1.5177288886012903</c:v>
                </c:pt>
                <c:pt idx="10">
                  <c:v>1.5276284069446695</c:v>
                </c:pt>
                <c:pt idx="11">
                  <c:v>1.5219358954990503</c:v>
                </c:pt>
                <c:pt idx="12">
                  <c:v>1.5293166006698411</c:v>
                </c:pt>
                <c:pt idx="13">
                  <c:v>1.5361053083974003</c:v>
                </c:pt>
                <c:pt idx="14">
                  <c:v>1.5420259084850114</c:v>
                </c:pt>
                <c:pt idx="15">
                  <c:v>1.5678974037898745</c:v>
                </c:pt>
                <c:pt idx="16">
                  <c:v>1.5742958314075255</c:v>
                </c:pt>
                <c:pt idx="17">
                  <c:v>1.5834766420323567</c:v>
                </c:pt>
                <c:pt idx="18">
                  <c:v>1.5823403113212209</c:v>
                </c:pt>
                <c:pt idx="19">
                  <c:v>1.9639188062045478</c:v>
                </c:pt>
                <c:pt idx="20">
                  <c:v>1.9767615415395396</c:v>
                </c:pt>
                <c:pt idx="21">
                  <c:v>2.0010532787777748</c:v>
                </c:pt>
                <c:pt idx="22">
                  <c:v>2.030929881861292</c:v>
                </c:pt>
                <c:pt idx="23">
                  <c:v>2.0486452060018676</c:v>
                </c:pt>
                <c:pt idx="24">
                  <c:v>2.2252066078548678</c:v>
                </c:pt>
                <c:pt idx="25">
                  <c:v>2.2385205332376308</c:v>
                </c:pt>
                <c:pt idx="26">
                  <c:v>2.2510549371227735</c:v>
                </c:pt>
                <c:pt idx="27">
                  <c:v>2.250007627196291</c:v>
                </c:pt>
              </c:numCache>
            </c:numRef>
          </c:yVal>
          <c:smooth val="1"/>
          <c:extLst>
            <c:ext xmlns:c16="http://schemas.microsoft.com/office/drawing/2014/chart" uri="{C3380CC4-5D6E-409C-BE32-E72D297353CC}">
              <c16:uniqueId val="{00000009-803C-46F2-B372-3AEDCE91BFD2}"/>
            </c:ext>
          </c:extLst>
        </c:ser>
        <c:dLbls>
          <c:showLegendKey val="0"/>
          <c:showVal val="0"/>
          <c:showCatName val="0"/>
          <c:showSerName val="0"/>
          <c:showPercent val="0"/>
          <c:showBubbleSize val="0"/>
        </c:dLbls>
        <c:axId val="285583232"/>
        <c:axId val="305922048"/>
      </c:scatterChart>
      <c:valAx>
        <c:axId val="285583232"/>
        <c:scaling>
          <c:orientation val="minMax"/>
          <c:max val="2021"/>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922048"/>
        <c:crosses val="autoZero"/>
        <c:crossBetween val="midCat"/>
      </c:valAx>
      <c:valAx>
        <c:axId val="30592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583232"/>
        <c:crosses val="autoZero"/>
        <c:crossBetween val="midCat"/>
      </c:valAx>
      <c:spPr>
        <a:noFill/>
        <a:ln>
          <a:noFill/>
        </a:ln>
        <a:effectLst/>
      </c:spPr>
    </c:plotArea>
    <c:legend>
      <c:legendPos val="b"/>
      <c:legendEntry>
        <c:idx val="4"/>
        <c:delete val="1"/>
      </c:legendEntry>
      <c:legendEntry>
        <c:idx val="5"/>
        <c:delete val="1"/>
      </c:legendEntry>
      <c:layout>
        <c:manualLayout>
          <c:xMode val="edge"/>
          <c:yMode val="edge"/>
          <c:x val="0"/>
          <c:y val="0.7594709816870614"/>
          <c:w val="0.97897886827816938"/>
          <c:h val="0.221553686244627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'[Показатели (4).xlsx]Население'!$DS$6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[1]Население!$DT$3:$EU$3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[1]Население!$DT$6:$EU$6</c:f>
              <c:numCache>
                <c:formatCode>General</c:formatCode>
                <c:ptCount val="28"/>
                <c:pt idx="4">
                  <c:v>67.06</c:v>
                </c:pt>
                <c:pt idx="5">
                  <c:v>65.754999999999995</c:v>
                </c:pt>
                <c:pt idx="6">
                  <c:v>64.45</c:v>
                </c:pt>
                <c:pt idx="7">
                  <c:v>64.95</c:v>
                </c:pt>
                <c:pt idx="8">
                  <c:v>64.47</c:v>
                </c:pt>
                <c:pt idx="9">
                  <c:v>63.56</c:v>
                </c:pt>
                <c:pt idx="10">
                  <c:v>63.88</c:v>
                </c:pt>
                <c:pt idx="11">
                  <c:v>64.09</c:v>
                </c:pt>
                <c:pt idx="12">
                  <c:v>65.52</c:v>
                </c:pt>
                <c:pt idx="13">
                  <c:v>66.094999999999999</c:v>
                </c:pt>
                <c:pt idx="14">
                  <c:v>66.67</c:v>
                </c:pt>
                <c:pt idx="15">
                  <c:v>67.38</c:v>
                </c:pt>
                <c:pt idx="16">
                  <c:v>67.66</c:v>
                </c:pt>
                <c:pt idx="17">
                  <c:v>68.36</c:v>
                </c:pt>
                <c:pt idx="18">
                  <c:v>68.349999999999994</c:v>
                </c:pt>
                <c:pt idx="19">
                  <c:v>68.27</c:v>
                </c:pt>
                <c:pt idx="20">
                  <c:v>68.75</c:v>
                </c:pt>
                <c:pt idx="21">
                  <c:v>69.03</c:v>
                </c:pt>
                <c:pt idx="22">
                  <c:v>69.430000000000007</c:v>
                </c:pt>
                <c:pt idx="23">
                  <c:v>70.8</c:v>
                </c:pt>
                <c:pt idx="24">
                  <c:v>70.78</c:v>
                </c:pt>
                <c:pt idx="25">
                  <c:v>71.14</c:v>
                </c:pt>
                <c:pt idx="26">
                  <c:v>69.94</c:v>
                </c:pt>
                <c:pt idx="27">
                  <c:v>68.290000000000006</c:v>
                </c:pt>
              </c:numCache>
            </c:numRef>
          </c:yVal>
          <c:smooth val="1"/>
          <c:extLst>
            <c:ext xmlns:c16="http://schemas.microsoft.com/office/drawing/2014/chart" uri="{C3380CC4-5D6E-409C-BE32-E72D297353CC}">
              <c16:uniqueId val="{00000000-D1D2-43F1-830F-0086270BD9F2}"/>
            </c:ext>
          </c:extLst>
        </c:ser>
        <c:ser>
          <c:idx val="3"/>
          <c:order val="1"/>
          <c:tx>
            <c:strRef>
              <c:f>'[Показатели (4).xlsx]Население'!$DS$7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[1]Население!$DT$3:$EU$3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[1]Население!$DT$7:$EU$7</c:f>
              <c:numCache>
                <c:formatCode>General</c:formatCode>
                <c:ptCount val="28"/>
                <c:pt idx="4">
                  <c:v>66.41</c:v>
                </c:pt>
                <c:pt idx="5">
                  <c:v>65.045000000000002</c:v>
                </c:pt>
                <c:pt idx="6">
                  <c:v>63.68</c:v>
                </c:pt>
                <c:pt idx="7">
                  <c:v>64.72</c:v>
                </c:pt>
                <c:pt idx="8">
                  <c:v>64.099999999999994</c:v>
                </c:pt>
                <c:pt idx="9">
                  <c:v>63.68</c:v>
                </c:pt>
                <c:pt idx="10">
                  <c:v>64.42</c:v>
                </c:pt>
                <c:pt idx="11">
                  <c:v>64.47</c:v>
                </c:pt>
                <c:pt idx="12">
                  <c:v>66.47</c:v>
                </c:pt>
                <c:pt idx="13">
                  <c:v>67.11</c:v>
                </c:pt>
                <c:pt idx="14">
                  <c:v>67.75</c:v>
                </c:pt>
                <c:pt idx="15">
                  <c:v>68.39</c:v>
                </c:pt>
                <c:pt idx="16">
                  <c:v>68.81</c:v>
                </c:pt>
                <c:pt idx="17">
                  <c:v>69.290000000000006</c:v>
                </c:pt>
                <c:pt idx="18">
                  <c:v>69.5</c:v>
                </c:pt>
                <c:pt idx="19">
                  <c:v>69.81</c:v>
                </c:pt>
                <c:pt idx="20">
                  <c:v>69.760000000000005</c:v>
                </c:pt>
                <c:pt idx="21">
                  <c:v>69.83</c:v>
                </c:pt>
                <c:pt idx="22">
                  <c:v>70.02</c:v>
                </c:pt>
                <c:pt idx="23">
                  <c:v>71.23</c:v>
                </c:pt>
                <c:pt idx="24">
                  <c:v>71.290000000000006</c:v>
                </c:pt>
                <c:pt idx="25">
                  <c:v>71.81</c:v>
                </c:pt>
                <c:pt idx="26">
                  <c:v>70.150000000000006</c:v>
                </c:pt>
                <c:pt idx="27">
                  <c:v>68.790000000000006</c:v>
                </c:pt>
              </c:numCache>
            </c:numRef>
          </c:yVal>
          <c:smooth val="1"/>
          <c:extLst>
            <c:ext xmlns:c16="http://schemas.microsoft.com/office/drawing/2014/chart" uri="{C3380CC4-5D6E-409C-BE32-E72D297353CC}">
              <c16:uniqueId val="{00000001-D1D2-43F1-830F-0086270BD9F2}"/>
            </c:ext>
          </c:extLst>
        </c:ser>
        <c:ser>
          <c:idx val="5"/>
          <c:order val="2"/>
          <c:tx>
            <c:strRef>
              <c:f>'[Показатели (4).xlsx]Население'!$DS$9</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[1]Население!$DT$3:$EU$3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[1]Население!$DT$9:$EU$9</c:f>
              <c:numCache>
                <c:formatCode>General</c:formatCode>
                <c:ptCount val="28"/>
              </c:numCache>
            </c:numRef>
          </c:yVal>
          <c:smooth val="1"/>
          <c:extLst>
            <c:ext xmlns:c16="http://schemas.microsoft.com/office/drawing/2014/chart" uri="{C3380CC4-5D6E-409C-BE32-E72D297353CC}">
              <c16:uniqueId val="{00000002-D1D2-43F1-830F-0086270BD9F2}"/>
            </c:ext>
          </c:extLst>
        </c:ser>
        <c:ser>
          <c:idx val="6"/>
          <c:order val="3"/>
          <c:tx>
            <c:strRef>
              <c:f>'[Показатели (4).xlsx]Население'!$DS$10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[1]Население!$DT$3:$EU$3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[1]Население!$DT$10:$EU$10</c:f>
              <c:numCache>
                <c:formatCode>General</c:formatCode>
                <c:ptCount val="28"/>
                <c:pt idx="4">
                  <c:v>68.44</c:v>
                </c:pt>
                <c:pt idx="5">
                  <c:v>67.155000000000001</c:v>
                </c:pt>
                <c:pt idx="6">
                  <c:v>65.87</c:v>
                </c:pt>
                <c:pt idx="7">
                  <c:v>68.150000000000006</c:v>
                </c:pt>
                <c:pt idx="8">
                  <c:v>69.17</c:v>
                </c:pt>
                <c:pt idx="9">
                  <c:v>67.319999999999993</c:v>
                </c:pt>
                <c:pt idx="10">
                  <c:v>68.150000000000006</c:v>
                </c:pt>
                <c:pt idx="11">
                  <c:v>67.819999999999993</c:v>
                </c:pt>
                <c:pt idx="12">
                  <c:v>68.84</c:v>
                </c:pt>
                <c:pt idx="13">
                  <c:v>69.375</c:v>
                </c:pt>
                <c:pt idx="14">
                  <c:v>69.91</c:v>
                </c:pt>
                <c:pt idx="15">
                  <c:v>70.45</c:v>
                </c:pt>
                <c:pt idx="16">
                  <c:v>70.3</c:v>
                </c:pt>
                <c:pt idx="17">
                  <c:v>70.91</c:v>
                </c:pt>
                <c:pt idx="18">
                  <c:v>71.790000000000006</c:v>
                </c:pt>
                <c:pt idx="19">
                  <c:v>72.23</c:v>
                </c:pt>
                <c:pt idx="20">
                  <c:v>72.27</c:v>
                </c:pt>
                <c:pt idx="21">
                  <c:v>72.58</c:v>
                </c:pt>
                <c:pt idx="22">
                  <c:v>73.5</c:v>
                </c:pt>
                <c:pt idx="23">
                  <c:v>73.87</c:v>
                </c:pt>
                <c:pt idx="24">
                  <c:v>74.28</c:v>
                </c:pt>
                <c:pt idx="25">
                  <c:v>75.040000000000006</c:v>
                </c:pt>
                <c:pt idx="26">
                  <c:v>72.87</c:v>
                </c:pt>
                <c:pt idx="27">
                  <c:v>72.010000000000005</c:v>
                </c:pt>
              </c:numCache>
            </c:numRef>
          </c:yVal>
          <c:smooth val="1"/>
          <c:extLst>
            <c:ext xmlns:c16="http://schemas.microsoft.com/office/drawing/2014/chart" uri="{C3380CC4-5D6E-409C-BE32-E72D297353CC}">
              <c16:uniqueId val="{00000003-D1D2-43F1-830F-0086270BD9F2}"/>
            </c:ext>
          </c:extLst>
        </c:ser>
        <c:ser>
          <c:idx val="7"/>
          <c:order val="4"/>
          <c:tx>
            <c:strRef>
              <c:f>'[Показатели (4).xlsx]Население'!$DS$11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[1]Население!$DT$3:$EU$3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[1]Население!$DT$11:$EU$11</c:f>
              <c:numCache>
                <c:formatCode>General</c:formatCode>
                <c:ptCount val="28"/>
                <c:pt idx="4">
                  <c:v>69.680000000000007</c:v>
                </c:pt>
                <c:pt idx="5">
                  <c:v>68.194999999999993</c:v>
                </c:pt>
                <c:pt idx="6">
                  <c:v>66.709999999999994</c:v>
                </c:pt>
                <c:pt idx="7">
                  <c:v>69.739999999999995</c:v>
                </c:pt>
                <c:pt idx="8">
                  <c:v>70.3</c:v>
                </c:pt>
                <c:pt idx="9">
                  <c:v>66.569999999999993</c:v>
                </c:pt>
                <c:pt idx="10">
                  <c:v>67.87</c:v>
                </c:pt>
                <c:pt idx="11">
                  <c:v>67.58</c:v>
                </c:pt>
                <c:pt idx="12">
                  <c:v>68.86</c:v>
                </c:pt>
                <c:pt idx="13">
                  <c:v>69.564999999999998</c:v>
                </c:pt>
                <c:pt idx="14">
                  <c:v>70.27</c:v>
                </c:pt>
                <c:pt idx="15">
                  <c:v>71.3</c:v>
                </c:pt>
                <c:pt idx="16">
                  <c:v>70.05</c:v>
                </c:pt>
                <c:pt idx="17">
                  <c:v>70.16</c:v>
                </c:pt>
                <c:pt idx="18">
                  <c:v>70.66</c:v>
                </c:pt>
                <c:pt idx="19">
                  <c:v>71.23</c:v>
                </c:pt>
                <c:pt idx="20">
                  <c:v>71.92</c:v>
                </c:pt>
                <c:pt idx="21">
                  <c:v>71.7</c:v>
                </c:pt>
                <c:pt idx="22">
                  <c:v>72.13</c:v>
                </c:pt>
                <c:pt idx="23">
                  <c:v>73.53</c:v>
                </c:pt>
                <c:pt idx="24">
                  <c:v>74.069999999999993</c:v>
                </c:pt>
                <c:pt idx="25">
                  <c:v>74.180000000000007</c:v>
                </c:pt>
                <c:pt idx="26">
                  <c:v>71.91</c:v>
                </c:pt>
                <c:pt idx="27">
                  <c:v>71.7</c:v>
                </c:pt>
              </c:numCache>
            </c:numRef>
          </c:yVal>
          <c:smooth val="1"/>
          <c:extLst>
            <c:ext xmlns:c16="http://schemas.microsoft.com/office/drawing/2014/chart" uri="{C3380CC4-5D6E-409C-BE32-E72D297353CC}">
              <c16:uniqueId val="{00000004-D1D2-43F1-830F-0086270BD9F2}"/>
            </c:ext>
          </c:extLst>
        </c:ser>
        <c:ser>
          <c:idx val="8"/>
          <c:order val="5"/>
          <c:tx>
            <c:strRef>
              <c:f>'[Показатели (4).xlsx]Население'!$DS$12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[1]Население!$DT$3:$EU$3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[1]Население!$DT$12:$EU$12</c:f>
              <c:numCache>
                <c:formatCode>General</c:formatCode>
                <c:ptCount val="28"/>
                <c:pt idx="4" formatCode="0.0">
                  <c:v>66.468579586009994</c:v>
                </c:pt>
                <c:pt idx="5">
                  <c:v>66.053740702095894</c:v>
                </c:pt>
                <c:pt idx="6" formatCode="0.0">
                  <c:v>65.638901818181807</c:v>
                </c:pt>
                <c:pt idx="7" formatCode="0.0">
                  <c:v>64.247463556851329</c:v>
                </c:pt>
                <c:pt idx="8" formatCode="0.0">
                  <c:v>63.333983918128673</c:v>
                </c:pt>
                <c:pt idx="9" formatCode="0.0">
                  <c:v>64.805139500734214</c:v>
                </c:pt>
                <c:pt idx="10" formatCode="0.0">
                  <c:v>64.619889135254965</c:v>
                </c:pt>
                <c:pt idx="11">
                  <c:v>64.95</c:v>
                </c:pt>
                <c:pt idx="12" formatCode="0.0">
                  <c:v>66.632532123960686</c:v>
                </c:pt>
                <c:pt idx="13">
                  <c:v>66.917755423682479</c:v>
                </c:pt>
                <c:pt idx="14" formatCode="0.0">
                  <c:v>67.202978723404257</c:v>
                </c:pt>
                <c:pt idx="15" formatCode="0.0">
                  <c:v>67.698517952635584</c:v>
                </c:pt>
                <c:pt idx="16">
                  <c:v>68.12</c:v>
                </c:pt>
                <c:pt idx="17">
                  <c:v>69.41</c:v>
                </c:pt>
                <c:pt idx="18">
                  <c:v>69.45</c:v>
                </c:pt>
                <c:pt idx="19">
                  <c:v>70.14</c:v>
                </c:pt>
                <c:pt idx="20">
                  <c:v>70.319999999999993</c:v>
                </c:pt>
                <c:pt idx="21">
                  <c:v>70.58</c:v>
                </c:pt>
                <c:pt idx="22">
                  <c:v>71.03</c:v>
                </c:pt>
                <c:pt idx="23">
                  <c:v>72.06</c:v>
                </c:pt>
                <c:pt idx="24">
                  <c:v>72.08</c:v>
                </c:pt>
                <c:pt idx="25">
                  <c:v>72.75</c:v>
                </c:pt>
                <c:pt idx="26">
                  <c:v>71.34</c:v>
                </c:pt>
                <c:pt idx="27">
                  <c:v>70.14</c:v>
                </c:pt>
              </c:numCache>
            </c:numRef>
          </c:yVal>
          <c:smooth val="1"/>
          <c:extLst>
            <c:ext xmlns:c16="http://schemas.microsoft.com/office/drawing/2014/chart" uri="{C3380CC4-5D6E-409C-BE32-E72D297353CC}">
              <c16:uniqueId val="{00000005-D1D2-43F1-830F-0086270BD9F2}"/>
            </c:ext>
          </c:extLst>
        </c:ser>
        <c:ser>
          <c:idx val="9"/>
          <c:order val="6"/>
          <c:tx>
            <c:strRef>
              <c:f>'[Показатели (4).xlsx]Население'!$DS$13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[1]Население!$DT$3:$EU$3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[1]Население!$DT$13:$EU$13</c:f>
              <c:numCache>
                <c:formatCode>General</c:formatCode>
                <c:ptCount val="28"/>
                <c:pt idx="4">
                  <c:v>67.5</c:v>
                </c:pt>
                <c:pt idx="5">
                  <c:v>66.075000000000003</c:v>
                </c:pt>
                <c:pt idx="6">
                  <c:v>64.650000000000006</c:v>
                </c:pt>
                <c:pt idx="7">
                  <c:v>65.08</c:v>
                </c:pt>
                <c:pt idx="8">
                  <c:v>64.75</c:v>
                </c:pt>
                <c:pt idx="9">
                  <c:v>64.42</c:v>
                </c:pt>
                <c:pt idx="10">
                  <c:v>64.64</c:v>
                </c:pt>
                <c:pt idx="11">
                  <c:v>64.760000000000005</c:v>
                </c:pt>
                <c:pt idx="12">
                  <c:v>66.17</c:v>
                </c:pt>
                <c:pt idx="13">
                  <c:v>66.7</c:v>
                </c:pt>
                <c:pt idx="14">
                  <c:v>67.23</c:v>
                </c:pt>
                <c:pt idx="15">
                  <c:v>68.260000000000005</c:v>
                </c:pt>
                <c:pt idx="16">
                  <c:v>68.41</c:v>
                </c:pt>
                <c:pt idx="17">
                  <c:v>68.790000000000006</c:v>
                </c:pt>
                <c:pt idx="18">
                  <c:v>68.97</c:v>
                </c:pt>
                <c:pt idx="19">
                  <c:v>69.52</c:v>
                </c:pt>
                <c:pt idx="20">
                  <c:v>69.709999999999994</c:v>
                </c:pt>
                <c:pt idx="21">
                  <c:v>69.900000000000006</c:v>
                </c:pt>
                <c:pt idx="22">
                  <c:v>70.5</c:v>
                </c:pt>
                <c:pt idx="23">
                  <c:v>71.53</c:v>
                </c:pt>
                <c:pt idx="24">
                  <c:v>71.64</c:v>
                </c:pt>
                <c:pt idx="25">
                  <c:v>72.08</c:v>
                </c:pt>
                <c:pt idx="26">
                  <c:v>70.290000000000006</c:v>
                </c:pt>
                <c:pt idx="27">
                  <c:v>69.16</c:v>
                </c:pt>
              </c:numCache>
            </c:numRef>
          </c:yVal>
          <c:smooth val="1"/>
          <c:extLst>
            <c:ext xmlns:c16="http://schemas.microsoft.com/office/drawing/2014/chart" uri="{C3380CC4-5D6E-409C-BE32-E72D297353CC}">
              <c16:uniqueId val="{00000006-D1D2-43F1-830F-0086270BD9F2}"/>
            </c:ext>
          </c:extLst>
        </c:ser>
        <c:dLbls>
          <c:showLegendKey val="0"/>
          <c:showVal val="0"/>
          <c:showCatName val="0"/>
          <c:showSerName val="0"/>
          <c:showPercent val="0"/>
          <c:showBubbleSize val="0"/>
        </c:dLbls>
        <c:axId val="314322944"/>
        <c:axId val="314324864"/>
      </c:scatterChart>
      <c:valAx>
        <c:axId val="314322944"/>
        <c:scaling>
          <c:orientation val="minMax"/>
          <c:max val="2021"/>
          <c:min val="199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324864"/>
        <c:crosses val="autoZero"/>
        <c:crossBetween val="midCat"/>
      </c:valAx>
      <c:valAx>
        <c:axId val="31432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322944"/>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'[Показатели (4).xlsx]Население'!$EW$6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[1]Население!$EX$3:$FY$3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[1]Население!$EX$6:$FY$6</c:f>
              <c:numCache>
                <c:formatCode>General</c:formatCode>
                <c:ptCount val="28"/>
                <c:pt idx="0">
                  <c:v>-52</c:v>
                </c:pt>
                <c:pt idx="1">
                  <c:v>15</c:v>
                </c:pt>
                <c:pt idx="2">
                  <c:v>5</c:v>
                </c:pt>
                <c:pt idx="3">
                  <c:v>44</c:v>
                </c:pt>
                <c:pt idx="4">
                  <c:v>25</c:v>
                </c:pt>
                <c:pt idx="5">
                  <c:v>5</c:v>
                </c:pt>
                <c:pt idx="6">
                  <c:v>-51</c:v>
                </c:pt>
                <c:pt idx="7">
                  <c:v>-89</c:v>
                </c:pt>
                <c:pt idx="8">
                  <c:v>-70</c:v>
                </c:pt>
                <c:pt idx="9">
                  <c:v>-88</c:v>
                </c:pt>
                <c:pt idx="10">
                  <c:v>-116</c:v>
                </c:pt>
                <c:pt idx="11">
                  <c:v>-124</c:v>
                </c:pt>
                <c:pt idx="12">
                  <c:v>-105</c:v>
                </c:pt>
                <c:pt idx="13">
                  <c:v>-78</c:v>
                </c:pt>
                <c:pt idx="14">
                  <c:v>-61</c:v>
                </c:pt>
                <c:pt idx="15">
                  <c:v>-40</c:v>
                </c:pt>
                <c:pt idx="16">
                  <c:v>-76</c:v>
                </c:pt>
                <c:pt idx="17">
                  <c:v>-110</c:v>
                </c:pt>
                <c:pt idx="18">
                  <c:v>-97</c:v>
                </c:pt>
                <c:pt idx="19">
                  <c:v>-77</c:v>
                </c:pt>
                <c:pt idx="20">
                  <c:v>-60</c:v>
                </c:pt>
                <c:pt idx="21">
                  <c:v>-64</c:v>
                </c:pt>
                <c:pt idx="22">
                  <c:v>-56</c:v>
                </c:pt>
                <c:pt idx="23">
                  <c:v>-60</c:v>
                </c:pt>
                <c:pt idx="24">
                  <c:v>-77</c:v>
                </c:pt>
                <c:pt idx="25">
                  <c:v>-30</c:v>
                </c:pt>
                <c:pt idx="26">
                  <c:v>-21</c:v>
                </c:pt>
                <c:pt idx="27">
                  <c:v>-45</c:v>
                </c:pt>
              </c:numCache>
            </c:numRef>
          </c:yVal>
          <c:smooth val="1"/>
          <c:extLst>
            <c:ext xmlns:c16="http://schemas.microsoft.com/office/drawing/2014/chart" uri="{C3380CC4-5D6E-409C-BE32-E72D297353CC}">
              <c16:uniqueId val="{00000000-6551-4F8F-97F7-CC39D158E9D8}"/>
            </c:ext>
          </c:extLst>
        </c:ser>
        <c:ser>
          <c:idx val="3"/>
          <c:order val="1"/>
          <c:tx>
            <c:strRef>
              <c:f>'[Показатели (4).xlsx]Население'!$EW$7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[1]Население!$EX$3:$FY$3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[1]Население!$EX$7:$FY$7</c:f>
              <c:numCache>
                <c:formatCode>General</c:formatCode>
                <c:ptCount val="28"/>
                <c:pt idx="0">
                  <c:v>-10</c:v>
                </c:pt>
                <c:pt idx="1">
                  <c:v>36</c:v>
                </c:pt>
                <c:pt idx="2">
                  <c:v>29</c:v>
                </c:pt>
                <c:pt idx="3">
                  <c:v>29</c:v>
                </c:pt>
                <c:pt idx="4">
                  <c:v>22</c:v>
                </c:pt>
                <c:pt idx="5">
                  <c:v>12</c:v>
                </c:pt>
                <c:pt idx="6">
                  <c:v>12</c:v>
                </c:pt>
                <c:pt idx="7">
                  <c:v>1</c:v>
                </c:pt>
                <c:pt idx="8">
                  <c:v>-9</c:v>
                </c:pt>
                <c:pt idx="9">
                  <c:v>-29</c:v>
                </c:pt>
                <c:pt idx="10">
                  <c:v>-32</c:v>
                </c:pt>
                <c:pt idx="11">
                  <c:v>-23</c:v>
                </c:pt>
                <c:pt idx="12">
                  <c:v>-14</c:v>
                </c:pt>
                <c:pt idx="13">
                  <c:v>8</c:v>
                </c:pt>
                <c:pt idx="14">
                  <c:v>11</c:v>
                </c:pt>
                <c:pt idx="15">
                  <c:v>2</c:v>
                </c:pt>
                <c:pt idx="16">
                  <c:v>-17</c:v>
                </c:pt>
                <c:pt idx="17">
                  <c:v>31</c:v>
                </c:pt>
                <c:pt idx="18">
                  <c:v>16</c:v>
                </c:pt>
                <c:pt idx="19">
                  <c:v>4</c:v>
                </c:pt>
                <c:pt idx="20">
                  <c:v>11</c:v>
                </c:pt>
                <c:pt idx="21">
                  <c:v>4</c:v>
                </c:pt>
                <c:pt idx="22">
                  <c:v>1</c:v>
                </c:pt>
                <c:pt idx="23">
                  <c:v>0.5</c:v>
                </c:pt>
                <c:pt idx="24">
                  <c:v>-3</c:v>
                </c:pt>
                <c:pt idx="25">
                  <c:v>15</c:v>
                </c:pt>
                <c:pt idx="26">
                  <c:v>7</c:v>
                </c:pt>
                <c:pt idx="27">
                  <c:v>19</c:v>
                </c:pt>
              </c:numCache>
            </c:numRef>
          </c:yVal>
          <c:smooth val="1"/>
          <c:extLst>
            <c:ext xmlns:c16="http://schemas.microsoft.com/office/drawing/2014/chart" uri="{C3380CC4-5D6E-409C-BE32-E72D297353CC}">
              <c16:uniqueId val="{00000001-6551-4F8F-97F7-CC39D158E9D8}"/>
            </c:ext>
          </c:extLst>
        </c:ser>
        <c:ser>
          <c:idx val="5"/>
          <c:order val="2"/>
          <c:tx>
            <c:strRef>
              <c:f>'[Показатели (4).xlsx]Население'!$EW$9</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[1]Население!$EX$3:$FY$3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[1]Население!$EX$9:$FY$9</c:f>
              <c:numCache>
                <c:formatCode>General</c:formatCode>
                <c:ptCount val="28"/>
              </c:numCache>
            </c:numRef>
          </c:yVal>
          <c:smooth val="1"/>
          <c:extLst>
            <c:ext xmlns:c16="http://schemas.microsoft.com/office/drawing/2014/chart" uri="{C3380CC4-5D6E-409C-BE32-E72D297353CC}">
              <c16:uniqueId val="{00000002-6551-4F8F-97F7-CC39D158E9D8}"/>
            </c:ext>
          </c:extLst>
        </c:ser>
        <c:ser>
          <c:idx val="6"/>
          <c:order val="3"/>
          <c:tx>
            <c:strRef>
              <c:f>'[Показатели (4).xlsx]Население'!$EW$10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[1]Население!$EX$3:$FY$3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[1]Население!$EX$10:$FY$10</c:f>
              <c:numCache>
                <c:formatCode>General</c:formatCode>
                <c:ptCount val="28"/>
                <c:pt idx="0">
                  <c:v>-26</c:v>
                </c:pt>
                <c:pt idx="1">
                  <c:v>1</c:v>
                </c:pt>
                <c:pt idx="2">
                  <c:v>4</c:v>
                </c:pt>
                <c:pt idx="3">
                  <c:v>111</c:v>
                </c:pt>
                <c:pt idx="4">
                  <c:v>33</c:v>
                </c:pt>
                <c:pt idx="5">
                  <c:v>-59</c:v>
                </c:pt>
                <c:pt idx="6">
                  <c:v>129</c:v>
                </c:pt>
                <c:pt idx="7">
                  <c:v>151</c:v>
                </c:pt>
                <c:pt idx="8">
                  <c:v>117</c:v>
                </c:pt>
                <c:pt idx="9">
                  <c:v>41</c:v>
                </c:pt>
                <c:pt idx="10">
                  <c:v>-13</c:v>
                </c:pt>
                <c:pt idx="11">
                  <c:v>-27</c:v>
                </c:pt>
                <c:pt idx="12">
                  <c:v>-20</c:v>
                </c:pt>
                <c:pt idx="13">
                  <c:v>29</c:v>
                </c:pt>
                <c:pt idx="14">
                  <c:v>1</c:v>
                </c:pt>
                <c:pt idx="15">
                  <c:v>21</c:v>
                </c:pt>
                <c:pt idx="16">
                  <c:v>8</c:v>
                </c:pt>
                <c:pt idx="17">
                  <c:v>57</c:v>
                </c:pt>
                <c:pt idx="18">
                  <c:v>32</c:v>
                </c:pt>
                <c:pt idx="19">
                  <c:v>-29</c:v>
                </c:pt>
                <c:pt idx="20">
                  <c:v>-16</c:v>
                </c:pt>
                <c:pt idx="21">
                  <c:v>-11</c:v>
                </c:pt>
                <c:pt idx="22">
                  <c:v>24</c:v>
                </c:pt>
                <c:pt idx="23">
                  <c:v>-25</c:v>
                </c:pt>
                <c:pt idx="24">
                  <c:v>-21</c:v>
                </c:pt>
                <c:pt idx="25">
                  <c:v>1</c:v>
                </c:pt>
                <c:pt idx="26">
                  <c:v>31</c:v>
                </c:pt>
                <c:pt idx="27">
                  <c:v>55</c:v>
                </c:pt>
              </c:numCache>
            </c:numRef>
          </c:yVal>
          <c:smooth val="1"/>
          <c:extLst>
            <c:ext xmlns:c16="http://schemas.microsoft.com/office/drawing/2014/chart" uri="{C3380CC4-5D6E-409C-BE32-E72D297353CC}">
              <c16:uniqueId val="{00000003-6551-4F8F-97F7-CC39D158E9D8}"/>
            </c:ext>
          </c:extLst>
        </c:ser>
        <c:ser>
          <c:idx val="7"/>
          <c:order val="4"/>
          <c:tx>
            <c:strRef>
              <c:f>'[Показатели (4).xlsx]Население'!$EW$11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[1]Население!$EX$3:$FY$3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[1]Население!$EX$11:$FY$11</c:f>
              <c:numCache>
                <c:formatCode>General</c:formatCode>
                <c:ptCount val="28"/>
                <c:pt idx="0">
                  <c:v>-143</c:v>
                </c:pt>
                <c:pt idx="1">
                  <c:v>104</c:v>
                </c:pt>
                <c:pt idx="2">
                  <c:v>12</c:v>
                </c:pt>
                <c:pt idx="3">
                  <c:v>40</c:v>
                </c:pt>
                <c:pt idx="4">
                  <c:v>-61</c:v>
                </c:pt>
                <c:pt idx="5">
                  <c:v>-127</c:v>
                </c:pt>
                <c:pt idx="6">
                  <c:v>-22</c:v>
                </c:pt>
                <c:pt idx="7">
                  <c:v>30</c:v>
                </c:pt>
                <c:pt idx="8">
                  <c:v>35</c:v>
                </c:pt>
                <c:pt idx="9">
                  <c:v>-36</c:v>
                </c:pt>
                <c:pt idx="10">
                  <c:v>-11</c:v>
                </c:pt>
                <c:pt idx="11">
                  <c:v>-24</c:v>
                </c:pt>
                <c:pt idx="12">
                  <c:v>4</c:v>
                </c:pt>
                <c:pt idx="13">
                  <c:v>-45</c:v>
                </c:pt>
                <c:pt idx="14">
                  <c:v>-114</c:v>
                </c:pt>
                <c:pt idx="15">
                  <c:v>-79</c:v>
                </c:pt>
                <c:pt idx="16">
                  <c:v>-88</c:v>
                </c:pt>
                <c:pt idx="17">
                  <c:v>118</c:v>
                </c:pt>
                <c:pt idx="18">
                  <c:v>-21</c:v>
                </c:pt>
                <c:pt idx="19">
                  <c:v>-150</c:v>
                </c:pt>
                <c:pt idx="20">
                  <c:v>-112</c:v>
                </c:pt>
                <c:pt idx="21">
                  <c:v>-223</c:v>
                </c:pt>
                <c:pt idx="22">
                  <c:v>-65</c:v>
                </c:pt>
                <c:pt idx="23">
                  <c:v>-45</c:v>
                </c:pt>
                <c:pt idx="24">
                  <c:v>-32</c:v>
                </c:pt>
                <c:pt idx="25">
                  <c:v>-24</c:v>
                </c:pt>
                <c:pt idx="26">
                  <c:v>-22</c:v>
                </c:pt>
                <c:pt idx="27">
                  <c:v>30</c:v>
                </c:pt>
              </c:numCache>
            </c:numRef>
          </c:yVal>
          <c:smooth val="1"/>
          <c:extLst>
            <c:ext xmlns:c16="http://schemas.microsoft.com/office/drawing/2014/chart" uri="{C3380CC4-5D6E-409C-BE32-E72D297353CC}">
              <c16:uniqueId val="{00000004-6551-4F8F-97F7-CC39D158E9D8}"/>
            </c:ext>
          </c:extLst>
        </c:ser>
        <c:ser>
          <c:idx val="8"/>
          <c:order val="5"/>
          <c:tx>
            <c:strRef>
              <c:f>'[Показатели (4).xlsx]Население'!$EW$12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[1]Население!$EX$3:$FY$3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[1]Население!$EX$12:$FY$12</c:f>
              <c:numCache>
                <c:formatCode>0.0</c:formatCode>
                <c:ptCount val="28"/>
                <c:pt idx="0">
                  <c:v>-1.001427551748751</c:v>
                </c:pt>
                <c:pt idx="1">
                  <c:v>40.427849927849927</c:v>
                </c:pt>
                <c:pt idx="2">
                  <c:v>45.134545454545453</c:v>
                </c:pt>
                <c:pt idx="3">
                  <c:v>57.14868804664723</c:v>
                </c:pt>
                <c:pt idx="4">
                  <c:v>38.989766081871345</c:v>
                </c:pt>
                <c:pt idx="5">
                  <c:v>13.017621145374449</c:v>
                </c:pt>
                <c:pt idx="6">
                  <c:v>-35.323725055432369</c:v>
                </c:pt>
                <c:pt idx="7">
                  <c:v>-85.716317365269461</c:v>
                </c:pt>
                <c:pt idx="8">
                  <c:v>-64.014361300075592</c:v>
                </c:pt>
                <c:pt idx="9">
                  <c:v>-16.279969650986342</c:v>
                </c:pt>
                <c:pt idx="10">
                  <c:v>-18.822188449848024</c:v>
                </c:pt>
                <c:pt idx="11" formatCode="General">
                  <c:v>1</c:v>
                </c:pt>
                <c:pt idx="12">
                  <c:v>18.400763358778626</c:v>
                </c:pt>
                <c:pt idx="13">
                  <c:v>33.153495440729486</c:v>
                </c:pt>
                <c:pt idx="14">
                  <c:v>48.922264150943398</c:v>
                </c:pt>
                <c:pt idx="15">
                  <c:v>40.016491754122939</c:v>
                </c:pt>
                <c:pt idx="16" formatCode="General">
                  <c:v>43</c:v>
                </c:pt>
                <c:pt idx="17">
                  <c:v>96.458883994126282</c:v>
                </c:pt>
                <c:pt idx="18" formatCode="General">
                  <c:v>122</c:v>
                </c:pt>
                <c:pt idx="19" formatCode="General">
                  <c:v>124</c:v>
                </c:pt>
                <c:pt idx="20" formatCode="General">
                  <c:v>85</c:v>
                </c:pt>
                <c:pt idx="21" formatCode="General">
                  <c:v>124</c:v>
                </c:pt>
                <c:pt idx="22" formatCode="General">
                  <c:v>114</c:v>
                </c:pt>
                <c:pt idx="23" formatCode="General">
                  <c:v>105</c:v>
                </c:pt>
                <c:pt idx="24" formatCode="General">
                  <c:v>104</c:v>
                </c:pt>
                <c:pt idx="25" formatCode="General">
                  <c:v>102</c:v>
                </c:pt>
                <c:pt idx="26" formatCode="General">
                  <c:v>38</c:v>
                </c:pt>
                <c:pt idx="27" formatCode="General">
                  <c:v>76</c:v>
                </c:pt>
              </c:numCache>
            </c:numRef>
          </c:yVal>
          <c:smooth val="1"/>
          <c:extLst>
            <c:ext xmlns:c16="http://schemas.microsoft.com/office/drawing/2014/chart" uri="{C3380CC4-5D6E-409C-BE32-E72D297353CC}">
              <c16:uniqueId val="{00000005-6551-4F8F-97F7-CC39D158E9D8}"/>
            </c:ext>
          </c:extLst>
        </c:ser>
        <c:ser>
          <c:idx val="9"/>
          <c:order val="6"/>
          <c:tx>
            <c:strRef>
              <c:f>'[Показатели (4).xlsx]Население'!$EW$13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[1]Население!$EX$3:$FY$3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[1]Население!$EX$13:$FY$13</c:f>
              <c:numCache>
                <c:formatCode>General</c:formatCode>
                <c:ptCount val="28"/>
                <c:pt idx="0">
                  <c:v>-17</c:v>
                </c:pt>
                <c:pt idx="1">
                  <c:v>28</c:v>
                </c:pt>
                <c:pt idx="2">
                  <c:v>22</c:v>
                </c:pt>
                <c:pt idx="3">
                  <c:v>54</c:v>
                </c:pt>
                <c:pt idx="4">
                  <c:v>47</c:v>
                </c:pt>
                <c:pt idx="5">
                  <c:v>29</c:v>
                </c:pt>
                <c:pt idx="6">
                  <c:v>22</c:v>
                </c:pt>
                <c:pt idx="7">
                  <c:v>1</c:v>
                </c:pt>
                <c:pt idx="8">
                  <c:v>-4</c:v>
                </c:pt>
                <c:pt idx="9">
                  <c:v>-18</c:v>
                </c:pt>
                <c:pt idx="10">
                  <c:v>-21</c:v>
                </c:pt>
                <c:pt idx="11">
                  <c:v>-12</c:v>
                </c:pt>
                <c:pt idx="12">
                  <c:v>-10</c:v>
                </c:pt>
                <c:pt idx="13">
                  <c:v>9</c:v>
                </c:pt>
                <c:pt idx="14">
                  <c:v>10</c:v>
                </c:pt>
                <c:pt idx="15">
                  <c:v>4</c:v>
                </c:pt>
                <c:pt idx="16">
                  <c:v>-8</c:v>
                </c:pt>
                <c:pt idx="17">
                  <c:v>19</c:v>
                </c:pt>
                <c:pt idx="18">
                  <c:v>13</c:v>
                </c:pt>
                <c:pt idx="19">
                  <c:v>12</c:v>
                </c:pt>
                <c:pt idx="20">
                  <c:v>16</c:v>
                </c:pt>
                <c:pt idx="21">
                  <c:v>10</c:v>
                </c:pt>
                <c:pt idx="22">
                  <c:v>8</c:v>
                </c:pt>
                <c:pt idx="23">
                  <c:v>-11</c:v>
                </c:pt>
                <c:pt idx="24">
                  <c:v>-26</c:v>
                </c:pt>
                <c:pt idx="25">
                  <c:v>5</c:v>
                </c:pt>
                <c:pt idx="26">
                  <c:v>-4</c:v>
                </c:pt>
                <c:pt idx="27">
                  <c:v>9</c:v>
                </c:pt>
              </c:numCache>
            </c:numRef>
          </c:yVal>
          <c:smooth val="1"/>
          <c:extLst>
            <c:ext xmlns:c16="http://schemas.microsoft.com/office/drawing/2014/chart" uri="{C3380CC4-5D6E-409C-BE32-E72D297353CC}">
              <c16:uniqueId val="{00000006-6551-4F8F-97F7-CC39D158E9D8}"/>
            </c:ext>
          </c:extLst>
        </c:ser>
        <c:dLbls>
          <c:showLegendKey val="0"/>
          <c:showVal val="0"/>
          <c:showCatName val="0"/>
          <c:showSerName val="0"/>
          <c:showPercent val="0"/>
          <c:showBubbleSize val="0"/>
        </c:dLbls>
        <c:axId val="314369152"/>
        <c:axId val="314371072"/>
      </c:scatterChart>
      <c:valAx>
        <c:axId val="314369152"/>
        <c:scaling>
          <c:orientation val="minMax"/>
          <c:max val="2021"/>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4371072"/>
        <c:crosses val="autoZero"/>
        <c:crossBetween val="midCat"/>
      </c:valAx>
      <c:valAx>
        <c:axId val="31437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369152"/>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Лист1!$A$93:$A$102</c:f>
              <c:strCache>
                <c:ptCount val="8"/>
                <c:pt idx="2">
                  <c:v>Год</c:v>
                </c:pt>
                <c:pt idx="3">
                  <c:v>Российская Федерация</c:v>
                </c:pt>
                <c:pt idx="4">
                  <c:v>Свердловская область</c:v>
                </c:pt>
                <c:pt idx="5">
                  <c:v>Тюменская область</c:v>
                </c:pt>
                <c:pt idx="6">
                  <c:v>в том числе:</c:v>
                </c:pt>
                <c:pt idx="7">
                  <c:v>Ханты-Мансийский автономный округ - Югра</c:v>
                </c:pt>
              </c:strCache>
              <c:extLst/>
            </c:strRef>
          </c:cat>
          <c:val>
            <c:numRef>
              <c:f>Лист1!$AC$93:$AC$102</c:f>
              <c:numCache>
                <c:formatCode>General</c:formatCode>
                <c:ptCount val="8"/>
                <c:pt idx="2">
                  <c:v>2021</c:v>
                </c:pt>
                <c:pt idx="3" formatCode="0.0">
                  <c:v>8.4996788321167891</c:v>
                </c:pt>
                <c:pt idx="4" formatCode="0.0">
                  <c:v>22.013381369016983</c:v>
                </c:pt>
                <c:pt idx="7" formatCode="0.0">
                  <c:v>3.1692221391174273</c:v>
                </c:pt>
              </c:numCache>
              <c:extLst/>
            </c:numRef>
          </c:val>
          <c:extLst>
            <c:ext xmlns:c16="http://schemas.microsoft.com/office/drawing/2014/chart" uri="{C3380CC4-5D6E-409C-BE32-E72D297353CC}">
              <c16:uniqueId val="{00000000-4D0D-4CD1-B927-2E67AA8BD8C1}"/>
            </c:ext>
          </c:extLst>
        </c:ser>
        <c:dLbls>
          <c:dLblPos val="outEnd"/>
          <c:showLegendKey val="0"/>
          <c:showVal val="1"/>
          <c:showCatName val="0"/>
          <c:showSerName val="0"/>
          <c:showPercent val="0"/>
          <c:showBubbleSize val="0"/>
        </c:dLbls>
        <c:gapWidth val="219"/>
        <c:axId val="314391936"/>
        <c:axId val="314394880"/>
      </c:barChart>
      <c:catAx>
        <c:axId val="31439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14394880"/>
        <c:crosses val="autoZero"/>
        <c:auto val="1"/>
        <c:lblAlgn val="ctr"/>
        <c:lblOffset val="100"/>
        <c:noMultiLvlLbl val="0"/>
      </c:catAx>
      <c:valAx>
        <c:axId val="314394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3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'Цены и тарифы'!$A$22</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'Цены и тарифы'!$E$21:$Y$21</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'Цены и тарифы'!$E$22:$Y$22</c:f>
              <c:numCache>
                <c:formatCode>General</c:formatCode>
                <c:ptCount val="21"/>
                <c:pt idx="0">
                  <c:v>2716.5</c:v>
                </c:pt>
                <c:pt idx="1">
                  <c:v>3196.7</c:v>
                </c:pt>
                <c:pt idx="2">
                  <c:v>3577</c:v>
                </c:pt>
                <c:pt idx="3">
                  <c:v>4091.1</c:v>
                </c:pt>
                <c:pt idx="4">
                  <c:v>4709.7</c:v>
                </c:pt>
                <c:pt idx="5">
                  <c:v>5231.3</c:v>
                </c:pt>
                <c:pt idx="6">
                  <c:v>6068.3</c:v>
                </c:pt>
                <c:pt idx="7">
                  <c:v>6973.6</c:v>
                </c:pt>
                <c:pt idx="8">
                  <c:v>7714.1</c:v>
                </c:pt>
                <c:pt idx="9">
                  <c:v>8711.7999999999993</c:v>
                </c:pt>
                <c:pt idx="10">
                  <c:v>9174.2000000000007</c:v>
                </c:pt>
                <c:pt idx="11">
                  <c:v>9868</c:v>
                </c:pt>
                <c:pt idx="12">
                  <c:v>10737</c:v>
                </c:pt>
                <c:pt idx="13">
                  <c:v>12034.9</c:v>
                </c:pt>
                <c:pt idx="14">
                  <c:v>13404.3</c:v>
                </c:pt>
                <c:pt idx="15">
                  <c:v>14212.1</c:v>
                </c:pt>
                <c:pt idx="16">
                  <c:v>14789.4</c:v>
                </c:pt>
                <c:pt idx="17">
                  <c:v>15467.9</c:v>
                </c:pt>
                <c:pt idx="18">
                  <c:v>16067.4</c:v>
                </c:pt>
                <c:pt idx="19">
                  <c:v>17052.7</c:v>
                </c:pt>
                <c:pt idx="20">
                  <c:v>18728.2</c:v>
                </c:pt>
              </c:numCache>
            </c:numRef>
          </c:yVal>
          <c:smooth val="1"/>
          <c:extLst>
            <c:ext xmlns:c16="http://schemas.microsoft.com/office/drawing/2014/chart" uri="{C3380CC4-5D6E-409C-BE32-E72D297353CC}">
              <c16:uniqueId val="{00000000-C087-4408-9778-64CF7E1AB4DC}"/>
            </c:ext>
          </c:extLst>
        </c:ser>
        <c:ser>
          <c:idx val="2"/>
          <c:order val="1"/>
          <c:tx>
            <c:strRef>
              <c:f>'Цены и тарифы'!$A$24</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'Цены и тарифы'!$E$21:$Y$21</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'Цены и тарифы'!$E$24:$Y$24</c:f>
              <c:numCache>
                <c:formatCode>General</c:formatCode>
                <c:ptCount val="21"/>
                <c:pt idx="0">
                  <c:v>2493.1</c:v>
                </c:pt>
                <c:pt idx="1">
                  <c:v>2895.7</c:v>
                </c:pt>
                <c:pt idx="2">
                  <c:v>3291.4</c:v>
                </c:pt>
                <c:pt idx="3">
                  <c:v>3665.9</c:v>
                </c:pt>
                <c:pt idx="4">
                  <c:v>4146.1000000000004</c:v>
                </c:pt>
                <c:pt idx="5">
                  <c:v>4639.1000000000004</c:v>
                </c:pt>
                <c:pt idx="6">
                  <c:v>5375.8</c:v>
                </c:pt>
                <c:pt idx="7">
                  <c:v>6163</c:v>
                </c:pt>
                <c:pt idx="8">
                  <c:v>6806.4</c:v>
                </c:pt>
                <c:pt idx="9">
                  <c:v>7728.1</c:v>
                </c:pt>
                <c:pt idx="10">
                  <c:v>8381.5</c:v>
                </c:pt>
                <c:pt idx="11">
                  <c:v>9015.9</c:v>
                </c:pt>
                <c:pt idx="12">
                  <c:v>9676.4</c:v>
                </c:pt>
                <c:pt idx="13">
                  <c:v>11069.7</c:v>
                </c:pt>
                <c:pt idx="14">
                  <c:v>12602.5</c:v>
                </c:pt>
                <c:pt idx="15">
                  <c:v>13520.7</c:v>
                </c:pt>
                <c:pt idx="16">
                  <c:v>13772.9</c:v>
                </c:pt>
                <c:pt idx="17">
                  <c:v>14495.7</c:v>
                </c:pt>
                <c:pt idx="18">
                  <c:v>14882.9</c:v>
                </c:pt>
                <c:pt idx="19">
                  <c:v>15579.5</c:v>
                </c:pt>
                <c:pt idx="20">
                  <c:v>16881.7</c:v>
                </c:pt>
              </c:numCache>
            </c:numRef>
          </c:yVal>
          <c:smooth val="1"/>
          <c:extLst>
            <c:ext xmlns:c16="http://schemas.microsoft.com/office/drawing/2014/chart" uri="{C3380CC4-5D6E-409C-BE32-E72D297353CC}">
              <c16:uniqueId val="{00000001-C087-4408-9778-64CF7E1AB4DC}"/>
            </c:ext>
          </c:extLst>
        </c:ser>
        <c:ser>
          <c:idx val="3"/>
          <c:order val="2"/>
          <c:tx>
            <c:strRef>
              <c:f>'Цены и тарифы'!$A$25</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'Цены и тарифы'!$E$21:$Y$21</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'Цены и тарифы'!$E$25:$Y$25</c:f>
              <c:numCache>
                <c:formatCode>General</c:formatCode>
                <c:ptCount val="21"/>
                <c:pt idx="0">
                  <c:v>2724.1</c:v>
                </c:pt>
                <c:pt idx="1">
                  <c:v>3228.3</c:v>
                </c:pt>
                <c:pt idx="2">
                  <c:v>3493.7</c:v>
                </c:pt>
                <c:pt idx="3">
                  <c:v>3909.3</c:v>
                </c:pt>
                <c:pt idx="4">
                  <c:v>4479.5</c:v>
                </c:pt>
                <c:pt idx="5">
                  <c:v>4998.6000000000004</c:v>
                </c:pt>
                <c:pt idx="6">
                  <c:v>5938.4</c:v>
                </c:pt>
                <c:pt idx="7">
                  <c:v>6905.4</c:v>
                </c:pt>
                <c:pt idx="8">
                  <c:v>7619.6</c:v>
                </c:pt>
                <c:pt idx="9">
                  <c:v>8747.9</c:v>
                </c:pt>
                <c:pt idx="10">
                  <c:v>9307</c:v>
                </c:pt>
                <c:pt idx="11">
                  <c:v>10094.9</c:v>
                </c:pt>
                <c:pt idx="12">
                  <c:v>10867.5</c:v>
                </c:pt>
                <c:pt idx="13">
                  <c:v>11770.3</c:v>
                </c:pt>
                <c:pt idx="14">
                  <c:v>13093.5</c:v>
                </c:pt>
                <c:pt idx="15">
                  <c:v>14028</c:v>
                </c:pt>
                <c:pt idx="16">
                  <c:v>14542.9</c:v>
                </c:pt>
                <c:pt idx="17">
                  <c:v>14839.8</c:v>
                </c:pt>
                <c:pt idx="18">
                  <c:v>15303.1</c:v>
                </c:pt>
                <c:pt idx="19">
                  <c:v>15921.1</c:v>
                </c:pt>
                <c:pt idx="20">
                  <c:v>17515.2</c:v>
                </c:pt>
              </c:numCache>
            </c:numRef>
          </c:yVal>
          <c:smooth val="1"/>
          <c:extLst>
            <c:ext xmlns:c16="http://schemas.microsoft.com/office/drawing/2014/chart" uri="{C3380CC4-5D6E-409C-BE32-E72D297353CC}">
              <c16:uniqueId val="{00000002-C087-4408-9778-64CF7E1AB4DC}"/>
            </c:ext>
          </c:extLst>
        </c:ser>
        <c:ser>
          <c:idx val="6"/>
          <c:order val="3"/>
          <c:tx>
            <c:strRef>
              <c:f>'Цены и тарифы'!$A$28</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'Цены и тарифы'!$E$21:$Y$21</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'Цены и тарифы'!$E$28:$Y$28</c:f>
              <c:numCache>
                <c:formatCode>General</c:formatCode>
                <c:ptCount val="21"/>
                <c:pt idx="0">
                  <c:v>3506.2</c:v>
                </c:pt>
                <c:pt idx="1">
                  <c:v>4328.5</c:v>
                </c:pt>
                <c:pt idx="2">
                  <c:v>4805.8</c:v>
                </c:pt>
                <c:pt idx="3">
                  <c:v>5635.4</c:v>
                </c:pt>
                <c:pt idx="4">
                  <c:v>6438.7</c:v>
                </c:pt>
                <c:pt idx="5">
                  <c:v>7387.1</c:v>
                </c:pt>
                <c:pt idx="6">
                  <c:v>8309.7999999999993</c:v>
                </c:pt>
                <c:pt idx="7">
                  <c:v>9704.5</c:v>
                </c:pt>
                <c:pt idx="8">
                  <c:v>10598.1</c:v>
                </c:pt>
                <c:pt idx="9">
                  <c:v>11509.7</c:v>
                </c:pt>
                <c:pt idx="10">
                  <c:v>12123.9</c:v>
                </c:pt>
                <c:pt idx="11">
                  <c:v>12943.5</c:v>
                </c:pt>
                <c:pt idx="12">
                  <c:v>13865.6</c:v>
                </c:pt>
                <c:pt idx="13">
                  <c:v>14687.7</c:v>
                </c:pt>
                <c:pt idx="14">
                  <c:v>16226.9</c:v>
                </c:pt>
                <c:pt idx="15">
                  <c:v>17200.099999999999</c:v>
                </c:pt>
                <c:pt idx="16">
                  <c:v>17561.900000000001</c:v>
                </c:pt>
                <c:pt idx="17">
                  <c:v>18087.400000000001</c:v>
                </c:pt>
                <c:pt idx="18">
                  <c:v>18896.7</c:v>
                </c:pt>
                <c:pt idx="19">
                  <c:v>20196.3</c:v>
                </c:pt>
                <c:pt idx="20">
                  <c:v>21091.4</c:v>
                </c:pt>
              </c:numCache>
            </c:numRef>
          </c:yVal>
          <c:smooth val="1"/>
          <c:extLst>
            <c:ext xmlns:c16="http://schemas.microsoft.com/office/drawing/2014/chart" uri="{C3380CC4-5D6E-409C-BE32-E72D297353CC}">
              <c16:uniqueId val="{00000003-C087-4408-9778-64CF7E1AB4DC}"/>
            </c:ext>
          </c:extLst>
        </c:ser>
        <c:ser>
          <c:idx val="7"/>
          <c:order val="4"/>
          <c:tx>
            <c:strRef>
              <c:f>'Цены и тарифы'!$A$29</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'Цены и тарифы'!$E$21:$Y$21</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'Цены и тарифы'!$E$29:$Y$29</c:f>
              <c:numCache>
                <c:formatCode>General</c:formatCode>
                <c:ptCount val="21"/>
                <c:pt idx="0">
                  <c:v>4132.3</c:v>
                </c:pt>
                <c:pt idx="1">
                  <c:v>4836.3999999999996</c:v>
                </c:pt>
                <c:pt idx="2">
                  <c:v>5444.9</c:v>
                </c:pt>
                <c:pt idx="3">
                  <c:v>6180.9</c:v>
                </c:pt>
                <c:pt idx="4">
                  <c:v>7195</c:v>
                </c:pt>
                <c:pt idx="5">
                  <c:v>8017.5</c:v>
                </c:pt>
                <c:pt idx="6">
                  <c:v>8924.1</c:v>
                </c:pt>
                <c:pt idx="7">
                  <c:v>10561.3</c:v>
                </c:pt>
                <c:pt idx="8">
                  <c:v>11892.6</c:v>
                </c:pt>
                <c:pt idx="9">
                  <c:v>12684.3</c:v>
                </c:pt>
                <c:pt idx="10">
                  <c:v>13231.6</c:v>
                </c:pt>
                <c:pt idx="11">
                  <c:v>13625.7</c:v>
                </c:pt>
                <c:pt idx="12">
                  <c:v>14563.7</c:v>
                </c:pt>
                <c:pt idx="13">
                  <c:v>16038</c:v>
                </c:pt>
                <c:pt idx="14">
                  <c:v>17576</c:v>
                </c:pt>
                <c:pt idx="15">
                  <c:v>18375.7</c:v>
                </c:pt>
                <c:pt idx="16">
                  <c:v>18837</c:v>
                </c:pt>
                <c:pt idx="17">
                  <c:v>18911.099999999999</c:v>
                </c:pt>
                <c:pt idx="18">
                  <c:v>19409.400000000001</c:v>
                </c:pt>
                <c:pt idx="19">
                  <c:v>20135.3</c:v>
                </c:pt>
                <c:pt idx="20">
                  <c:v>22440.5</c:v>
                </c:pt>
              </c:numCache>
            </c:numRef>
          </c:yVal>
          <c:smooth val="1"/>
          <c:extLst>
            <c:ext xmlns:c16="http://schemas.microsoft.com/office/drawing/2014/chart" uri="{C3380CC4-5D6E-409C-BE32-E72D297353CC}">
              <c16:uniqueId val="{00000004-C087-4408-9778-64CF7E1AB4DC}"/>
            </c:ext>
          </c:extLst>
        </c:ser>
        <c:ser>
          <c:idx val="8"/>
          <c:order val="5"/>
          <c:tx>
            <c:strRef>
              <c:f>'Цены и тарифы'!$A$30</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'Цены и тарифы'!$E$21:$Y$21</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'Цены и тарифы'!$E$30:$Y$30</c:f>
              <c:numCache>
                <c:formatCode>General</c:formatCode>
                <c:ptCount val="21"/>
                <c:pt idx="0">
                  <c:v>2367.0999999999985</c:v>
                </c:pt>
                <c:pt idx="1">
                  <c:v>2817.3999999999996</c:v>
                </c:pt>
                <c:pt idx="2">
                  <c:v>3175.8000000000011</c:v>
                </c:pt>
                <c:pt idx="3">
                  <c:v>3498.1000000000022</c:v>
                </c:pt>
                <c:pt idx="4">
                  <c:v>3810.3999999999978</c:v>
                </c:pt>
                <c:pt idx="5">
                  <c:v>4351.3000000000011</c:v>
                </c:pt>
                <c:pt idx="6">
                  <c:v>5086.6999999999989</c:v>
                </c:pt>
                <c:pt idx="7">
                  <c:v>5975.2000000000007</c:v>
                </c:pt>
                <c:pt idx="8">
                  <c:v>6269.6999999999953</c:v>
                </c:pt>
                <c:pt idx="9">
                  <c:v>7328.5</c:v>
                </c:pt>
                <c:pt idx="10">
                  <c:v>7902.1999999999953</c:v>
                </c:pt>
                <c:pt idx="11">
                  <c:v>8829.6000000000022</c:v>
                </c:pt>
                <c:pt idx="12">
                  <c:v>10540.9</c:v>
                </c:pt>
                <c:pt idx="13">
                  <c:v>11588.7</c:v>
                </c:pt>
                <c:pt idx="14">
                  <c:v>13051</c:v>
                </c:pt>
                <c:pt idx="15">
                  <c:v>13725.8</c:v>
                </c:pt>
                <c:pt idx="16">
                  <c:v>14286.7</c:v>
                </c:pt>
                <c:pt idx="17">
                  <c:v>14912.5</c:v>
                </c:pt>
                <c:pt idx="18">
                  <c:v>15145.7</c:v>
                </c:pt>
                <c:pt idx="19">
                  <c:v>15958.7</c:v>
                </c:pt>
                <c:pt idx="20">
                  <c:v>17288.3</c:v>
                </c:pt>
              </c:numCache>
            </c:numRef>
          </c:yVal>
          <c:smooth val="1"/>
          <c:extLst>
            <c:ext xmlns:c16="http://schemas.microsoft.com/office/drawing/2014/chart" uri="{C3380CC4-5D6E-409C-BE32-E72D297353CC}">
              <c16:uniqueId val="{00000005-C087-4408-9778-64CF7E1AB4DC}"/>
            </c:ext>
          </c:extLst>
        </c:ser>
        <c:ser>
          <c:idx val="9"/>
          <c:order val="6"/>
          <c:tx>
            <c:strRef>
              <c:f>'Цены и тарифы'!$A$31</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'Цены и тарифы'!$E$21:$Y$21</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'Цены и тарифы'!$E$31:$Y$31</c:f>
              <c:numCache>
                <c:formatCode>General</c:formatCode>
                <c:ptCount val="21"/>
                <c:pt idx="0">
                  <c:v>2652.6</c:v>
                </c:pt>
                <c:pt idx="1">
                  <c:v>2981.2</c:v>
                </c:pt>
                <c:pt idx="2">
                  <c:v>3269.1</c:v>
                </c:pt>
                <c:pt idx="3">
                  <c:v>3729.4</c:v>
                </c:pt>
                <c:pt idx="4">
                  <c:v>4204</c:v>
                </c:pt>
                <c:pt idx="5">
                  <c:v>4693.6000000000004</c:v>
                </c:pt>
                <c:pt idx="6">
                  <c:v>5449.3</c:v>
                </c:pt>
                <c:pt idx="7">
                  <c:v>6304.3</c:v>
                </c:pt>
                <c:pt idx="8">
                  <c:v>6872.9</c:v>
                </c:pt>
                <c:pt idx="9">
                  <c:v>7796.9</c:v>
                </c:pt>
                <c:pt idx="10">
                  <c:v>8342.7999999999993</c:v>
                </c:pt>
                <c:pt idx="11">
                  <c:v>9106.4</c:v>
                </c:pt>
                <c:pt idx="12">
                  <c:v>9815.1</c:v>
                </c:pt>
                <c:pt idx="13">
                  <c:v>10958.1</c:v>
                </c:pt>
                <c:pt idx="14">
                  <c:v>12161</c:v>
                </c:pt>
                <c:pt idx="15">
                  <c:v>12802.6</c:v>
                </c:pt>
                <c:pt idx="16">
                  <c:v>12870</c:v>
                </c:pt>
                <c:pt idx="17">
                  <c:v>13511.6</c:v>
                </c:pt>
                <c:pt idx="18">
                  <c:v>13742.2</c:v>
                </c:pt>
                <c:pt idx="19">
                  <c:v>14522</c:v>
                </c:pt>
                <c:pt idx="20">
                  <c:v>16327.4</c:v>
                </c:pt>
              </c:numCache>
            </c:numRef>
          </c:yVal>
          <c:smooth val="1"/>
          <c:extLst>
            <c:ext xmlns:c16="http://schemas.microsoft.com/office/drawing/2014/chart" uri="{C3380CC4-5D6E-409C-BE32-E72D297353CC}">
              <c16:uniqueId val="{00000006-C087-4408-9778-64CF7E1AB4DC}"/>
            </c:ext>
          </c:extLst>
        </c:ser>
        <c:dLbls>
          <c:showLegendKey val="0"/>
          <c:showVal val="0"/>
          <c:showCatName val="0"/>
          <c:showSerName val="0"/>
          <c:showPercent val="0"/>
          <c:showBubbleSize val="0"/>
        </c:dLbls>
        <c:axId val="314526336"/>
        <c:axId val="314532608"/>
      </c:scatterChart>
      <c:valAx>
        <c:axId val="314526336"/>
        <c:scaling>
          <c:orientation val="minMax"/>
          <c:max val="2021"/>
          <c:min val="200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532608"/>
        <c:crosses val="autoZero"/>
        <c:crossBetween val="midCat"/>
      </c:valAx>
      <c:valAx>
        <c:axId val="31453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5263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'Цены и тарифы'!$A$38</c:f>
              <c:strCache>
                <c:ptCount val="1"/>
                <c:pt idx="0">
                  <c:v>Российская Федерация</c:v>
                </c:pt>
              </c:strCache>
            </c:strRef>
          </c:tx>
          <c:spPr>
            <a:ln w="28575" cap="rnd">
              <a:solidFill>
                <a:schemeClr val="accent1"/>
              </a:solidFill>
              <a:round/>
            </a:ln>
            <a:effectLst/>
          </c:spPr>
          <c:marker>
            <c:symbol val="none"/>
          </c:marker>
          <c:cat>
            <c:numRef>
              <c:f>'Цены и тарифы'!$D$37:$Y$37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'Цены и тарифы'!$D$38:$Y$38</c:f>
              <c:numCache>
                <c:formatCode>General</c:formatCode>
                <c:ptCount val="22"/>
                <c:pt idx="0">
                  <c:v>0.20180000000000006</c:v>
                </c:pt>
                <c:pt idx="1">
                  <c:v>0.18579999999999999</c:v>
                </c:pt>
                <c:pt idx="2">
                  <c:v>0.1767715810785937</c:v>
                </c:pt>
                <c:pt idx="3">
                  <c:v>0.11896643413520198</c:v>
                </c:pt>
                <c:pt idx="4">
                  <c:v>0.14372379088621748</c:v>
                </c:pt>
                <c:pt idx="5">
                  <c:v>0.15120627704040476</c:v>
                </c:pt>
                <c:pt idx="6">
                  <c:v>0.1107501539376182</c:v>
                </c:pt>
                <c:pt idx="7">
                  <c:v>0.15999847074340987</c:v>
                </c:pt>
                <c:pt idx="8">
                  <c:v>0.14918510950348535</c:v>
                </c:pt>
                <c:pt idx="9">
                  <c:v>0.10618618790868417</c:v>
                </c:pt>
                <c:pt idx="10">
                  <c:v>0.12933459509210393</c:v>
                </c:pt>
                <c:pt idx="11">
                  <c:v>5.3077435202828517E-2</c:v>
                </c:pt>
                <c:pt idx="12">
                  <c:v>7.5625122626495955E-2</c:v>
                </c:pt>
                <c:pt idx="13">
                  <c:v>8.8062423996757191E-2</c:v>
                </c:pt>
                <c:pt idx="14">
                  <c:v>0.1208810654745273</c:v>
                </c:pt>
                <c:pt idx="15">
                  <c:v>0.11378573980672874</c:v>
                </c:pt>
                <c:pt idx="16">
                  <c:v>6.026424356363265E-2</c:v>
                </c:pt>
                <c:pt idx="17">
                  <c:v>4.0620316490877439E-2</c:v>
                </c:pt>
                <c:pt idx="18">
                  <c:v>4.5877452770227325E-2</c:v>
                </c:pt>
                <c:pt idx="19">
                  <c:v>3.8757685270786595E-2</c:v>
                </c:pt>
                <c:pt idx="20">
                  <c:v>6.1322927169299393E-2</c:v>
                </c:pt>
                <c:pt idx="21">
                  <c:v>9.8254235399672776E-2</c:v>
                </c:pt>
              </c:numCache>
            </c:numRef>
          </c:val>
          <c:smooth val="0"/>
          <c:extLst>
            <c:ext xmlns:c16="http://schemas.microsoft.com/office/drawing/2014/chart" uri="{C3380CC4-5D6E-409C-BE32-E72D297353CC}">
              <c16:uniqueId val="{00000000-A0B2-4887-97CF-069016809C62}"/>
            </c:ext>
          </c:extLst>
        </c:ser>
        <c:ser>
          <c:idx val="1"/>
          <c:order val="1"/>
          <c:tx>
            <c:strRef>
              <c:f>'Цены и тарифы'!$A$39</c:f>
              <c:strCache>
                <c:ptCount val="1"/>
                <c:pt idx="0">
                  <c:v>Уральский ФО</c:v>
                </c:pt>
              </c:strCache>
            </c:strRef>
          </c:tx>
          <c:spPr>
            <a:ln w="28575" cap="rnd">
              <a:solidFill>
                <a:schemeClr val="accent2"/>
              </a:solidFill>
              <a:round/>
            </a:ln>
            <a:effectLst/>
          </c:spPr>
          <c:marker>
            <c:symbol val="none"/>
          </c:marker>
          <c:cat>
            <c:numRef>
              <c:f>'Цены и тарифы'!$D$37:$Y$37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'Цены и тарифы'!$D$39:$Y$39</c:f>
              <c:numCache>
                <c:formatCode>General</c:formatCode>
                <c:ptCount val="22"/>
                <c:pt idx="0">
                  <c:v>0.22180000000000008</c:v>
                </c:pt>
                <c:pt idx="1">
                  <c:v>0.20499999999999999</c:v>
                </c:pt>
                <c:pt idx="2">
                  <c:v>0.16610921381544191</c:v>
                </c:pt>
                <c:pt idx="3">
                  <c:v>0.1073337157694514</c:v>
                </c:pt>
                <c:pt idx="4">
                  <c:v>0.13101210600937957</c:v>
                </c:pt>
                <c:pt idx="5">
                  <c:v>0.13991948120826392</c:v>
                </c:pt>
                <c:pt idx="6">
                  <c:v>0.12172993549751515</c:v>
                </c:pt>
                <c:pt idx="7">
                  <c:v>0.16102637582247684</c:v>
                </c:pt>
                <c:pt idx="8">
                  <c:v>0.16439868792829082</c:v>
                </c:pt>
                <c:pt idx="9">
                  <c:v>9.9238557442891728E-2</c:v>
                </c:pt>
                <c:pt idx="10">
                  <c:v>0.1264240947958693</c:v>
                </c:pt>
                <c:pt idx="11">
                  <c:v>5.7992724160068433E-2</c:v>
                </c:pt>
                <c:pt idx="12">
                  <c:v>7.7584738545392523E-2</c:v>
                </c:pt>
                <c:pt idx="13">
                  <c:v>8.2223583339919498E-2</c:v>
                </c:pt>
                <c:pt idx="14">
                  <c:v>9.811313865281561E-2</c:v>
                </c:pt>
                <c:pt idx="15">
                  <c:v>0.11449353672222447</c:v>
                </c:pt>
                <c:pt idx="16">
                  <c:v>5.4427603902497297E-2</c:v>
                </c:pt>
                <c:pt idx="17">
                  <c:v>3.5744349732960722E-2</c:v>
                </c:pt>
                <c:pt idx="18">
                  <c:v>2.4785204004972167E-2</c:v>
                </c:pt>
                <c:pt idx="19">
                  <c:v>2.5385379247835654E-2</c:v>
                </c:pt>
                <c:pt idx="20">
                  <c:v>4.9273346505823649E-2</c:v>
                </c:pt>
                <c:pt idx="21">
                  <c:v>0.10223183037345823</c:v>
                </c:pt>
              </c:numCache>
            </c:numRef>
          </c:val>
          <c:smooth val="0"/>
          <c:extLst>
            <c:ext xmlns:c16="http://schemas.microsoft.com/office/drawing/2014/chart" uri="{C3380CC4-5D6E-409C-BE32-E72D297353CC}">
              <c16:uniqueId val="{00000001-A0B2-4887-97CF-069016809C62}"/>
            </c:ext>
          </c:extLst>
        </c:ser>
        <c:ser>
          <c:idx val="2"/>
          <c:order val="2"/>
          <c:tx>
            <c:strRef>
              <c:f>'Цены и тарифы'!$A$40</c:f>
              <c:strCache>
                <c:ptCount val="1"/>
                <c:pt idx="0">
                  <c:v>Курганская область</c:v>
                </c:pt>
              </c:strCache>
            </c:strRef>
          </c:tx>
          <c:spPr>
            <a:ln w="28575" cap="rnd">
              <a:solidFill>
                <a:schemeClr val="accent3"/>
              </a:solidFill>
              <a:round/>
            </a:ln>
            <a:effectLst/>
          </c:spPr>
          <c:marker>
            <c:symbol val="none"/>
          </c:marker>
          <c:cat>
            <c:numRef>
              <c:f>'Цены и тарифы'!$D$37:$Y$37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'Цены и тарифы'!$D$40:$Y$40</c:f>
              <c:numCache>
                <c:formatCode>General</c:formatCode>
                <c:ptCount val="22"/>
                <c:pt idx="0">
                  <c:v>0.19310000000000002</c:v>
                </c:pt>
                <c:pt idx="1">
                  <c:v>0.27829999999999999</c:v>
                </c:pt>
                <c:pt idx="2">
                  <c:v>0.16148570053347236</c:v>
                </c:pt>
                <c:pt idx="3">
                  <c:v>0.13665089615636988</c:v>
                </c:pt>
                <c:pt idx="4">
                  <c:v>0.1137813696299447</c:v>
                </c:pt>
                <c:pt idx="5">
                  <c:v>0.13099102539621929</c:v>
                </c:pt>
                <c:pt idx="6">
                  <c:v>0.11890692457972551</c:v>
                </c:pt>
                <c:pt idx="7">
                  <c:v>0.15880235390485217</c:v>
                </c:pt>
                <c:pt idx="8">
                  <c:v>0.14643401912273518</c:v>
                </c:pt>
                <c:pt idx="9">
                  <c:v>0.10439720915138725</c:v>
                </c:pt>
                <c:pt idx="10">
                  <c:v>0.13541666666666677</c:v>
                </c:pt>
                <c:pt idx="11">
                  <c:v>8.454859538567043E-2</c:v>
                </c:pt>
                <c:pt idx="12">
                  <c:v>7.5690508858796121E-2</c:v>
                </c:pt>
                <c:pt idx="13">
                  <c:v>7.325946383611176E-2</c:v>
                </c:pt>
                <c:pt idx="14">
                  <c:v>0.1439895002273574</c:v>
                </c:pt>
                <c:pt idx="15">
                  <c:v>0.13846807049874876</c:v>
                </c:pt>
                <c:pt idx="16">
                  <c:v>7.2858559809561657E-2</c:v>
                </c:pt>
                <c:pt idx="17">
                  <c:v>1.8652880398204154E-2</c:v>
                </c:pt>
                <c:pt idx="18">
                  <c:v>5.2479869889420612E-2</c:v>
                </c:pt>
                <c:pt idx="19">
                  <c:v>2.6711369578564601E-2</c:v>
                </c:pt>
                <c:pt idx="20">
                  <c:v>4.6805394110018904E-2</c:v>
                </c:pt>
                <c:pt idx="21">
                  <c:v>8.3584197182194592E-2</c:v>
                </c:pt>
              </c:numCache>
            </c:numRef>
          </c:val>
          <c:smooth val="0"/>
          <c:extLst>
            <c:ext xmlns:c16="http://schemas.microsoft.com/office/drawing/2014/chart" uri="{C3380CC4-5D6E-409C-BE32-E72D297353CC}">
              <c16:uniqueId val="{00000002-A0B2-4887-97CF-069016809C62}"/>
            </c:ext>
          </c:extLst>
        </c:ser>
        <c:ser>
          <c:idx val="3"/>
          <c:order val="3"/>
          <c:tx>
            <c:strRef>
              <c:f>'Цены и тарифы'!$A$41</c:f>
              <c:strCache>
                <c:ptCount val="1"/>
                <c:pt idx="0">
                  <c:v>Свердловская область</c:v>
                </c:pt>
              </c:strCache>
            </c:strRef>
          </c:tx>
          <c:spPr>
            <a:ln w="28575" cap="rnd">
              <a:solidFill>
                <a:schemeClr val="accent4"/>
              </a:solidFill>
              <a:round/>
            </a:ln>
            <a:effectLst/>
          </c:spPr>
          <c:marker>
            <c:symbol val="none"/>
          </c:marker>
          <c:cat>
            <c:numRef>
              <c:f>'Цены и тарифы'!$D$37:$Y$37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'Цены и тарифы'!$D$41:$Y$41</c:f>
              <c:numCache>
                <c:formatCode>General</c:formatCode>
                <c:ptCount val="22"/>
                <c:pt idx="0">
                  <c:v>0.23930000000000007</c:v>
                </c:pt>
                <c:pt idx="1">
                  <c:v>0.2014</c:v>
                </c:pt>
                <c:pt idx="2">
                  <c:v>0.18508865313314499</c:v>
                </c:pt>
                <c:pt idx="3">
                  <c:v>8.2210451321128655E-2</c:v>
                </c:pt>
                <c:pt idx="4">
                  <c:v>0.11895697970632864</c:v>
                </c:pt>
                <c:pt idx="5">
                  <c:v>0.14585731460875342</c:v>
                </c:pt>
                <c:pt idx="6">
                  <c:v>0.11588346913718058</c:v>
                </c:pt>
                <c:pt idx="7">
                  <c:v>0.18801264354019109</c:v>
                </c:pt>
                <c:pt idx="8">
                  <c:v>0.16283847501010373</c:v>
                </c:pt>
                <c:pt idx="9">
                  <c:v>0.10342630405190152</c:v>
                </c:pt>
                <c:pt idx="10">
                  <c:v>0.14807863929865075</c:v>
                </c:pt>
                <c:pt idx="11">
                  <c:v>6.391248185278757E-2</c:v>
                </c:pt>
                <c:pt idx="12">
                  <c:v>8.4656710003223334E-2</c:v>
                </c:pt>
                <c:pt idx="13">
                  <c:v>7.6533695232246027E-2</c:v>
                </c:pt>
                <c:pt idx="14">
                  <c:v>8.3073383942949094E-2</c:v>
                </c:pt>
                <c:pt idx="15">
                  <c:v>0.1124185449818612</c:v>
                </c:pt>
                <c:pt idx="16">
                  <c:v>7.1371291098636727E-2</c:v>
                </c:pt>
                <c:pt idx="17">
                  <c:v>3.6705161106358686E-2</c:v>
                </c:pt>
                <c:pt idx="18">
                  <c:v>2.0415460465244183E-2</c:v>
                </c:pt>
                <c:pt idx="19">
                  <c:v>3.1220097305893684E-2</c:v>
                </c:pt>
                <c:pt idx="20">
                  <c:v>4.0383974488829057E-2</c:v>
                </c:pt>
                <c:pt idx="21">
                  <c:v>0.10012499136366208</c:v>
                </c:pt>
              </c:numCache>
            </c:numRef>
          </c:val>
          <c:smooth val="0"/>
          <c:extLst>
            <c:ext xmlns:c16="http://schemas.microsoft.com/office/drawing/2014/chart" uri="{C3380CC4-5D6E-409C-BE32-E72D297353CC}">
              <c16:uniqueId val="{00000003-A0B2-4887-97CF-069016809C62}"/>
            </c:ext>
          </c:extLst>
        </c:ser>
        <c:ser>
          <c:idx val="6"/>
          <c:order val="4"/>
          <c:tx>
            <c:strRef>
              <c:f>'Цены и тарифы'!$A$44</c:f>
              <c:strCache>
                <c:ptCount val="1"/>
                <c:pt idx="0">
                  <c:v>Ханты-Мансийский автономный округ - Югра</c:v>
                </c:pt>
              </c:strCache>
            </c:strRef>
          </c:tx>
          <c:spPr>
            <a:ln w="28575" cap="rnd">
              <a:solidFill>
                <a:schemeClr val="accent1">
                  <a:lumMod val="60000"/>
                </a:schemeClr>
              </a:solidFill>
              <a:round/>
            </a:ln>
            <a:effectLst/>
          </c:spPr>
          <c:marker>
            <c:symbol val="none"/>
          </c:marker>
          <c:cat>
            <c:numRef>
              <c:f>'Цены и тарифы'!$D$37:$Y$37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'Цены и тарифы'!$D$44:$Y$44</c:f>
              <c:numCache>
                <c:formatCode>General</c:formatCode>
                <c:ptCount val="22"/>
                <c:pt idx="0">
                  <c:v>0.21319999999999995</c:v>
                </c:pt>
                <c:pt idx="1">
                  <c:v>0.19239999999999996</c:v>
                </c:pt>
                <c:pt idx="2">
                  <c:v>0.23452740859049689</c:v>
                </c:pt>
                <c:pt idx="3">
                  <c:v>0.11026914635555046</c:v>
                </c:pt>
                <c:pt idx="4">
                  <c:v>0.1726247450996711</c:v>
                </c:pt>
                <c:pt idx="5">
                  <c:v>0.14254533839656461</c:v>
                </c:pt>
                <c:pt idx="6">
                  <c:v>0.14729681457437069</c:v>
                </c:pt>
                <c:pt idx="7">
                  <c:v>0.12490693235505122</c:v>
                </c:pt>
                <c:pt idx="8">
                  <c:v>0.16783797443981816</c:v>
                </c:pt>
                <c:pt idx="9">
                  <c:v>9.2080993353598886E-2</c:v>
                </c:pt>
                <c:pt idx="10">
                  <c:v>8.6015417857917956E-2</c:v>
                </c:pt>
                <c:pt idx="11">
                  <c:v>5.3363684544340761E-2</c:v>
                </c:pt>
                <c:pt idx="12">
                  <c:v>6.7602009254447856E-2</c:v>
                </c:pt>
                <c:pt idx="13">
                  <c:v>7.1240390929810354E-2</c:v>
                </c:pt>
                <c:pt idx="14">
                  <c:v>5.9290618509116114E-2</c:v>
                </c:pt>
                <c:pt idx="15">
                  <c:v>0.10479516874663826</c:v>
                </c:pt>
                <c:pt idx="16">
                  <c:v>5.9974486808940644E-2</c:v>
                </c:pt>
                <c:pt idx="17">
                  <c:v>2.1034761425805834E-2</c:v>
                </c:pt>
                <c:pt idx="18">
                  <c:v>2.9922730456271814E-2</c:v>
                </c:pt>
                <c:pt idx="19">
                  <c:v>4.4743854838174599E-2</c:v>
                </c:pt>
                <c:pt idx="20">
                  <c:v>6.877391290542785E-2</c:v>
                </c:pt>
                <c:pt idx="21">
                  <c:v>4.4319999207775788E-2</c:v>
                </c:pt>
              </c:numCache>
            </c:numRef>
          </c:val>
          <c:smooth val="0"/>
          <c:extLst>
            <c:ext xmlns:c16="http://schemas.microsoft.com/office/drawing/2014/chart" uri="{C3380CC4-5D6E-409C-BE32-E72D297353CC}">
              <c16:uniqueId val="{00000004-A0B2-4887-97CF-069016809C62}"/>
            </c:ext>
          </c:extLst>
        </c:ser>
        <c:ser>
          <c:idx val="7"/>
          <c:order val="5"/>
          <c:tx>
            <c:strRef>
              <c:f>'Цены и тарифы'!$A$45</c:f>
              <c:strCache>
                <c:ptCount val="1"/>
                <c:pt idx="0">
                  <c:v>Ямало-Ненецкий автономный округ</c:v>
                </c:pt>
              </c:strCache>
            </c:strRef>
          </c:tx>
          <c:spPr>
            <a:ln w="28575" cap="rnd">
              <a:solidFill>
                <a:schemeClr val="accent2">
                  <a:lumMod val="60000"/>
                </a:schemeClr>
              </a:solidFill>
              <a:round/>
            </a:ln>
            <a:effectLst/>
          </c:spPr>
          <c:marker>
            <c:symbol val="none"/>
          </c:marker>
          <c:cat>
            <c:numRef>
              <c:f>'Цены и тарифы'!$D$37:$Y$37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'Цены и тарифы'!$D$45:$Y$45</c:f>
              <c:numCache>
                <c:formatCode>General</c:formatCode>
                <c:ptCount val="22"/>
                <c:pt idx="0">
                  <c:v>0.18680000000000008</c:v>
                </c:pt>
                <c:pt idx="1">
                  <c:v>0.22909999999999997</c:v>
                </c:pt>
                <c:pt idx="2">
                  <c:v>0.17038937153643235</c:v>
                </c:pt>
                <c:pt idx="3">
                  <c:v>0.12581672318253248</c:v>
                </c:pt>
                <c:pt idx="4">
                  <c:v>0.13517236312879943</c:v>
                </c:pt>
                <c:pt idx="5">
                  <c:v>0.16406995744956243</c:v>
                </c:pt>
                <c:pt idx="6">
                  <c:v>0.11431549687282835</c:v>
                </c:pt>
                <c:pt idx="7">
                  <c:v>0.11307764265668854</c:v>
                </c:pt>
                <c:pt idx="8">
                  <c:v>0.18345827590457289</c:v>
                </c:pt>
                <c:pt idx="9">
                  <c:v>0.12605455767755874</c:v>
                </c:pt>
                <c:pt idx="10">
                  <c:v>6.6570808738206852E-2</c:v>
                </c:pt>
                <c:pt idx="11">
                  <c:v>4.3147828417807926E-2</c:v>
                </c:pt>
                <c:pt idx="12">
                  <c:v>2.9784757701260645E-2</c:v>
                </c:pt>
                <c:pt idx="13">
                  <c:v>6.8840499937617886E-2</c:v>
                </c:pt>
                <c:pt idx="14">
                  <c:v>0.10123114318476756</c:v>
                </c:pt>
                <c:pt idx="15">
                  <c:v>9.5897244045392196E-2</c:v>
                </c:pt>
                <c:pt idx="16">
                  <c:v>4.5499544833864404E-2</c:v>
                </c:pt>
                <c:pt idx="17">
                  <c:v>2.5103805569311605E-2</c:v>
                </c:pt>
                <c:pt idx="18">
                  <c:v>3.9337474120082041E-3</c:v>
                </c:pt>
                <c:pt idx="19">
                  <c:v>2.6349604200707678E-2</c:v>
                </c:pt>
                <c:pt idx="20">
                  <c:v>3.7399404412294959E-2</c:v>
                </c:pt>
                <c:pt idx="21">
                  <c:v>0.114485505554921</c:v>
                </c:pt>
              </c:numCache>
            </c:numRef>
          </c:val>
          <c:smooth val="0"/>
          <c:extLst>
            <c:ext xmlns:c16="http://schemas.microsoft.com/office/drawing/2014/chart" uri="{C3380CC4-5D6E-409C-BE32-E72D297353CC}">
              <c16:uniqueId val="{00000005-A0B2-4887-97CF-069016809C62}"/>
            </c:ext>
          </c:extLst>
        </c:ser>
        <c:ser>
          <c:idx val="8"/>
          <c:order val="6"/>
          <c:tx>
            <c:strRef>
              <c:f>'Цены и тарифы'!$A$46</c:f>
              <c:strCache>
                <c:ptCount val="1"/>
                <c:pt idx="0">
                  <c:v>Тюменская область без ХМАО и ЯНАО</c:v>
                </c:pt>
              </c:strCache>
            </c:strRef>
          </c:tx>
          <c:spPr>
            <a:ln w="28575" cap="rnd">
              <a:solidFill>
                <a:schemeClr val="accent3">
                  <a:lumMod val="60000"/>
                </a:schemeClr>
              </a:solidFill>
              <a:round/>
            </a:ln>
            <a:effectLst/>
          </c:spPr>
          <c:marker>
            <c:symbol val="none"/>
          </c:marker>
          <c:cat>
            <c:numRef>
              <c:f>'Цены и тарифы'!$D$37:$Y$37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'Цены и тарифы'!$D$46:$Y$46</c:f>
              <c:numCache>
                <c:formatCode>General</c:formatCode>
                <c:ptCount val="22"/>
                <c:pt idx="0">
                  <c:v>0.21210242689695305</c:v>
                </c:pt>
                <c:pt idx="1">
                  <c:v>0.20297303434210931</c:v>
                </c:pt>
                <c:pt idx="2">
                  <c:v>0.19023277428076607</c:v>
                </c:pt>
                <c:pt idx="3">
                  <c:v>0.12720948392134646</c:v>
                </c:pt>
                <c:pt idx="4">
                  <c:v>0.10148623968763806</c:v>
                </c:pt>
                <c:pt idx="5">
                  <c:v>8.9277036105313012E-2</c:v>
                </c:pt>
                <c:pt idx="6">
                  <c:v>0.14195360067184642</c:v>
                </c:pt>
                <c:pt idx="7">
                  <c:v>0.16900696343621391</c:v>
                </c:pt>
                <c:pt idx="8">
                  <c:v>0.17467120136827452</c:v>
                </c:pt>
                <c:pt idx="9">
                  <c:v>4.9287053153031612E-2</c:v>
                </c:pt>
                <c:pt idx="10">
                  <c:v>0.16887570378168101</c:v>
                </c:pt>
                <c:pt idx="11">
                  <c:v>7.8283414068362589E-2</c:v>
                </c:pt>
                <c:pt idx="12">
                  <c:v>0.11735972260889467</c:v>
                </c:pt>
                <c:pt idx="13">
                  <c:v>0.19381398930868862</c:v>
                </c:pt>
                <c:pt idx="14">
                  <c:v>9.9403276760049064E-2</c:v>
                </c:pt>
                <c:pt idx="15">
                  <c:v>0.12618326473202338</c:v>
                </c:pt>
                <c:pt idx="16">
                  <c:v>5.1704850203049518E-2</c:v>
                </c:pt>
                <c:pt idx="17">
                  <c:v>4.0864649055064296E-2</c:v>
                </c:pt>
                <c:pt idx="18">
                  <c:v>4.3802977594545926E-2</c:v>
                </c:pt>
                <c:pt idx="19">
                  <c:v>1.5637887678122429E-2</c:v>
                </c:pt>
                <c:pt idx="20">
                  <c:v>5.3678601847389026E-2</c:v>
                </c:pt>
                <c:pt idx="21">
                  <c:v>8.3315056990857561E-2</c:v>
                </c:pt>
              </c:numCache>
            </c:numRef>
          </c:val>
          <c:smooth val="0"/>
          <c:extLst>
            <c:ext xmlns:c16="http://schemas.microsoft.com/office/drawing/2014/chart" uri="{C3380CC4-5D6E-409C-BE32-E72D297353CC}">
              <c16:uniqueId val="{00000006-A0B2-4887-97CF-069016809C62}"/>
            </c:ext>
          </c:extLst>
        </c:ser>
        <c:ser>
          <c:idx val="9"/>
          <c:order val="7"/>
          <c:tx>
            <c:strRef>
              <c:f>'Цены и тарифы'!$A$47</c:f>
              <c:strCache>
                <c:ptCount val="1"/>
                <c:pt idx="0">
                  <c:v>Челябинская область</c:v>
                </c:pt>
              </c:strCache>
            </c:strRef>
          </c:tx>
          <c:spPr>
            <a:ln w="28575" cap="rnd">
              <a:solidFill>
                <a:schemeClr val="accent4">
                  <a:lumMod val="60000"/>
                </a:schemeClr>
              </a:solidFill>
              <a:round/>
            </a:ln>
            <a:effectLst/>
          </c:spPr>
          <c:marker>
            <c:symbol val="none"/>
          </c:marker>
          <c:cat>
            <c:numRef>
              <c:f>'Цены и тарифы'!$D$37:$Y$37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'Цены и тарифы'!$D$47:$Y$47</c:f>
              <c:numCache>
                <c:formatCode>General</c:formatCode>
                <c:ptCount val="22"/>
                <c:pt idx="0">
                  <c:v>0.23129999999999995</c:v>
                </c:pt>
                <c:pt idx="1">
                  <c:v>0.24760000000000004</c:v>
                </c:pt>
                <c:pt idx="2">
                  <c:v>0.12387845887054208</c:v>
                </c:pt>
                <c:pt idx="3">
                  <c:v>9.6571850261639641E-2</c:v>
                </c:pt>
                <c:pt idx="4">
                  <c:v>0.14080327918999119</c:v>
                </c:pt>
                <c:pt idx="5">
                  <c:v>0.12725907652705526</c:v>
                </c:pt>
                <c:pt idx="6">
                  <c:v>0.11646051379638449</c:v>
                </c:pt>
                <c:pt idx="7">
                  <c:v>0.16100647690472128</c:v>
                </c:pt>
                <c:pt idx="8">
                  <c:v>0.15690088635237553</c:v>
                </c:pt>
                <c:pt idx="9">
                  <c:v>9.0192408356201237E-2</c:v>
                </c:pt>
                <c:pt idx="10">
                  <c:v>0.13444106563459385</c:v>
                </c:pt>
                <c:pt idx="11">
                  <c:v>7.0015005963908694E-2</c:v>
                </c:pt>
                <c:pt idx="12">
                  <c:v>9.1528024164549124E-2</c:v>
                </c:pt>
                <c:pt idx="13">
                  <c:v>7.7824387244136081E-2</c:v>
                </c:pt>
                <c:pt idx="14">
                  <c:v>0.11645322003851208</c:v>
                </c:pt>
                <c:pt idx="15">
                  <c:v>0.10977267957036344</c:v>
                </c:pt>
                <c:pt idx="16">
                  <c:v>5.2758819176054628E-2</c:v>
                </c:pt>
                <c:pt idx="17">
                  <c:v>5.2645556371361778E-3</c:v>
                </c:pt>
                <c:pt idx="18">
                  <c:v>4.9852369852369884E-2</c:v>
                </c:pt>
                <c:pt idx="19">
                  <c:v>1.7066816661239256E-2</c:v>
                </c:pt>
                <c:pt idx="20">
                  <c:v>5.6744917116618825E-2</c:v>
                </c:pt>
                <c:pt idx="21">
                  <c:v>0.12432171877151905</c:v>
                </c:pt>
              </c:numCache>
            </c:numRef>
          </c:val>
          <c:smooth val="0"/>
          <c:extLst>
            <c:ext xmlns:c16="http://schemas.microsoft.com/office/drawing/2014/chart" uri="{C3380CC4-5D6E-409C-BE32-E72D297353CC}">
              <c16:uniqueId val="{00000007-A0B2-4887-97CF-069016809C62}"/>
            </c:ext>
          </c:extLst>
        </c:ser>
        <c:dLbls>
          <c:showLegendKey val="0"/>
          <c:showVal val="0"/>
          <c:showCatName val="0"/>
          <c:showSerName val="0"/>
          <c:showPercent val="0"/>
          <c:showBubbleSize val="0"/>
        </c:dLbls>
        <c:smooth val="0"/>
        <c:axId val="313931648"/>
        <c:axId val="313933184"/>
      </c:lineChart>
      <c:catAx>
        <c:axId val="31393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313933184"/>
        <c:crosses val="autoZero"/>
        <c:auto val="1"/>
        <c:lblAlgn val="ctr"/>
        <c:lblOffset val="100"/>
        <c:noMultiLvlLbl val="0"/>
      </c:catAx>
      <c:valAx>
        <c:axId val="31393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9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2"/>
          <c:tx>
            <c:strRef>
              <c:f>ВРП!$A$18</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ВРП!$E$18:$AB$18</c:f>
              <c:numCache>
                <c:formatCode>General</c:formatCode>
                <c:ptCount val="24"/>
                <c:pt idx="0">
                  <c:v>23188.901690329811</c:v>
                </c:pt>
                <c:pt idx="1">
                  <c:v>23984.787152939098</c:v>
                </c:pt>
                <c:pt idx="2">
                  <c:v>25060.271282171634</c:v>
                </c:pt>
                <c:pt idx="3">
                  <c:v>25190.6</c:v>
                </c:pt>
                <c:pt idx="4">
                  <c:v>25872.878312141511</c:v>
                </c:pt>
                <c:pt idx="5">
                  <c:v>28980.07510328506</c:v>
                </c:pt>
                <c:pt idx="6">
                  <c:v>30620.479395130555</c:v>
                </c:pt>
                <c:pt idx="7">
                  <c:v>33543.677421683846</c:v>
                </c:pt>
                <c:pt idx="8">
                  <c:v>46751.04261762464</c:v>
                </c:pt>
                <c:pt idx="9">
                  <c:v>51948.83196823232</c:v>
                </c:pt>
                <c:pt idx="10">
                  <c:v>69360.362885564158</c:v>
                </c:pt>
                <c:pt idx="11">
                  <c:v>64332.367321808197</c:v>
                </c:pt>
                <c:pt idx="12">
                  <c:v>64984.39310496972</c:v>
                </c:pt>
                <c:pt idx="13">
                  <c:v>76827.956267297748</c:v>
                </c:pt>
                <c:pt idx="14">
                  <c:v>80138.297850066199</c:v>
                </c:pt>
                <c:pt idx="15">
                  <c:v>94456.921707913847</c:v>
                </c:pt>
                <c:pt idx="16">
                  <c:v>83651.241013196399</c:v>
                </c:pt>
                <c:pt idx="17">
                  <c:v>77565.134547350681</c:v>
                </c:pt>
                <c:pt idx="18">
                  <c:v>78366.024776382808</c:v>
                </c:pt>
                <c:pt idx="19">
                  <c:v>83782.263848221075</c:v>
                </c:pt>
                <c:pt idx="20">
                  <c:v>91756.300569572035</c:v>
                </c:pt>
                <c:pt idx="21">
                  <c:v>111637.6824435442</c:v>
                </c:pt>
                <c:pt idx="22">
                  <c:v>110078.34730255508</c:v>
                </c:pt>
                <c:pt idx="23">
                  <c:v>123110.45261321246</c:v>
                </c:pt>
              </c:numCache>
            </c:numRef>
          </c:yVal>
          <c:smooth val="1"/>
          <c:extLst>
            <c:ext xmlns:c16="http://schemas.microsoft.com/office/drawing/2014/chart" uri="{C3380CC4-5D6E-409C-BE32-E72D297353CC}">
              <c16:uniqueId val="{00000000-DF8D-4216-A4A4-24D40262A717}"/>
            </c:ext>
          </c:extLst>
        </c:ser>
        <c:ser>
          <c:idx val="3"/>
          <c:order val="3"/>
          <c:tx>
            <c:strRef>
              <c:f>ВРП!$A$19</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ВРП!$E$19:$AB$19</c:f>
              <c:numCache>
                <c:formatCode>General</c:formatCode>
                <c:ptCount val="24"/>
                <c:pt idx="0">
                  <c:v>186248.16495661647</c:v>
                </c:pt>
                <c:pt idx="1">
                  <c:v>191040.91361040619</c:v>
                </c:pt>
                <c:pt idx="2">
                  <c:v>201953.23367737638</c:v>
                </c:pt>
                <c:pt idx="3">
                  <c:v>214845</c:v>
                </c:pt>
                <c:pt idx="4">
                  <c:v>195101.02831760945</c:v>
                </c:pt>
                <c:pt idx="5">
                  <c:v>223879.29475055981</c:v>
                </c:pt>
                <c:pt idx="6">
                  <c:v>270894.15002386103</c:v>
                </c:pt>
                <c:pt idx="7">
                  <c:v>337130.17383723066</c:v>
                </c:pt>
                <c:pt idx="8">
                  <c:v>474522.46522888297</c:v>
                </c:pt>
                <c:pt idx="9">
                  <c:v>567286.28381850885</c:v>
                </c:pt>
                <c:pt idx="10">
                  <c:v>614635.98600638751</c:v>
                </c:pt>
                <c:pt idx="11">
                  <c:v>439167.88181050622</c:v>
                </c:pt>
                <c:pt idx="12">
                  <c:v>571513.53526302264</c:v>
                </c:pt>
                <c:pt idx="13">
                  <c:v>771837.2966521054</c:v>
                </c:pt>
                <c:pt idx="14">
                  <c:v>903556.90242648951</c:v>
                </c:pt>
                <c:pt idx="15">
                  <c:v>926399.49242685654</c:v>
                </c:pt>
                <c:pt idx="16">
                  <c:v>946325.93626885943</c:v>
                </c:pt>
                <c:pt idx="17">
                  <c:v>961629.96778385504</c:v>
                </c:pt>
                <c:pt idx="18">
                  <c:v>1099317.8880988215</c:v>
                </c:pt>
                <c:pt idx="19">
                  <c:v>1198781.7261407436</c:v>
                </c:pt>
                <c:pt idx="20">
                  <c:v>1322032.2426966703</c:v>
                </c:pt>
                <c:pt idx="21">
                  <c:v>1543131.2824419073</c:v>
                </c:pt>
                <c:pt idx="22">
                  <c:v>1488956.6039022061</c:v>
                </c:pt>
                <c:pt idx="23">
                  <c:v>1871894.6264747989</c:v>
                </c:pt>
              </c:numCache>
            </c:numRef>
          </c:yVal>
          <c:smooth val="1"/>
          <c:extLst>
            <c:ext xmlns:c16="http://schemas.microsoft.com/office/drawing/2014/chart" uri="{C3380CC4-5D6E-409C-BE32-E72D297353CC}">
              <c16:uniqueId val="{00000001-DF8D-4216-A4A4-24D40262A717}"/>
            </c:ext>
          </c:extLst>
        </c:ser>
        <c:ser>
          <c:idx val="4"/>
          <c:order val="4"/>
          <c:tx>
            <c:strRef>
              <c:f>ВРП!$A$20</c:f>
              <c:strCache>
                <c:ptCount val="1"/>
                <c:pt idx="0">
                  <c:v>Тюменская область</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ВРП!$E$20:$AB$20</c:f>
              <c:numCache>
                <c:formatCode>General</c:formatCode>
                <c:ptCount val="24"/>
              </c:numCache>
            </c:numRef>
          </c:yVal>
          <c:smooth val="1"/>
          <c:extLst>
            <c:ext xmlns:c16="http://schemas.microsoft.com/office/drawing/2014/chart" uri="{C3380CC4-5D6E-409C-BE32-E72D297353CC}">
              <c16:uniqueId val="{00000002-DF8D-4216-A4A4-24D40262A717}"/>
            </c:ext>
          </c:extLst>
        </c:ser>
        <c:ser>
          <c:idx val="5"/>
          <c:order val="5"/>
          <c:tx>
            <c:strRef>
              <c:f>ВРП!$A$21</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ВРП!$E$21:$AB$21</c:f>
              <c:numCache>
                <c:formatCode>General</c:formatCode>
                <c:ptCount val="24"/>
              </c:numCache>
            </c:numRef>
          </c:yVal>
          <c:smooth val="1"/>
          <c:extLst>
            <c:ext xmlns:c16="http://schemas.microsoft.com/office/drawing/2014/chart" uri="{C3380CC4-5D6E-409C-BE32-E72D297353CC}">
              <c16:uniqueId val="{00000003-DF8D-4216-A4A4-24D40262A717}"/>
            </c:ext>
          </c:extLst>
        </c:ser>
        <c:ser>
          <c:idx val="6"/>
          <c:order val="6"/>
          <c:tx>
            <c:strRef>
              <c:f>ВРП!$A$22</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ВРП!$E$22:$AB$22</c:f>
              <c:numCache>
                <c:formatCode>General</c:formatCode>
                <c:ptCount val="24"/>
                <c:pt idx="0">
                  <c:v>426368.88768171892</c:v>
                </c:pt>
                <c:pt idx="1">
                  <c:v>416386.88780849159</c:v>
                </c:pt>
                <c:pt idx="2">
                  <c:v>529322.62552834617</c:v>
                </c:pt>
                <c:pt idx="3">
                  <c:v>561367.69999999995</c:v>
                </c:pt>
                <c:pt idx="4">
                  <c:v>420827.38805259252</c:v>
                </c:pt>
                <c:pt idx="5">
                  <c:v>509144.4439050823</c:v>
                </c:pt>
                <c:pt idx="6">
                  <c:v>615296.34974045982</c:v>
                </c:pt>
                <c:pt idx="7">
                  <c:v>929821.67370087258</c:v>
                </c:pt>
                <c:pt idx="8">
                  <c:v>972737.24975472025</c:v>
                </c:pt>
                <c:pt idx="9">
                  <c:v>959249.47964177746</c:v>
                </c:pt>
                <c:pt idx="10">
                  <c:v>945215.23329245322</c:v>
                </c:pt>
                <c:pt idx="11">
                  <c:v>643173.18133306713</c:v>
                </c:pt>
                <c:pt idx="12">
                  <c:v>690452.90061890357</c:v>
                </c:pt>
                <c:pt idx="13">
                  <c:v>1060677.187219782</c:v>
                </c:pt>
                <c:pt idx="14">
                  <c:v>1192579.5645855912</c:v>
                </c:pt>
                <c:pt idx="15">
                  <c:v>1070508.358764474</c:v>
                </c:pt>
                <c:pt idx="16">
                  <c:v>1070260.7682476754</c:v>
                </c:pt>
                <c:pt idx="17">
                  <c:v>1100156.8382836117</c:v>
                </c:pt>
                <c:pt idx="18">
                  <c:v>875657.15694198897</c:v>
                </c:pt>
                <c:pt idx="19">
                  <c:v>1242106.9889709656</c:v>
                </c:pt>
                <c:pt idx="20">
                  <c:v>2112921.2800467741</c:v>
                </c:pt>
                <c:pt idx="21">
                  <c:v>2094750.6610889281</c:v>
                </c:pt>
                <c:pt idx="22">
                  <c:v>681098.3049940113</c:v>
                </c:pt>
                <c:pt idx="23">
                  <c:v>2836380.8923050598</c:v>
                </c:pt>
              </c:numCache>
            </c:numRef>
          </c:yVal>
          <c:smooth val="1"/>
          <c:extLst>
            <c:ext xmlns:c16="http://schemas.microsoft.com/office/drawing/2014/chart" uri="{C3380CC4-5D6E-409C-BE32-E72D297353CC}">
              <c16:uniqueId val="{00000004-DF8D-4216-A4A4-24D40262A717}"/>
            </c:ext>
          </c:extLst>
        </c:ser>
        <c:ser>
          <c:idx val="7"/>
          <c:order val="7"/>
          <c:tx>
            <c:strRef>
              <c:f>ВРП!$A$23</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ВРП!$E$23:$AB$23</c:f>
              <c:numCache>
                <c:formatCode>General</c:formatCode>
                <c:ptCount val="24"/>
                <c:pt idx="0">
                  <c:v>141692.4642139544</c:v>
                </c:pt>
                <c:pt idx="1">
                  <c:v>141406.83545010356</c:v>
                </c:pt>
                <c:pt idx="2">
                  <c:v>161314.02373281261</c:v>
                </c:pt>
                <c:pt idx="3">
                  <c:v>186784.7</c:v>
                </c:pt>
                <c:pt idx="4">
                  <c:v>230621.27235437898</c:v>
                </c:pt>
                <c:pt idx="5">
                  <c:v>223850.17436778554</c:v>
                </c:pt>
                <c:pt idx="6">
                  <c:v>263119.33013091987</c:v>
                </c:pt>
                <c:pt idx="7">
                  <c:v>303284.24689640151</c:v>
                </c:pt>
                <c:pt idx="8">
                  <c:v>370750.30343876302</c:v>
                </c:pt>
                <c:pt idx="9">
                  <c:v>378083.74351329764</c:v>
                </c:pt>
                <c:pt idx="10">
                  <c:v>422008.02554509591</c:v>
                </c:pt>
                <c:pt idx="11">
                  <c:v>298865.53846284153</c:v>
                </c:pt>
                <c:pt idx="12">
                  <c:v>395654.69033468043</c:v>
                </c:pt>
                <c:pt idx="13">
                  <c:v>554811.60254821775</c:v>
                </c:pt>
                <c:pt idx="14">
                  <c:v>762159.33049149369</c:v>
                </c:pt>
                <c:pt idx="15">
                  <c:v>904367.55454831454</c:v>
                </c:pt>
                <c:pt idx="16">
                  <c:v>1095230.9034363427</c:v>
                </c:pt>
                <c:pt idx="17">
                  <c:v>1205722.5392565881</c:v>
                </c:pt>
                <c:pt idx="18">
                  <c:v>1381690.0819519395</c:v>
                </c:pt>
                <c:pt idx="19">
                  <c:v>1788882.3928127196</c:v>
                </c:pt>
                <c:pt idx="20">
                  <c:v>2415525.7878155024</c:v>
                </c:pt>
                <c:pt idx="21">
                  <c:v>2468285.1562350262</c:v>
                </c:pt>
                <c:pt idx="22">
                  <c:v>2044837.3435834763</c:v>
                </c:pt>
                <c:pt idx="23">
                  <c:v>3333977.9593785545</c:v>
                </c:pt>
              </c:numCache>
            </c:numRef>
          </c:yVal>
          <c:smooth val="1"/>
          <c:extLst>
            <c:ext xmlns:c16="http://schemas.microsoft.com/office/drawing/2014/chart" uri="{C3380CC4-5D6E-409C-BE32-E72D297353CC}">
              <c16:uniqueId val="{00000005-DF8D-4216-A4A4-24D40262A717}"/>
            </c:ext>
          </c:extLst>
        </c:ser>
        <c:ser>
          <c:idx val="8"/>
          <c:order val="8"/>
          <c:tx>
            <c:strRef>
              <c:f>ВРП!$A$24</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ВРП!$E$24:$AB$24</c:f>
              <c:numCache>
                <c:formatCode>General</c:formatCode>
                <c:ptCount val="24"/>
                <c:pt idx="0">
                  <c:v>41595.89046819145</c:v>
                </c:pt>
                <c:pt idx="1">
                  <c:v>39404.72139489781</c:v>
                </c:pt>
                <c:pt idx="2">
                  <c:v>62416.09130941506</c:v>
                </c:pt>
                <c:pt idx="3">
                  <c:v>70028.799999999988</c:v>
                </c:pt>
                <c:pt idx="4">
                  <c:v>70469.727096447095</c:v>
                </c:pt>
                <c:pt idx="5">
                  <c:v>93188.743732837509</c:v>
                </c:pt>
                <c:pt idx="6">
                  <c:v>191359.05060200224</c:v>
                </c:pt>
                <c:pt idx="7">
                  <c:v>331827.79964091082</c:v>
                </c:pt>
                <c:pt idx="8">
                  <c:v>352191.49667948089</c:v>
                </c:pt>
                <c:pt idx="9">
                  <c:v>355337.06351653935</c:v>
                </c:pt>
                <c:pt idx="10">
                  <c:v>386650.38673482306</c:v>
                </c:pt>
                <c:pt idx="11">
                  <c:v>326551.53483587509</c:v>
                </c:pt>
                <c:pt idx="12">
                  <c:v>400708.76590342581</c:v>
                </c:pt>
                <c:pt idx="13">
                  <c:v>542301.40062523773</c:v>
                </c:pt>
                <c:pt idx="14">
                  <c:v>539448.79780321894</c:v>
                </c:pt>
                <c:pt idx="15">
                  <c:v>603390.72729500209</c:v>
                </c:pt>
                <c:pt idx="16">
                  <c:v>528653.58474927116</c:v>
                </c:pt>
                <c:pt idx="17">
                  <c:v>584673.98426766915</c:v>
                </c:pt>
                <c:pt idx="18">
                  <c:v>579866.4546533731</c:v>
                </c:pt>
                <c:pt idx="19">
                  <c:v>676503.16735245637</c:v>
                </c:pt>
                <c:pt idx="20">
                  <c:v>888277.36436990381</c:v>
                </c:pt>
                <c:pt idx="21">
                  <c:v>856708.22497148393</c:v>
                </c:pt>
                <c:pt idx="22">
                  <c:v>764105.25657133176</c:v>
                </c:pt>
                <c:pt idx="23">
                  <c:v>1094580.3816822269</c:v>
                </c:pt>
              </c:numCache>
            </c:numRef>
          </c:yVal>
          <c:smooth val="1"/>
          <c:extLst>
            <c:ext xmlns:c16="http://schemas.microsoft.com/office/drawing/2014/chart" uri="{C3380CC4-5D6E-409C-BE32-E72D297353CC}">
              <c16:uniqueId val="{00000006-DF8D-4216-A4A4-24D40262A717}"/>
            </c:ext>
          </c:extLst>
        </c:ser>
        <c:ser>
          <c:idx val="9"/>
          <c:order val="9"/>
          <c:tx>
            <c:strRef>
              <c:f>ВРП!$A$25</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ВРП!$E$25:$AB$25</c:f>
              <c:numCache>
                <c:formatCode>General</c:formatCode>
                <c:ptCount val="24"/>
                <c:pt idx="0">
                  <c:v>127811.10218711433</c:v>
                </c:pt>
                <c:pt idx="1">
                  <c:v>136414.82739174133</c:v>
                </c:pt>
                <c:pt idx="2">
                  <c:v>165312.7080474511</c:v>
                </c:pt>
                <c:pt idx="3">
                  <c:v>151487.20000000001</c:v>
                </c:pt>
                <c:pt idx="4">
                  <c:v>153680.39912538641</c:v>
                </c:pt>
                <c:pt idx="5">
                  <c:v>184977.53250395838</c:v>
                </c:pt>
                <c:pt idx="6">
                  <c:v>229684.98295257485</c:v>
                </c:pt>
                <c:pt idx="7">
                  <c:v>261358.37542034232</c:v>
                </c:pt>
                <c:pt idx="8">
                  <c:v>330358.63364246394</c:v>
                </c:pt>
                <c:pt idx="9">
                  <c:v>415927.10034682945</c:v>
                </c:pt>
                <c:pt idx="10">
                  <c:v>456428.84834501997</c:v>
                </c:pt>
                <c:pt idx="11">
                  <c:v>315968.39954007394</c:v>
                </c:pt>
                <c:pt idx="12">
                  <c:v>359079.93000829377</c:v>
                </c:pt>
                <c:pt idx="13">
                  <c:v>449439.65436175832</c:v>
                </c:pt>
                <c:pt idx="14">
                  <c:v>473402.56036341708</c:v>
                </c:pt>
                <c:pt idx="15">
                  <c:v>473296.74770413927</c:v>
                </c:pt>
                <c:pt idx="16">
                  <c:v>519582.21818593075</c:v>
                </c:pt>
                <c:pt idx="17">
                  <c:v>627298.76258010999</c:v>
                </c:pt>
                <c:pt idx="18">
                  <c:v>691477.26044635451</c:v>
                </c:pt>
                <c:pt idx="19">
                  <c:v>769614.51723591937</c:v>
                </c:pt>
                <c:pt idx="20">
                  <c:v>853581.71510216396</c:v>
                </c:pt>
                <c:pt idx="21">
                  <c:v>914202.59129910264</c:v>
                </c:pt>
                <c:pt idx="22">
                  <c:v>937300.23231546395</c:v>
                </c:pt>
                <c:pt idx="23">
                  <c:v>1261639.9345095376</c:v>
                </c:pt>
              </c:numCache>
            </c:numRef>
          </c:yVal>
          <c:smooth val="1"/>
          <c:extLst>
            <c:ext xmlns:c16="http://schemas.microsoft.com/office/drawing/2014/chart" uri="{C3380CC4-5D6E-409C-BE32-E72D297353CC}">
              <c16:uniqueId val="{00000007-DF8D-4216-A4A4-24D40262A717}"/>
            </c:ext>
          </c:extLst>
        </c:ser>
        <c:dLbls>
          <c:showLegendKey val="0"/>
          <c:showVal val="0"/>
          <c:showCatName val="0"/>
          <c:showSerName val="0"/>
          <c:showPercent val="0"/>
          <c:showBubbleSize val="0"/>
        </c:dLbls>
        <c:axId val="314602240"/>
        <c:axId val="314604160"/>
      </c:scatterChart>
      <c:scatterChart>
        <c:scatterStyle val="smoothMarker"/>
        <c:varyColors val="0"/>
        <c:ser>
          <c:idx val="0"/>
          <c:order val="0"/>
          <c:tx>
            <c:strRef>
              <c:f>ВРП!$A$16</c:f>
              <c:strCache>
                <c:ptCount val="1"/>
                <c:pt idx="0">
                  <c:v>Российская Федерация (по правой шкале)</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ВРП!$E$16:$AB$16</c:f>
              <c:numCache>
                <c:formatCode>General</c:formatCode>
                <c:ptCount val="24"/>
                <c:pt idx="0">
                  <c:v>6229916.6715998026</c:v>
                </c:pt>
                <c:pt idx="1">
                  <c:v>6485018.7569752103</c:v>
                </c:pt>
                <c:pt idx="2">
                  <c:v>7446170.1861528074</c:v>
                </c:pt>
                <c:pt idx="3">
                  <c:v>7830341.5</c:v>
                </c:pt>
                <c:pt idx="4">
                  <c:v>7357037.3526596725</c:v>
                </c:pt>
                <c:pt idx="5">
                  <c:v>8262022.4677710291</c:v>
                </c:pt>
                <c:pt idx="6">
                  <c:v>10002005.592932083</c:v>
                </c:pt>
                <c:pt idx="7">
                  <c:v>12288964.004417449</c:v>
                </c:pt>
                <c:pt idx="8">
                  <c:v>15243180.596061109</c:v>
                </c:pt>
                <c:pt idx="9">
                  <c:v>18302354.775519971</c:v>
                </c:pt>
                <c:pt idx="10">
                  <c:v>22049238.344413765</c:v>
                </c:pt>
                <c:pt idx="11">
                  <c:v>17601590.448463097</c:v>
                </c:pt>
                <c:pt idx="12">
                  <c:v>20406249.188422609</c:v>
                </c:pt>
                <c:pt idx="13">
                  <c:v>26777884.539296888</c:v>
                </c:pt>
                <c:pt idx="14">
                  <c:v>29311790.313381191</c:v>
                </c:pt>
                <c:pt idx="15">
                  <c:v>30983819.736499168</c:v>
                </c:pt>
                <c:pt idx="16">
                  <c:v>32327878.533535801</c:v>
                </c:pt>
                <c:pt idx="17">
                  <c:v>34189336.784373268</c:v>
                </c:pt>
                <c:pt idx="18">
                  <c:v>36101509.388993189</c:v>
                </c:pt>
                <c:pt idx="19">
                  <c:v>39998670.010381013</c:v>
                </c:pt>
                <c:pt idx="20">
                  <c:v>48220671.804840781</c:v>
                </c:pt>
                <c:pt idx="21">
                  <c:v>56576544.379017115</c:v>
                </c:pt>
                <c:pt idx="22">
                  <c:v>52486028.357058711</c:v>
                </c:pt>
                <c:pt idx="23">
                  <c:v>75029083.94927296</c:v>
                </c:pt>
              </c:numCache>
            </c:numRef>
          </c:yVal>
          <c:smooth val="1"/>
          <c:extLst>
            <c:ext xmlns:c16="http://schemas.microsoft.com/office/drawing/2014/chart" uri="{C3380CC4-5D6E-409C-BE32-E72D297353CC}">
              <c16:uniqueId val="{00000008-DF8D-4216-A4A4-24D40262A717}"/>
            </c:ext>
          </c:extLst>
        </c:ser>
        <c:ser>
          <c:idx val="1"/>
          <c:order val="1"/>
          <c:tx>
            <c:strRef>
              <c:f>ВРП!$A$17</c:f>
              <c:strCache>
                <c:ptCount val="1"/>
                <c:pt idx="0">
                  <c:v>Уральский ФО (по правой шкале)</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ВРП!$E$15:$AB$15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ВРП!$E$17:$AB$17</c:f>
              <c:numCache>
                <c:formatCode>General</c:formatCode>
                <c:ptCount val="24"/>
                <c:pt idx="0">
                  <c:v>951473.90429751505</c:v>
                </c:pt>
                <c:pt idx="1">
                  <c:v>950538.57122292195</c:v>
                </c:pt>
                <c:pt idx="2">
                  <c:v>1142403.1655601661</c:v>
                </c:pt>
                <c:pt idx="3">
                  <c:v>1209704</c:v>
                </c:pt>
                <c:pt idx="4">
                  <c:v>1135033.0196106047</c:v>
                </c:pt>
                <c:pt idx="5">
                  <c:v>1306969.1375664545</c:v>
                </c:pt>
                <c:pt idx="6">
                  <c:v>1677751.6652114214</c:v>
                </c:pt>
                <c:pt idx="7">
                  <c:v>2287165.0713199312</c:v>
                </c:pt>
                <c:pt idx="8">
                  <c:v>2671266.2316163788</c:v>
                </c:pt>
                <c:pt idx="9">
                  <c:v>2823208.0583001794</c:v>
                </c:pt>
                <c:pt idx="10">
                  <c:v>3015124.0874942793</c:v>
                </c:pt>
                <c:pt idx="11">
                  <c:v>2213070.0791324861</c:v>
                </c:pt>
                <c:pt idx="12">
                  <c:v>2547120.8315741299</c:v>
                </c:pt>
                <c:pt idx="13">
                  <c:v>3523244.0542055415</c:v>
                </c:pt>
                <c:pt idx="14">
                  <c:v>3996866.0433369717</c:v>
                </c:pt>
                <c:pt idx="15">
                  <c:v>4112259.3452909901</c:v>
                </c:pt>
                <c:pt idx="16">
                  <c:v>4205597.5700418968</c:v>
                </c:pt>
                <c:pt idx="17">
                  <c:v>4480098.0902404673</c:v>
                </c:pt>
                <c:pt idx="18">
                  <c:v>4650189.3629616592</c:v>
                </c:pt>
                <c:pt idx="19">
                  <c:v>5630653.0939689474</c:v>
                </c:pt>
                <c:pt idx="20">
                  <c:v>7573875.0992183909</c:v>
                </c:pt>
                <c:pt idx="21">
                  <c:v>7928886.6762630716</c:v>
                </c:pt>
                <c:pt idx="22">
                  <c:v>6008918.3867056286</c:v>
                </c:pt>
                <c:pt idx="23">
                  <c:v>10330040.171752982</c:v>
                </c:pt>
              </c:numCache>
            </c:numRef>
          </c:yVal>
          <c:smooth val="1"/>
          <c:extLst>
            <c:ext xmlns:c16="http://schemas.microsoft.com/office/drawing/2014/chart" uri="{C3380CC4-5D6E-409C-BE32-E72D297353CC}">
              <c16:uniqueId val="{00000009-DF8D-4216-A4A4-24D40262A717}"/>
            </c:ext>
          </c:extLst>
        </c:ser>
        <c:dLbls>
          <c:showLegendKey val="0"/>
          <c:showVal val="0"/>
          <c:showCatName val="0"/>
          <c:showSerName val="0"/>
          <c:showPercent val="0"/>
          <c:showBubbleSize val="0"/>
        </c:dLbls>
        <c:axId val="314616448"/>
        <c:axId val="314614528"/>
      </c:scatterChart>
      <c:valAx>
        <c:axId val="314602240"/>
        <c:scaling>
          <c:orientation val="minMax"/>
          <c:max val="2021"/>
          <c:min val="199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604160"/>
        <c:crosses val="autoZero"/>
        <c:crossBetween val="midCat"/>
      </c:valAx>
      <c:valAx>
        <c:axId val="31460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602240"/>
        <c:crosses val="autoZero"/>
        <c:crossBetween val="midCat"/>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dispUnitsLbl>
        </c:dispUnits>
      </c:valAx>
      <c:valAx>
        <c:axId val="314614528"/>
        <c:scaling>
          <c:orientation val="minMax"/>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616448"/>
        <c:crosses val="max"/>
        <c:crossBetween val="midCat"/>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dispUnitsLbl>
        </c:dispUnits>
      </c:valAx>
      <c:valAx>
        <c:axId val="314616448"/>
        <c:scaling>
          <c:orientation val="minMax"/>
        </c:scaling>
        <c:delete val="1"/>
        <c:axPos val="b"/>
        <c:numFmt formatCode="General" sourceLinked="1"/>
        <c:majorTickMark val="out"/>
        <c:minorTickMark val="none"/>
        <c:tickLblPos val="nextTo"/>
        <c:crossAx val="314614528"/>
        <c:crosses val="autoZero"/>
        <c:crossBetween val="midCat"/>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ВРП!$AE$48</c:f>
              <c:strCache>
                <c:ptCount val="1"/>
                <c:pt idx="0">
                  <c:v>Российская Федерация (по правой шкале)</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ВРП!$AF$47:$BF$47</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ВРП!$AF$48:$BF$48</c:f>
              <c:numCache>
                <c:formatCode>General</c:formatCode>
                <c:ptCount val="27"/>
                <c:pt idx="3">
                  <c:v>42995.379746277547</c:v>
                </c:pt>
                <c:pt idx="4">
                  <c:v>44697.057987592736</c:v>
                </c:pt>
                <c:pt idx="5">
                  <c:v>51414.272069488943</c:v>
                </c:pt>
                <c:pt idx="6">
                  <c:v>54325.8</c:v>
                </c:pt>
                <c:pt idx="7">
                  <c:v>51008.142440640535</c:v>
                </c:pt>
                <c:pt idx="8">
                  <c:v>57676.230425179456</c:v>
                </c:pt>
                <c:pt idx="9">
                  <c:v>70374.925278851471</c:v>
                </c:pt>
                <c:pt idx="10">
                  <c:v>86153.281700717838</c:v>
                </c:pt>
                <c:pt idx="11">
                  <c:v>107561.38815019326</c:v>
                </c:pt>
                <c:pt idx="12">
                  <c:v>129739.18224185532</c:v>
                </c:pt>
                <c:pt idx="13">
                  <c:v>156631.58193263388</c:v>
                </c:pt>
                <c:pt idx="14">
                  <c:v>126063.22682495858</c:v>
                </c:pt>
                <c:pt idx="15">
                  <c:v>143931.86937603532</c:v>
                </c:pt>
                <c:pt idx="16">
                  <c:v>188371.28429596903</c:v>
                </c:pt>
                <c:pt idx="17">
                  <c:v>205622.5569850911</c:v>
                </c:pt>
                <c:pt idx="18">
                  <c:v>216608.40055218109</c:v>
                </c:pt>
                <c:pt idx="19">
                  <c:v>218794.10724461626</c:v>
                </c:pt>
                <c:pt idx="20">
                  <c:v>235358.42448371067</c:v>
                </c:pt>
                <c:pt idx="21">
                  <c:v>242155.67342904472</c:v>
                </c:pt>
                <c:pt idx="22">
                  <c:v>268813.76599668688</c:v>
                </c:pt>
                <c:pt idx="23">
                  <c:v>359324.91503037</c:v>
                </c:pt>
                <c:pt idx="24">
                  <c:v>380710.74192159023</c:v>
                </c:pt>
                <c:pt idx="25">
                  <c:v>353817.16530093871</c:v>
                </c:pt>
                <c:pt idx="26">
                  <c:v>512337.36984465818</c:v>
                </c:pt>
              </c:numCache>
            </c:numRef>
          </c:yVal>
          <c:smooth val="1"/>
          <c:extLst>
            <c:ext xmlns:c16="http://schemas.microsoft.com/office/drawing/2014/chart" uri="{C3380CC4-5D6E-409C-BE32-E72D297353CC}">
              <c16:uniqueId val="{00000000-6DF9-4C35-978D-EEFAF4026992}"/>
            </c:ext>
          </c:extLst>
        </c:ser>
        <c:ser>
          <c:idx val="2"/>
          <c:order val="1"/>
          <c:tx>
            <c:strRef>
              <c:f>ВРП!$AE$50</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ВРП!$AF$47:$BF$47</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ВРП!$AF$50:$BF$50</c:f>
              <c:numCache>
                <c:formatCode>General</c:formatCode>
                <c:ptCount val="27"/>
                <c:pt idx="3">
                  <c:v>21247.132231676609</c:v>
                </c:pt>
                <c:pt idx="4">
                  <c:v>21930.920066493843</c:v>
                </c:pt>
                <c:pt idx="5">
                  <c:v>22980.878651333802</c:v>
                </c:pt>
                <c:pt idx="6">
                  <c:v>23282.6</c:v>
                </c:pt>
                <c:pt idx="7">
                  <c:v>25493.493028759374</c:v>
                </c:pt>
                <c:pt idx="8">
                  <c:v>29220.623881914085</c:v>
                </c:pt>
                <c:pt idx="9">
                  <c:v>31601.837615819662</c:v>
                </c:pt>
                <c:pt idx="10">
                  <c:v>35522.038590509801</c:v>
                </c:pt>
                <c:pt idx="11">
                  <c:v>50176.502731539047</c:v>
                </c:pt>
                <c:pt idx="12">
                  <c:v>57107.997625446224</c:v>
                </c:pt>
                <c:pt idx="13">
                  <c:v>77004.882355300622</c:v>
                </c:pt>
                <c:pt idx="14">
                  <c:v>73903.688700814266</c:v>
                </c:pt>
                <c:pt idx="15">
                  <c:v>80124.702795716177</c:v>
                </c:pt>
                <c:pt idx="16">
                  <c:v>96055.720989932219</c:v>
                </c:pt>
                <c:pt idx="17">
                  <c:v>102994.67667161366</c:v>
                </c:pt>
                <c:pt idx="18">
                  <c:v>122419.18927840842</c:v>
                </c:pt>
                <c:pt idx="19">
                  <c:v>114883.3181581164</c:v>
                </c:pt>
                <c:pt idx="20">
                  <c:v>112826.18232722314</c:v>
                </c:pt>
                <c:pt idx="21">
                  <c:v>118215.58227507921</c:v>
                </c:pt>
                <c:pt idx="22">
                  <c:v>131024.73309935423</c:v>
                </c:pt>
                <c:pt idx="23">
                  <c:v>144528.23752356504</c:v>
                </c:pt>
                <c:pt idx="24">
                  <c:v>169305.44830532273</c:v>
                </c:pt>
                <c:pt idx="25">
                  <c:v>172252.5296859332</c:v>
                </c:pt>
                <c:pt idx="26">
                  <c:v>196286.02216090792</c:v>
                </c:pt>
              </c:numCache>
            </c:numRef>
          </c:yVal>
          <c:smooth val="1"/>
          <c:extLst>
            <c:ext xmlns:c16="http://schemas.microsoft.com/office/drawing/2014/chart" uri="{C3380CC4-5D6E-409C-BE32-E72D297353CC}">
              <c16:uniqueId val="{00000001-6DF9-4C35-978D-EEFAF4026992}"/>
            </c:ext>
          </c:extLst>
        </c:ser>
        <c:ser>
          <c:idx val="3"/>
          <c:order val="2"/>
          <c:tx>
            <c:strRef>
              <c:f>ВРП!$AE$51</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ВРП!$AF$47:$BF$47</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ВРП!$AF$51:$BF$51</c:f>
              <c:numCache>
                <c:formatCode>General</c:formatCode>
                <c:ptCount val="27"/>
                <c:pt idx="3">
                  <c:v>40474.175431961456</c:v>
                </c:pt>
                <c:pt idx="4">
                  <c:v>41486.759918407144</c:v>
                </c:pt>
                <c:pt idx="5">
                  <c:v>43977.768386881966</c:v>
                </c:pt>
                <c:pt idx="6">
                  <c:v>47028</c:v>
                </c:pt>
                <c:pt idx="7">
                  <c:v>43536.950820454462</c:v>
                </c:pt>
                <c:pt idx="8">
                  <c:v>50480.169241217285</c:v>
                </c:pt>
                <c:pt idx="9">
                  <c:v>61638.082412539916</c:v>
                </c:pt>
                <c:pt idx="10">
                  <c:v>77316.430127381522</c:v>
                </c:pt>
                <c:pt idx="11">
                  <c:v>109189.55206490215</c:v>
                </c:pt>
                <c:pt idx="12">
                  <c:v>131151.64238831174</c:v>
                </c:pt>
                <c:pt idx="13">
                  <c:v>142691.16052274144</c:v>
                </c:pt>
                <c:pt idx="14">
                  <c:v>102966.5378253368</c:v>
                </c:pt>
                <c:pt idx="15">
                  <c:v>139241.22382438238</c:v>
                </c:pt>
                <c:pt idx="16">
                  <c:v>186423.69842516794</c:v>
                </c:pt>
                <c:pt idx="17">
                  <c:v>217135.54225982894</c:v>
                </c:pt>
                <c:pt idx="18">
                  <c:v>222676.42045079108</c:v>
                </c:pt>
                <c:pt idx="19">
                  <c:v>227676.46706068062</c:v>
                </c:pt>
                <c:pt idx="20">
                  <c:v>242086.66116148452</c:v>
                </c:pt>
                <c:pt idx="21">
                  <c:v>264665.14900701144</c:v>
                </c:pt>
                <c:pt idx="22">
                  <c:v>291079.87841488933</c:v>
                </c:pt>
                <c:pt idx="23">
                  <c:v>351815.69080797338</c:v>
                </c:pt>
                <c:pt idx="24">
                  <c:v>370622.02628023922</c:v>
                </c:pt>
                <c:pt idx="25">
                  <c:v>360441.16992768249</c:v>
                </c:pt>
                <c:pt idx="26">
                  <c:v>455032.40966169117</c:v>
                </c:pt>
              </c:numCache>
            </c:numRef>
          </c:yVal>
          <c:smooth val="1"/>
          <c:extLst>
            <c:ext xmlns:c16="http://schemas.microsoft.com/office/drawing/2014/chart" uri="{C3380CC4-5D6E-409C-BE32-E72D297353CC}">
              <c16:uniqueId val="{00000002-6DF9-4C35-978D-EEFAF4026992}"/>
            </c:ext>
          </c:extLst>
        </c:ser>
        <c:ser>
          <c:idx val="4"/>
          <c:order val="3"/>
          <c:tx>
            <c:strRef>
              <c:f>ВРП!$AE$52</c:f>
              <c:strCache>
                <c:ptCount val="1"/>
                <c:pt idx="0">
                  <c:v>Тюменская область</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ВРП!$AF$47:$BF$47</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ВРП!$AF$52:$BF$52</c:f>
              <c:numCache>
                <c:formatCode>General</c:formatCode>
                <c:ptCount val="27"/>
              </c:numCache>
            </c:numRef>
          </c:yVal>
          <c:smooth val="1"/>
          <c:extLst>
            <c:ext xmlns:c16="http://schemas.microsoft.com/office/drawing/2014/chart" uri="{C3380CC4-5D6E-409C-BE32-E72D297353CC}">
              <c16:uniqueId val="{00000003-6DF9-4C35-978D-EEFAF4026992}"/>
            </c:ext>
          </c:extLst>
        </c:ser>
        <c:ser>
          <c:idx val="5"/>
          <c:order val="4"/>
          <c:tx>
            <c:strRef>
              <c:f>ВРП!$AE$53</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ВРП!$AF$47:$BF$47</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ВРП!$AF$53:$BF$53</c:f>
              <c:numCache>
                <c:formatCode>General</c:formatCode>
                <c:ptCount val="27"/>
              </c:numCache>
            </c:numRef>
          </c:yVal>
          <c:smooth val="1"/>
          <c:extLst>
            <c:ext xmlns:c16="http://schemas.microsoft.com/office/drawing/2014/chart" uri="{C3380CC4-5D6E-409C-BE32-E72D297353CC}">
              <c16:uniqueId val="{00000004-6DF9-4C35-978D-EEFAF4026992}"/>
            </c:ext>
          </c:extLst>
        </c:ser>
        <c:ser>
          <c:idx val="8"/>
          <c:order val="7"/>
          <c:tx>
            <c:strRef>
              <c:f>ВРП!$AE$56</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ВРП!$AF$47:$BF$47</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ВРП!$AF$56:$BF$56</c:f>
              <c:numCache>
                <c:formatCode>General</c:formatCode>
                <c:ptCount val="27"/>
                <c:pt idx="3">
                  <c:v>31017.70240736003</c:v>
                </c:pt>
                <c:pt idx="4">
                  <c:v>29245.894801916966</c:v>
                </c:pt>
                <c:pt idx="5">
                  <c:v>46242.749944478317</c:v>
                </c:pt>
                <c:pt idx="6">
                  <c:v>52416.766467065856</c:v>
                </c:pt>
                <c:pt idx="7">
                  <c:v>53363.080216324437</c:v>
                </c:pt>
                <c:pt idx="8">
                  <c:v>70949.228576163208</c:v>
                </c:pt>
                <c:pt idx="9">
                  <c:v>145790.2318040031</c:v>
                </c:pt>
                <c:pt idx="10">
                  <c:v>254156.39917450372</c:v>
                </c:pt>
                <c:pt idx="11">
                  <c:v>269720.5202096494</c:v>
                </c:pt>
                <c:pt idx="12">
                  <c:v>270928.20149277762</c:v>
                </c:pt>
                <c:pt idx="13">
                  <c:v>292474.91109684808</c:v>
                </c:pt>
                <c:pt idx="14">
                  <c:v>244920.81874728278</c:v>
                </c:pt>
                <c:pt idx="15">
                  <c:v>297795.76586308068</c:v>
                </c:pt>
                <c:pt idx="16">
                  <c:v>399496.23759374075</c:v>
                </c:pt>
                <c:pt idx="17">
                  <c:v>388915.60793654114</c:v>
                </c:pt>
                <c:pt idx="18">
                  <c:v>423921.59468188783</c:v>
                </c:pt>
                <c:pt idx="19">
                  <c:v>360478.54247699934</c:v>
                </c:pt>
                <c:pt idx="20">
                  <c:v>391515.55409256672</c:v>
                </c:pt>
                <c:pt idx="21">
                  <c:v>373125.96725551877</c:v>
                </c:pt>
                <c:pt idx="22">
                  <c:v>416962.76777878474</c:v>
                </c:pt>
                <c:pt idx="23">
                  <c:v>594880.43081579637</c:v>
                </c:pt>
                <c:pt idx="24">
                  <c:v>525087.67917027231</c:v>
                </c:pt>
                <c:pt idx="25">
                  <c:v>456105.30881087709</c:v>
                </c:pt>
                <c:pt idx="26">
                  <c:v>661971.10001202743</c:v>
                </c:pt>
              </c:numCache>
            </c:numRef>
          </c:yVal>
          <c:smooth val="1"/>
          <c:extLst>
            <c:ext xmlns:c16="http://schemas.microsoft.com/office/drawing/2014/chart" uri="{C3380CC4-5D6E-409C-BE32-E72D297353CC}">
              <c16:uniqueId val="{00000005-6DF9-4C35-978D-EEFAF4026992}"/>
            </c:ext>
          </c:extLst>
        </c:ser>
        <c:ser>
          <c:idx val="9"/>
          <c:order val="8"/>
          <c:tx>
            <c:strRef>
              <c:f>ВРП!$AE$57</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ВРП!$AF$47:$BF$47</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ВРП!$AF$57:$BF$57</c:f>
              <c:numCache>
                <c:formatCode>General</c:formatCode>
                <c:ptCount val="27"/>
                <c:pt idx="3">
                  <c:v>34933.228974796453</c:v>
                </c:pt>
                <c:pt idx="4">
                  <c:v>37218.493031817554</c:v>
                </c:pt>
                <c:pt idx="5">
                  <c:v>45156.225040076948</c:v>
                </c:pt>
                <c:pt idx="6">
                  <c:v>41557.4</c:v>
                </c:pt>
                <c:pt idx="7">
                  <c:v>42627.633333333331</c:v>
                </c:pt>
                <c:pt idx="8">
                  <c:v>51749.7</c:v>
                </c:pt>
                <c:pt idx="9">
                  <c:v>64865.533333333326</c:v>
                </c:pt>
                <c:pt idx="10">
                  <c:v>74515.033333333326</c:v>
                </c:pt>
                <c:pt idx="11">
                  <c:v>94852.333333333314</c:v>
                </c:pt>
                <c:pt idx="12">
                  <c:v>120014.63333333333</c:v>
                </c:pt>
                <c:pt idx="13">
                  <c:v>132248.63333333333</c:v>
                </c:pt>
                <c:pt idx="14">
                  <c:v>94821.56666666668</c:v>
                </c:pt>
                <c:pt idx="15">
                  <c:v>107079.66666666669</c:v>
                </c:pt>
                <c:pt idx="16">
                  <c:v>133517.73333333334</c:v>
                </c:pt>
                <c:pt idx="17">
                  <c:v>140648.46666666667</c:v>
                </c:pt>
                <c:pt idx="18">
                  <c:v>140776.29999999999</c:v>
                </c:pt>
                <c:pt idx="19">
                  <c:v>154367.20000000001</c:v>
                </c:pt>
                <c:pt idx="20">
                  <c:v>196632.16666666663</c:v>
                </c:pt>
                <c:pt idx="21">
                  <c:v>204006.6333333333</c:v>
                </c:pt>
                <c:pt idx="22">
                  <c:v>225487.30000000002</c:v>
                </c:pt>
                <c:pt idx="23">
                  <c:v>266486.76666666672</c:v>
                </c:pt>
                <c:pt idx="24">
                  <c:v>272097.23333333328</c:v>
                </c:pt>
                <c:pt idx="25">
                  <c:v>281583.36666666664</c:v>
                </c:pt>
                <c:pt idx="26">
                  <c:v>381148.23904548155</c:v>
                </c:pt>
              </c:numCache>
            </c:numRef>
          </c:yVal>
          <c:smooth val="1"/>
          <c:extLst>
            <c:ext xmlns:c16="http://schemas.microsoft.com/office/drawing/2014/chart" uri="{C3380CC4-5D6E-409C-BE32-E72D297353CC}">
              <c16:uniqueId val="{00000006-6DF9-4C35-978D-EEFAF4026992}"/>
            </c:ext>
          </c:extLst>
        </c:ser>
        <c:dLbls>
          <c:showLegendKey val="0"/>
          <c:showVal val="0"/>
          <c:showCatName val="0"/>
          <c:showSerName val="0"/>
          <c:showPercent val="0"/>
          <c:showBubbleSize val="0"/>
        </c:dLbls>
        <c:axId val="237075456"/>
        <c:axId val="237101824"/>
      </c:scatterChart>
      <c:scatterChart>
        <c:scatterStyle val="smoothMarker"/>
        <c:varyColors val="0"/>
        <c:ser>
          <c:idx val="6"/>
          <c:order val="5"/>
          <c:tx>
            <c:strRef>
              <c:f>ВРП!$AE$54</c:f>
              <c:strCache>
                <c:ptCount val="1"/>
                <c:pt idx="0">
                  <c:v>ХМАО (по правой шкале)</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ВРП!$AF$47:$BF$47</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ВРП!$AF$54:$BF$54</c:f>
              <c:numCache>
                <c:formatCode>General</c:formatCode>
                <c:ptCount val="27"/>
                <c:pt idx="3">
                  <c:v>306040.30617128423</c:v>
                </c:pt>
                <c:pt idx="4">
                  <c:v>301473.72021570324</c:v>
                </c:pt>
                <c:pt idx="5">
                  <c:v>381389.93428176967</c:v>
                </c:pt>
                <c:pt idx="6">
                  <c:v>397569.19263456092</c:v>
                </c:pt>
                <c:pt idx="7">
                  <c:v>290961.83961613942</c:v>
                </c:pt>
                <c:pt idx="8">
                  <c:v>344895.77922625409</c:v>
                </c:pt>
                <c:pt idx="9">
                  <c:v>409485.90862177906</c:v>
                </c:pt>
                <c:pt idx="10">
                  <c:v>620708.9324826136</c:v>
                </c:pt>
                <c:pt idx="11">
                  <c:v>640687.24544495717</c:v>
                </c:pt>
                <c:pt idx="12">
                  <c:v>614500.0780632284</c:v>
                </c:pt>
                <c:pt idx="13">
                  <c:v>585475.47902093467</c:v>
                </c:pt>
                <c:pt idx="14">
                  <c:v>365233.73661449563</c:v>
                </c:pt>
                <c:pt idx="15">
                  <c:v>381977.45369610726</c:v>
                </c:pt>
                <c:pt idx="16">
                  <c:v>598136.10992902401</c:v>
                </c:pt>
                <c:pt idx="17">
                  <c:v>649010.59134956892</c:v>
                </c:pt>
                <c:pt idx="18">
                  <c:v>541066.56343093049</c:v>
                </c:pt>
                <c:pt idx="19">
                  <c:v>514743.66901393444</c:v>
                </c:pt>
                <c:pt idx="20">
                  <c:v>505248.76535666524</c:v>
                </c:pt>
                <c:pt idx="21">
                  <c:v>322163.69131868891</c:v>
                </c:pt>
                <c:pt idx="22">
                  <c:v>533432.96810974879</c:v>
                </c:pt>
                <c:pt idx="23">
                  <c:v>1062460.6470586215</c:v>
                </c:pt>
                <c:pt idx="24">
                  <c:v>985983.64892983576</c:v>
                </c:pt>
                <c:pt idx="25">
                  <c:v>102134.26954250061</c:v>
                </c:pt>
                <c:pt idx="26">
                  <c:v>1340657.640513544</c:v>
                </c:pt>
              </c:numCache>
            </c:numRef>
          </c:yVal>
          <c:smooth val="1"/>
          <c:extLst>
            <c:ext xmlns:c16="http://schemas.microsoft.com/office/drawing/2014/chart" uri="{C3380CC4-5D6E-409C-BE32-E72D297353CC}">
              <c16:uniqueId val="{00000007-6DF9-4C35-978D-EEFAF4026992}"/>
            </c:ext>
          </c:extLst>
        </c:ser>
        <c:ser>
          <c:idx val="7"/>
          <c:order val="6"/>
          <c:tx>
            <c:strRef>
              <c:f>ВРП!$AE$55</c:f>
              <c:strCache>
                <c:ptCount val="1"/>
                <c:pt idx="0">
                  <c:v>ЯНАО (по правой шкале)</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ВРП!$AF$47:$BF$47</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ВРП!$AF$55:$BF$55</c:f>
              <c:numCache>
                <c:formatCode>General</c:formatCode>
                <c:ptCount val="27"/>
                <c:pt idx="3">
                  <c:v>282482.83003422123</c:v>
                </c:pt>
                <c:pt idx="4">
                  <c:v>283446.45456807013</c:v>
                </c:pt>
                <c:pt idx="5">
                  <c:v>323228.79517649399</c:v>
                </c:pt>
                <c:pt idx="6">
                  <c:v>371341.35188866797</c:v>
                </c:pt>
                <c:pt idx="7">
                  <c:v>452341.1328819964</c:v>
                </c:pt>
                <c:pt idx="8">
                  <c:v>431912.08245443663</c:v>
                </c:pt>
                <c:pt idx="9">
                  <c:v>496056.32612915657</c:v>
                </c:pt>
                <c:pt idx="10">
                  <c:v>579170.43366662553</c:v>
                </c:pt>
                <c:pt idx="11">
                  <c:v>697541.6017117002</c:v>
                </c:pt>
                <c:pt idx="12">
                  <c:v>704276.74791316211</c:v>
                </c:pt>
                <c:pt idx="13">
                  <c:v>784805.78616288968</c:v>
                </c:pt>
                <c:pt idx="14">
                  <c:v>542406.25770009321</c:v>
                </c:pt>
                <c:pt idx="15">
                  <c:v>722750.33684827131</c:v>
                </c:pt>
                <c:pt idx="16">
                  <c:v>1002609.8537737929</c:v>
                </c:pt>
                <c:pt idx="17">
                  <c:v>1356696.899983089</c:v>
                </c:pt>
                <c:pt idx="18">
                  <c:v>1607499.8977103666</c:v>
                </c:pt>
                <c:pt idx="19">
                  <c:v>1955862.3066328887</c:v>
                </c:pt>
                <c:pt idx="20">
                  <c:v>2128360.6351025612</c:v>
                </c:pt>
                <c:pt idx="21">
                  <c:v>2505495.301693717</c:v>
                </c:pt>
                <c:pt idx="22">
                  <c:v>3259739.9465461615</c:v>
                </c:pt>
                <c:pt idx="23">
                  <c:v>4322930.2896928489</c:v>
                </c:pt>
                <c:pt idx="24">
                  <c:v>4444932.1992744068</c:v>
                </c:pt>
                <c:pt idx="25">
                  <c:v>3634404.1637842474</c:v>
                </c:pt>
                <c:pt idx="26">
                  <c:v>5926692.4186845925</c:v>
                </c:pt>
              </c:numCache>
            </c:numRef>
          </c:yVal>
          <c:smooth val="1"/>
          <c:extLst>
            <c:ext xmlns:c16="http://schemas.microsoft.com/office/drawing/2014/chart" uri="{C3380CC4-5D6E-409C-BE32-E72D297353CC}">
              <c16:uniqueId val="{00000008-6DF9-4C35-978D-EEFAF4026992}"/>
            </c:ext>
          </c:extLst>
        </c:ser>
        <c:dLbls>
          <c:showLegendKey val="0"/>
          <c:showVal val="0"/>
          <c:showCatName val="0"/>
          <c:showSerName val="0"/>
          <c:showPercent val="0"/>
          <c:showBubbleSize val="0"/>
        </c:dLbls>
        <c:axId val="337641472"/>
        <c:axId val="237103360"/>
      </c:scatterChart>
      <c:valAx>
        <c:axId val="237075456"/>
        <c:scaling>
          <c:orientation val="minMax"/>
          <c:max val="2021"/>
          <c:min val="199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101824"/>
        <c:crosses val="autoZero"/>
        <c:crossBetween val="midCat"/>
      </c:valAx>
      <c:valAx>
        <c:axId val="23710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075456"/>
        <c:crosses val="autoZero"/>
        <c:crossBetween val="midCat"/>
      </c:valAx>
      <c:valAx>
        <c:axId val="237103360"/>
        <c:scaling>
          <c:orientation val="minMax"/>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641472"/>
        <c:crosses val="max"/>
        <c:crossBetween val="midCat"/>
      </c:valAx>
      <c:valAx>
        <c:axId val="337641472"/>
        <c:scaling>
          <c:orientation val="minMax"/>
        </c:scaling>
        <c:delete val="1"/>
        <c:axPos val="b"/>
        <c:numFmt formatCode="General" sourceLinked="1"/>
        <c:majorTickMark val="out"/>
        <c:minorTickMark val="none"/>
        <c:tickLblPos val="nextTo"/>
        <c:crossAx val="237103360"/>
        <c:crosses val="autoZero"/>
        <c:crossBetween val="midCat"/>
      </c:valAx>
      <c:spPr>
        <a:noFill/>
        <a:ln>
          <a:noFill/>
        </a:ln>
        <a:effectLst/>
      </c:spPr>
    </c:plotArea>
    <c:legend>
      <c:legendPos val="b"/>
      <c:legendEntry>
        <c:idx val="3"/>
        <c:delete val="1"/>
      </c:legendEntry>
      <c:legendEntry>
        <c:idx val="4"/>
        <c:delete val="1"/>
      </c:legendEntry>
      <c:layout>
        <c:manualLayout>
          <c:xMode val="edge"/>
          <c:yMode val="edge"/>
          <c:x val="9.5829843824305518E-3"/>
          <c:y val="0.80319211204794083"/>
          <c:w val="0.99041701561756945"/>
          <c:h val="0.17779643694980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ВРП!$BI$20</c:f>
              <c:strCache>
                <c:ptCount val="1"/>
                <c:pt idx="0">
                  <c:v>Российская Федерация (по правой шкале)</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ВРП!$BM$20:$CI$20</c:f>
              <c:numCache>
                <c:formatCode>General</c:formatCode>
                <c:ptCount val="23"/>
                <c:pt idx="0">
                  <c:v>28401.631098528404</c:v>
                </c:pt>
                <c:pt idx="1">
                  <c:v>29483.45387882083</c:v>
                </c:pt>
                <c:pt idx="2">
                  <c:v>30147.149991566872</c:v>
                </c:pt>
                <c:pt idx="3">
                  <c:v>33073.800000000003</c:v>
                </c:pt>
                <c:pt idx="4">
                  <c:v>36478.992081722805</c:v>
                </c:pt>
                <c:pt idx="5">
                  <c:v>40755.981833241298</c:v>
                </c:pt>
                <c:pt idx="6">
                  <c:v>47051.43626725566</c:v>
                </c:pt>
                <c:pt idx="7">
                  <c:v>55902.287332965214</c:v>
                </c:pt>
                <c:pt idx="8">
                  <c:v>69745.528128106016</c:v>
                </c:pt>
                <c:pt idx="9">
                  <c:v>84643.926029817783</c:v>
                </c:pt>
                <c:pt idx="10">
                  <c:v>105244.26106018774</c:v>
                </c:pt>
                <c:pt idx="11">
                  <c:v>105285.86111540583</c:v>
                </c:pt>
                <c:pt idx="12">
                  <c:v>110272.31211485367</c:v>
                </c:pt>
                <c:pt idx="13">
                  <c:v>135575.321899503</c:v>
                </c:pt>
                <c:pt idx="14">
                  <c:v>152360.40154610714</c:v>
                </c:pt>
                <c:pt idx="15">
                  <c:v>165254.69458862505</c:v>
                </c:pt>
                <c:pt idx="16">
                  <c:v>171702.06500276091</c:v>
                </c:pt>
                <c:pt idx="17">
                  <c:v>167332.21205963555</c:v>
                </c:pt>
                <c:pt idx="18">
                  <c:v>167359.12439536164</c:v>
                </c:pt>
                <c:pt idx="19">
                  <c:v>175893.20923246822</c:v>
                </c:pt>
                <c:pt idx="20">
                  <c:v>225929.86870237434</c:v>
                </c:pt>
                <c:pt idx="21">
                  <c:v>235925.76516841524</c:v>
                </c:pt>
                <c:pt idx="22">
                  <c:v>226336.78805080065</c:v>
                </c:pt>
              </c:numCache>
            </c:numRef>
          </c:yVal>
          <c:smooth val="1"/>
          <c:extLst>
            <c:ext xmlns:c16="http://schemas.microsoft.com/office/drawing/2014/chart" uri="{C3380CC4-5D6E-409C-BE32-E72D297353CC}">
              <c16:uniqueId val="{00000000-656F-42E6-A62B-DF3137439B25}"/>
            </c:ext>
          </c:extLst>
        </c:ser>
        <c:ser>
          <c:idx val="1"/>
          <c:order val="1"/>
          <c:tx>
            <c:strRef>
              <c:f>ВРП!$BI$21</c:f>
              <c:strCache>
                <c:ptCount val="1"/>
                <c:pt idx="0">
                  <c:v>Уральский ФО (по правой шкале)</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ВРП!$BM$21:$CI$21</c:f>
              <c:numCache>
                <c:formatCode>General</c:formatCode>
                <c:ptCount val="23"/>
                <c:pt idx="0">
                  <c:v>27691.843105140888</c:v>
                </c:pt>
                <c:pt idx="1">
                  <c:v>27464.466338148806</c:v>
                </c:pt>
                <c:pt idx="2">
                  <c:v>29365.620331950209</c:v>
                </c:pt>
                <c:pt idx="3">
                  <c:v>32449.3</c:v>
                </c:pt>
                <c:pt idx="4">
                  <c:v>36991.572288138581</c:v>
                </c:pt>
                <c:pt idx="5">
                  <c:v>43149.925909234946</c:v>
                </c:pt>
                <c:pt idx="6">
                  <c:v>52178.004150969973</c:v>
                </c:pt>
                <c:pt idx="7">
                  <c:v>66062.964549519413</c:v>
                </c:pt>
                <c:pt idx="8">
                  <c:v>87230.463042636329</c:v>
                </c:pt>
                <c:pt idx="9">
                  <c:v>109119.50959053623</c:v>
                </c:pt>
                <c:pt idx="10">
                  <c:v>137917.94147801289</c:v>
                </c:pt>
                <c:pt idx="11">
                  <c:v>131082.29395838469</c:v>
                </c:pt>
                <c:pt idx="12">
                  <c:v>134295.27703411612</c:v>
                </c:pt>
                <c:pt idx="13">
                  <c:v>164442.34893145092</c:v>
                </c:pt>
                <c:pt idx="14">
                  <c:v>182042.39823962259</c:v>
                </c:pt>
                <c:pt idx="15">
                  <c:v>200868.70113368306</c:v>
                </c:pt>
                <c:pt idx="16">
                  <c:v>203346.93779178261</c:v>
                </c:pt>
                <c:pt idx="17">
                  <c:v>198695.93203182763</c:v>
                </c:pt>
                <c:pt idx="18">
                  <c:v>192964.19919726788</c:v>
                </c:pt>
                <c:pt idx="19">
                  <c:v>199726.74728373764</c:v>
                </c:pt>
                <c:pt idx="20">
                  <c:v>251452.15884237576</c:v>
                </c:pt>
                <c:pt idx="21">
                  <c:v>261004.82754638599</c:v>
                </c:pt>
                <c:pt idx="22">
                  <c:v>246671.23598563537</c:v>
                </c:pt>
              </c:numCache>
            </c:numRef>
          </c:yVal>
          <c:smooth val="1"/>
          <c:extLst>
            <c:ext xmlns:c16="http://schemas.microsoft.com/office/drawing/2014/chart" uri="{C3380CC4-5D6E-409C-BE32-E72D297353CC}">
              <c16:uniqueId val="{00000001-656F-42E6-A62B-DF3137439B25}"/>
            </c:ext>
          </c:extLst>
        </c:ser>
        <c:ser>
          <c:idx val="2"/>
          <c:order val="2"/>
          <c:tx>
            <c:strRef>
              <c:f>ВРП!$BI$22</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ВРП!$BM$22:$CI$22</c:f>
              <c:numCache>
                <c:formatCode>General</c:formatCode>
                <c:ptCount val="23"/>
                <c:pt idx="0">
                  <c:v>16582.81021482719</c:v>
                </c:pt>
                <c:pt idx="1">
                  <c:v>16784.573419039447</c:v>
                </c:pt>
                <c:pt idx="2">
                  <c:v>17323.013416255966</c:v>
                </c:pt>
                <c:pt idx="3">
                  <c:v>18740.5</c:v>
                </c:pt>
                <c:pt idx="4">
                  <c:v>23768.97722915246</c:v>
                </c:pt>
                <c:pt idx="5">
                  <c:v>25693.721391039267</c:v>
                </c:pt>
                <c:pt idx="6">
                  <c:v>33180.824824515657</c:v>
                </c:pt>
                <c:pt idx="7">
                  <c:v>38856.386984076045</c:v>
                </c:pt>
                <c:pt idx="8">
                  <c:v>52531.33222494083</c:v>
                </c:pt>
                <c:pt idx="9">
                  <c:v>68729.997537202682</c:v>
                </c:pt>
                <c:pt idx="10">
                  <c:v>91341.757037423289</c:v>
                </c:pt>
                <c:pt idx="11">
                  <c:v>97214.653483614777</c:v>
                </c:pt>
                <c:pt idx="12">
                  <c:v>89080.583642854283</c:v>
                </c:pt>
                <c:pt idx="13">
                  <c:v>101757.61062131482</c:v>
                </c:pt>
                <c:pt idx="14">
                  <c:v>113877.25958846416</c:v>
                </c:pt>
                <c:pt idx="15">
                  <c:v>124352.31624483573</c:v>
                </c:pt>
                <c:pt idx="16">
                  <c:v>122057.75430588424</c:v>
                </c:pt>
                <c:pt idx="17">
                  <c:v>121053.67829208616</c:v>
                </c:pt>
                <c:pt idx="18">
                  <c:v>118501.61776503149</c:v>
                </c:pt>
                <c:pt idx="19">
                  <c:v>123480.54378885725</c:v>
                </c:pt>
                <c:pt idx="20">
                  <c:v>149690.69466126509</c:v>
                </c:pt>
                <c:pt idx="21">
                  <c:v>161223.1328707232</c:v>
                </c:pt>
                <c:pt idx="22">
                  <c:v>157238.2277485861</c:v>
                </c:pt>
              </c:numCache>
            </c:numRef>
          </c:yVal>
          <c:smooth val="1"/>
          <c:extLst>
            <c:ext xmlns:c16="http://schemas.microsoft.com/office/drawing/2014/chart" uri="{C3380CC4-5D6E-409C-BE32-E72D297353CC}">
              <c16:uniqueId val="{00000002-656F-42E6-A62B-DF3137439B25}"/>
            </c:ext>
          </c:extLst>
        </c:ser>
        <c:ser>
          <c:idx val="3"/>
          <c:order val="3"/>
          <c:tx>
            <c:strRef>
              <c:f>ВРП!$BI$23</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ВРП!$BM$23:$CI$23</c:f>
              <c:numCache>
                <c:formatCode>General</c:formatCode>
                <c:ptCount val="23"/>
                <c:pt idx="0">
                  <c:v>25191.917211846761</c:v>
                </c:pt>
                <c:pt idx="1">
                  <c:v>24859.256666320234</c:v>
                </c:pt>
                <c:pt idx="2">
                  <c:v>26906.145796570665</c:v>
                </c:pt>
                <c:pt idx="3">
                  <c:v>30202.3</c:v>
                </c:pt>
                <c:pt idx="4">
                  <c:v>33898.896971476817</c:v>
                </c:pt>
                <c:pt idx="5">
                  <c:v>40815.587364634193</c:v>
                </c:pt>
                <c:pt idx="6">
                  <c:v>50855.799148342565</c:v>
                </c:pt>
                <c:pt idx="7">
                  <c:v>64193.449194229281</c:v>
                </c:pt>
                <c:pt idx="8">
                  <c:v>82782.348753716811</c:v>
                </c:pt>
                <c:pt idx="9">
                  <c:v>103973.11601629895</c:v>
                </c:pt>
                <c:pt idx="10">
                  <c:v>131235.91484894094</c:v>
                </c:pt>
                <c:pt idx="11">
                  <c:v>131093.0261480856</c:v>
                </c:pt>
                <c:pt idx="12">
                  <c:v>150803.07984288389</c:v>
                </c:pt>
                <c:pt idx="13">
                  <c:v>186748.29641716531</c:v>
                </c:pt>
                <c:pt idx="14">
                  <c:v>206761.69031606769</c:v>
                </c:pt>
                <c:pt idx="15">
                  <c:v>231845.51645681143</c:v>
                </c:pt>
                <c:pt idx="16">
                  <c:v>237684.00548070925</c:v>
                </c:pt>
                <c:pt idx="17">
                  <c:v>241161.68833009066</c:v>
                </c:pt>
                <c:pt idx="18">
                  <c:v>240077.71708821267</c:v>
                </c:pt>
                <c:pt idx="19">
                  <c:v>244831.78236114682</c:v>
                </c:pt>
                <c:pt idx="20">
                  <c:v>297478.92990345438</c:v>
                </c:pt>
                <c:pt idx="21">
                  <c:v>314557.48822730442</c:v>
                </c:pt>
                <c:pt idx="22">
                  <c:v>275446.87610586983</c:v>
                </c:pt>
              </c:numCache>
            </c:numRef>
          </c:yVal>
          <c:smooth val="1"/>
          <c:extLst>
            <c:ext xmlns:c16="http://schemas.microsoft.com/office/drawing/2014/chart" uri="{C3380CC4-5D6E-409C-BE32-E72D297353CC}">
              <c16:uniqueId val="{00000003-656F-42E6-A62B-DF3137439B25}"/>
            </c:ext>
          </c:extLst>
        </c:ser>
        <c:ser>
          <c:idx val="4"/>
          <c:order val="4"/>
          <c:tx>
            <c:strRef>
              <c:f>ВРП!$BI$24</c:f>
              <c:strCache>
                <c:ptCount val="1"/>
                <c:pt idx="0">
                  <c:v>Тюменская область</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ВРП!$BM$24:$CI$24</c:f>
              <c:numCache>
                <c:formatCode>General</c:formatCode>
                <c:ptCount val="23"/>
              </c:numCache>
            </c:numRef>
          </c:yVal>
          <c:smooth val="1"/>
          <c:extLst>
            <c:ext xmlns:c16="http://schemas.microsoft.com/office/drawing/2014/chart" uri="{C3380CC4-5D6E-409C-BE32-E72D297353CC}">
              <c16:uniqueId val="{00000004-656F-42E6-A62B-DF3137439B25}"/>
            </c:ext>
          </c:extLst>
        </c:ser>
        <c:ser>
          <c:idx val="5"/>
          <c:order val="5"/>
          <c:tx>
            <c:strRef>
              <c:f>ВРП!$BI$25</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ВРП!$BM$25:$CI$25</c:f>
              <c:numCache>
                <c:formatCode>General</c:formatCode>
                <c:ptCount val="23"/>
              </c:numCache>
            </c:numRef>
          </c:yVal>
          <c:smooth val="1"/>
          <c:extLst>
            <c:ext xmlns:c16="http://schemas.microsoft.com/office/drawing/2014/chart" uri="{C3380CC4-5D6E-409C-BE32-E72D297353CC}">
              <c16:uniqueId val="{00000005-656F-42E6-A62B-DF3137439B25}"/>
            </c:ext>
          </c:extLst>
        </c:ser>
        <c:ser>
          <c:idx val="6"/>
          <c:order val="6"/>
          <c:tx>
            <c:strRef>
              <c:f>ВРП!$BI$26</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ВРП!$BM$26:$CI$26</c:f>
              <c:numCache>
                <c:formatCode>General</c:formatCode>
                <c:ptCount val="23"/>
                <c:pt idx="0">
                  <c:v>44760.314889755318</c:v>
                </c:pt>
                <c:pt idx="1">
                  <c:v>44309.983021167573</c:v>
                </c:pt>
                <c:pt idx="2">
                  <c:v>46155.291512048054</c:v>
                </c:pt>
                <c:pt idx="3">
                  <c:v>51471.878424492803</c:v>
                </c:pt>
                <c:pt idx="4">
                  <c:v>53830.417366042653</c:v>
                </c:pt>
                <c:pt idx="5">
                  <c:v>62571.579605216379</c:v>
                </c:pt>
                <c:pt idx="6">
                  <c:v>71368.568530859528</c:v>
                </c:pt>
                <c:pt idx="7">
                  <c:v>88531.778565603949</c:v>
                </c:pt>
                <c:pt idx="8">
                  <c:v>115694.90901467836</c:v>
                </c:pt>
                <c:pt idx="9">
                  <c:v>147775.31999509281</c:v>
                </c:pt>
                <c:pt idx="10">
                  <c:v>179490.00885144781</c:v>
                </c:pt>
                <c:pt idx="11">
                  <c:v>155288.60237979796</c:v>
                </c:pt>
                <c:pt idx="12">
                  <c:v>139890.63998024055</c:v>
                </c:pt>
                <c:pt idx="13">
                  <c:v>180209.54429332278</c:v>
                </c:pt>
                <c:pt idx="14">
                  <c:v>196337.01469526388</c:v>
                </c:pt>
                <c:pt idx="15">
                  <c:v>218553.65988514893</c:v>
                </c:pt>
                <c:pt idx="16">
                  <c:v>220892.82967216181</c:v>
                </c:pt>
                <c:pt idx="17">
                  <c:v>208177.5950731716</c:v>
                </c:pt>
                <c:pt idx="18">
                  <c:v>195303.1796939245</c:v>
                </c:pt>
                <c:pt idx="19">
                  <c:v>215126.06670151631</c:v>
                </c:pt>
                <c:pt idx="20">
                  <c:v>291201.99744360999</c:v>
                </c:pt>
                <c:pt idx="21">
                  <c:v>289710.67437905527</c:v>
                </c:pt>
                <c:pt idx="22">
                  <c:v>267493.6267147832</c:v>
                </c:pt>
              </c:numCache>
            </c:numRef>
          </c:yVal>
          <c:smooth val="1"/>
          <c:extLst>
            <c:ext xmlns:c16="http://schemas.microsoft.com/office/drawing/2014/chart" uri="{C3380CC4-5D6E-409C-BE32-E72D297353CC}">
              <c16:uniqueId val="{00000006-656F-42E6-A62B-DF3137439B25}"/>
            </c:ext>
          </c:extLst>
        </c:ser>
        <c:ser>
          <c:idx val="7"/>
          <c:order val="7"/>
          <c:tx>
            <c:strRef>
              <c:f>ВРП!$BI$27</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ВРП!$BM$27:$CI$27</c:f>
              <c:numCache>
                <c:formatCode>General</c:formatCode>
                <c:ptCount val="23"/>
                <c:pt idx="0">
                  <c:v>59585.904927301584</c:v>
                </c:pt>
                <c:pt idx="1">
                  <c:v>59547.322764191878</c:v>
                </c:pt>
                <c:pt idx="2">
                  <c:v>63094.347881298898</c:v>
                </c:pt>
                <c:pt idx="3">
                  <c:v>68006.782060862883</c:v>
                </c:pt>
                <c:pt idx="4">
                  <c:v>74771.699070949282</c:v>
                </c:pt>
                <c:pt idx="5">
                  <c:v>84509.408936201464</c:v>
                </c:pt>
                <c:pt idx="6">
                  <c:v>98543.47922251877</c:v>
                </c:pt>
                <c:pt idx="7">
                  <c:v>117741.83825686746</c:v>
                </c:pt>
                <c:pt idx="8">
                  <c:v>154831.39478312904</c:v>
                </c:pt>
                <c:pt idx="9">
                  <c:v>195343.62122129987</c:v>
                </c:pt>
                <c:pt idx="10">
                  <c:v>231008.36702716784</c:v>
                </c:pt>
                <c:pt idx="11">
                  <c:v>192467.55251449253</c:v>
                </c:pt>
                <c:pt idx="12">
                  <c:v>174139.1500254386</c:v>
                </c:pt>
                <c:pt idx="13">
                  <c:v>222318.8707532344</c:v>
                </c:pt>
                <c:pt idx="14">
                  <c:v>246829.72199825864</c:v>
                </c:pt>
                <c:pt idx="15">
                  <c:v>263204.41075195768</c:v>
                </c:pt>
                <c:pt idx="16">
                  <c:v>253690.0130116363</c:v>
                </c:pt>
                <c:pt idx="17">
                  <c:v>249763.880925484</c:v>
                </c:pt>
                <c:pt idx="18">
                  <c:v>225472.02368276883</c:v>
                </c:pt>
                <c:pt idx="19">
                  <c:v>250040.3397937298</c:v>
                </c:pt>
                <c:pt idx="20">
                  <c:v>326488.44882000814</c:v>
                </c:pt>
                <c:pt idx="21">
                  <c:v>321908.24231251155</c:v>
                </c:pt>
                <c:pt idx="22">
                  <c:v>318722.73883309809</c:v>
                </c:pt>
              </c:numCache>
            </c:numRef>
          </c:yVal>
          <c:smooth val="1"/>
          <c:extLst>
            <c:ext xmlns:c16="http://schemas.microsoft.com/office/drawing/2014/chart" uri="{C3380CC4-5D6E-409C-BE32-E72D297353CC}">
              <c16:uniqueId val="{00000007-656F-42E6-A62B-DF3137439B25}"/>
            </c:ext>
          </c:extLst>
        </c:ser>
        <c:ser>
          <c:idx val="8"/>
          <c:order val="8"/>
          <c:tx>
            <c:strRef>
              <c:f>ВРП!$BI$28</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ВРП!$BM$28:$CI$28</c:f>
              <c:numCache>
                <c:formatCode>General</c:formatCode>
                <c:ptCount val="23"/>
                <c:pt idx="0">
                  <c:v>33688.929572414781</c:v>
                </c:pt>
                <c:pt idx="1">
                  <c:v>33479.857455300546</c:v>
                </c:pt>
                <c:pt idx="2">
                  <c:v>35085.47383307392</c:v>
                </c:pt>
                <c:pt idx="3">
                  <c:v>39093.30118395044</c:v>
                </c:pt>
                <c:pt idx="4">
                  <c:v>43065.977773483042</c:v>
                </c:pt>
                <c:pt idx="5">
                  <c:v>49772.980490380767</c:v>
                </c:pt>
                <c:pt idx="6">
                  <c:v>61369.763799752218</c:v>
                </c:pt>
                <c:pt idx="7">
                  <c:v>79698.835924663435</c:v>
                </c:pt>
                <c:pt idx="8">
                  <c:v>104278.11031668236</c:v>
                </c:pt>
                <c:pt idx="9">
                  <c:v>129844.88257122276</c:v>
                </c:pt>
                <c:pt idx="10">
                  <c:v>158811.23568242459</c:v>
                </c:pt>
                <c:pt idx="11">
                  <c:v>146783.26083264712</c:v>
                </c:pt>
                <c:pt idx="12">
                  <c:v>129428.68278807584</c:v>
                </c:pt>
                <c:pt idx="13">
                  <c:v>150874.11600554091</c:v>
                </c:pt>
                <c:pt idx="14">
                  <c:v>171201.35242647963</c:v>
                </c:pt>
                <c:pt idx="15">
                  <c:v>179647.96685084095</c:v>
                </c:pt>
                <c:pt idx="16">
                  <c:v>181364.86448062281</c:v>
                </c:pt>
                <c:pt idx="17">
                  <c:v>172271.18172058283</c:v>
                </c:pt>
                <c:pt idx="18">
                  <c:v>169793.57593758681</c:v>
                </c:pt>
                <c:pt idx="19">
                  <c:v>173859.55967546112</c:v>
                </c:pt>
                <c:pt idx="20">
                  <c:v>224823.1022377034</c:v>
                </c:pt>
                <c:pt idx="21">
                  <c:v>227299.14072526319</c:v>
                </c:pt>
                <c:pt idx="22">
                  <c:v>218935.9243032482</c:v>
                </c:pt>
              </c:numCache>
            </c:numRef>
          </c:yVal>
          <c:smooth val="1"/>
          <c:extLst>
            <c:ext xmlns:c16="http://schemas.microsoft.com/office/drawing/2014/chart" uri="{C3380CC4-5D6E-409C-BE32-E72D297353CC}">
              <c16:uniqueId val="{00000008-656F-42E6-A62B-DF3137439B25}"/>
            </c:ext>
          </c:extLst>
        </c:ser>
        <c:ser>
          <c:idx val="9"/>
          <c:order val="9"/>
          <c:tx>
            <c:strRef>
              <c:f>ВРП!$BI$29</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ВРП!$BM$19:$CI$19</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xVal>
          <c:yVal>
            <c:numRef>
              <c:f>ВРП!$BM$29:$CI$29</c:f>
              <c:numCache>
                <c:formatCode>General</c:formatCode>
                <c:ptCount val="23"/>
                <c:pt idx="0">
                  <c:v>20817.827281808561</c:v>
                </c:pt>
                <c:pt idx="1">
                  <c:v>21189.636221803805</c:v>
                </c:pt>
                <c:pt idx="2">
                  <c:v>23169.898909907024</c:v>
                </c:pt>
                <c:pt idx="3">
                  <c:v>24043</c:v>
                </c:pt>
                <c:pt idx="4">
                  <c:v>28544.890213375555</c:v>
                </c:pt>
                <c:pt idx="5">
                  <c:v>33306.482673603256</c:v>
                </c:pt>
                <c:pt idx="6">
                  <c:v>39079.152348639065</c:v>
                </c:pt>
                <c:pt idx="7">
                  <c:v>52205.007720726833</c:v>
                </c:pt>
                <c:pt idx="8">
                  <c:v>70940.704033778165</c:v>
                </c:pt>
                <c:pt idx="9">
                  <c:v>86076.086639523477</c:v>
                </c:pt>
                <c:pt idx="10">
                  <c:v>114538.82027444772</c:v>
                </c:pt>
                <c:pt idx="11">
                  <c:v>110785.66554324061</c:v>
                </c:pt>
                <c:pt idx="12">
                  <c:v>114701.3875065973</c:v>
                </c:pt>
                <c:pt idx="13">
                  <c:v>135237.98415139865</c:v>
                </c:pt>
                <c:pt idx="14">
                  <c:v>146355.26165271809</c:v>
                </c:pt>
                <c:pt idx="15">
                  <c:v>156921.84931011082</c:v>
                </c:pt>
                <c:pt idx="16">
                  <c:v>159447.36901153583</c:v>
                </c:pt>
                <c:pt idx="17">
                  <c:v>147137.15887054213</c:v>
                </c:pt>
                <c:pt idx="18">
                  <c:v>135322.2367186911</c:v>
                </c:pt>
                <c:pt idx="19">
                  <c:v>140919.92734675412</c:v>
                </c:pt>
                <c:pt idx="20">
                  <c:v>176498.30519490311</c:v>
                </c:pt>
                <c:pt idx="21">
                  <c:v>183027.56126064993</c:v>
                </c:pt>
                <c:pt idx="22">
                  <c:v>192049.40297821007</c:v>
                </c:pt>
              </c:numCache>
            </c:numRef>
          </c:yVal>
          <c:smooth val="1"/>
          <c:extLst>
            <c:ext xmlns:c16="http://schemas.microsoft.com/office/drawing/2014/chart" uri="{C3380CC4-5D6E-409C-BE32-E72D297353CC}">
              <c16:uniqueId val="{00000009-656F-42E6-A62B-DF3137439B25}"/>
            </c:ext>
          </c:extLst>
        </c:ser>
        <c:dLbls>
          <c:showLegendKey val="0"/>
          <c:showVal val="0"/>
          <c:showCatName val="0"/>
          <c:showSerName val="0"/>
          <c:showPercent val="0"/>
          <c:showBubbleSize val="0"/>
        </c:dLbls>
        <c:axId val="337694080"/>
        <c:axId val="337712640"/>
      </c:scatterChart>
      <c:valAx>
        <c:axId val="337694080"/>
        <c:scaling>
          <c:orientation val="minMax"/>
          <c:max val="2020"/>
          <c:min val="199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712640"/>
        <c:crosses val="autoZero"/>
        <c:crossBetween val="midCat"/>
      </c:valAx>
      <c:valAx>
        <c:axId val="33771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694080"/>
        <c:crosses val="autoZero"/>
        <c:crossBetween val="midCat"/>
      </c:valAx>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'Финансы доходы'!$A$49</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доходы'!$B$49:$AC$49</c:f>
              <c:numCache>
                <c:formatCode>General</c:formatCode>
                <c:ptCount val="28"/>
                <c:pt idx="6">
                  <c:v>9.5399999999999991</c:v>
                </c:pt>
                <c:pt idx="7">
                  <c:v>16.25</c:v>
                </c:pt>
                <c:pt idx="8">
                  <c:v>16.010000000000002</c:v>
                </c:pt>
                <c:pt idx="9">
                  <c:v>14.8</c:v>
                </c:pt>
                <c:pt idx="10">
                  <c:v>8.98</c:v>
                </c:pt>
                <c:pt idx="11">
                  <c:v>14.74</c:v>
                </c:pt>
                <c:pt idx="12">
                  <c:v>15.88</c:v>
                </c:pt>
                <c:pt idx="13">
                  <c:v>13.36</c:v>
                </c:pt>
                <c:pt idx="14">
                  <c:v>19.43</c:v>
                </c:pt>
                <c:pt idx="15">
                  <c:v>27.31</c:v>
                </c:pt>
                <c:pt idx="16">
                  <c:v>23.12</c:v>
                </c:pt>
                <c:pt idx="17">
                  <c:v>23.14</c:v>
                </c:pt>
                <c:pt idx="18">
                  <c:v>20.83</c:v>
                </c:pt>
                <c:pt idx="19">
                  <c:v>19.309999999999999</c:v>
                </c:pt>
                <c:pt idx="20">
                  <c:v>19.41</c:v>
                </c:pt>
                <c:pt idx="21">
                  <c:v>18.079999999999998</c:v>
                </c:pt>
                <c:pt idx="22">
                  <c:v>16.47</c:v>
                </c:pt>
                <c:pt idx="23">
                  <c:v>16.47</c:v>
                </c:pt>
                <c:pt idx="24">
                  <c:v>17.510000000000002</c:v>
                </c:pt>
                <c:pt idx="25">
                  <c:v>19</c:v>
                </c:pt>
                <c:pt idx="26">
                  <c:v>27.53</c:v>
                </c:pt>
                <c:pt idx="27">
                  <c:v>22.2</c:v>
                </c:pt>
              </c:numCache>
            </c:numRef>
          </c:yVal>
          <c:smooth val="1"/>
          <c:extLst>
            <c:ext xmlns:c16="http://schemas.microsoft.com/office/drawing/2014/chart" uri="{C3380CC4-5D6E-409C-BE32-E72D297353CC}">
              <c16:uniqueId val="{00000000-2341-418F-8D73-512AC2A76504}"/>
            </c:ext>
          </c:extLst>
        </c:ser>
        <c:ser>
          <c:idx val="1"/>
          <c:order val="1"/>
          <c:tx>
            <c:strRef>
              <c:f>'Финансы доходы'!$A$50</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доходы'!$B$50:$AC$50</c:f>
              <c:numCache>
                <c:formatCode>General</c:formatCode>
                <c:ptCount val="28"/>
              </c:numCache>
            </c:numRef>
          </c:yVal>
          <c:smooth val="1"/>
          <c:extLst>
            <c:ext xmlns:c16="http://schemas.microsoft.com/office/drawing/2014/chart" uri="{C3380CC4-5D6E-409C-BE32-E72D297353CC}">
              <c16:uniqueId val="{00000001-2341-418F-8D73-512AC2A76504}"/>
            </c:ext>
          </c:extLst>
        </c:ser>
        <c:ser>
          <c:idx val="2"/>
          <c:order val="2"/>
          <c:tx>
            <c:strRef>
              <c:f>'Финансы доходы'!$A$51</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доходы'!$B$51:$AC$51</c:f>
              <c:numCache>
                <c:formatCode>General</c:formatCode>
                <c:ptCount val="28"/>
                <c:pt idx="6">
                  <c:v>23.71</c:v>
                </c:pt>
                <c:pt idx="7">
                  <c:v>44.36</c:v>
                </c:pt>
                <c:pt idx="8">
                  <c:v>53.36</c:v>
                </c:pt>
                <c:pt idx="9">
                  <c:v>47.52</c:v>
                </c:pt>
                <c:pt idx="10">
                  <c:v>42.75</c:v>
                </c:pt>
                <c:pt idx="11">
                  <c:v>48.63</c:v>
                </c:pt>
                <c:pt idx="12">
                  <c:v>41.92</c:v>
                </c:pt>
                <c:pt idx="13">
                  <c:v>42.73</c:v>
                </c:pt>
                <c:pt idx="14">
                  <c:v>44.71</c:v>
                </c:pt>
                <c:pt idx="15">
                  <c:v>53.5</c:v>
                </c:pt>
                <c:pt idx="16">
                  <c:v>47.25</c:v>
                </c:pt>
                <c:pt idx="17">
                  <c:v>47.41</c:v>
                </c:pt>
                <c:pt idx="18">
                  <c:v>44.67</c:v>
                </c:pt>
                <c:pt idx="19">
                  <c:v>42.91</c:v>
                </c:pt>
                <c:pt idx="20">
                  <c:v>40.78</c:v>
                </c:pt>
                <c:pt idx="21">
                  <c:v>43.64</c:v>
                </c:pt>
                <c:pt idx="22">
                  <c:v>40.729999999999997</c:v>
                </c:pt>
                <c:pt idx="23">
                  <c:v>41.56</c:v>
                </c:pt>
                <c:pt idx="24">
                  <c:v>46.34</c:v>
                </c:pt>
                <c:pt idx="25">
                  <c:v>52.63</c:v>
                </c:pt>
                <c:pt idx="26">
                  <c:v>54.07</c:v>
                </c:pt>
                <c:pt idx="27">
                  <c:v>51.65</c:v>
                </c:pt>
              </c:numCache>
            </c:numRef>
          </c:yVal>
          <c:smooth val="1"/>
          <c:extLst>
            <c:ext xmlns:c16="http://schemas.microsoft.com/office/drawing/2014/chart" uri="{C3380CC4-5D6E-409C-BE32-E72D297353CC}">
              <c16:uniqueId val="{00000002-2341-418F-8D73-512AC2A76504}"/>
            </c:ext>
          </c:extLst>
        </c:ser>
        <c:ser>
          <c:idx val="3"/>
          <c:order val="3"/>
          <c:tx>
            <c:strRef>
              <c:f>'Финансы доходы'!$A$52</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доходы'!$B$52:$AC$52</c:f>
              <c:numCache>
                <c:formatCode>General</c:formatCode>
                <c:ptCount val="28"/>
                <c:pt idx="6">
                  <c:v>1.81</c:v>
                </c:pt>
                <c:pt idx="7">
                  <c:v>6.22</c:v>
                </c:pt>
                <c:pt idx="8">
                  <c:v>6.37</c:v>
                </c:pt>
                <c:pt idx="9">
                  <c:v>6.85</c:v>
                </c:pt>
                <c:pt idx="10">
                  <c:v>-0.94</c:v>
                </c:pt>
                <c:pt idx="11">
                  <c:v>6.13</c:v>
                </c:pt>
                <c:pt idx="12">
                  <c:v>7.41</c:v>
                </c:pt>
                <c:pt idx="13">
                  <c:v>8.4600000000000009</c:v>
                </c:pt>
                <c:pt idx="14">
                  <c:v>12.07</c:v>
                </c:pt>
                <c:pt idx="15">
                  <c:v>21.69</c:v>
                </c:pt>
                <c:pt idx="16">
                  <c:v>15.25</c:v>
                </c:pt>
                <c:pt idx="17">
                  <c:v>12.02</c:v>
                </c:pt>
                <c:pt idx="18">
                  <c:v>9.39</c:v>
                </c:pt>
                <c:pt idx="19">
                  <c:v>9.2200000000000006</c:v>
                </c:pt>
                <c:pt idx="20">
                  <c:v>10.119999999999999</c:v>
                </c:pt>
                <c:pt idx="21">
                  <c:v>10.07</c:v>
                </c:pt>
                <c:pt idx="22">
                  <c:v>9.3800000000000008</c:v>
                </c:pt>
                <c:pt idx="23">
                  <c:v>6.85</c:v>
                </c:pt>
                <c:pt idx="24">
                  <c:v>8.43</c:v>
                </c:pt>
                <c:pt idx="25">
                  <c:v>9.59</c:v>
                </c:pt>
                <c:pt idx="26">
                  <c:v>19.93</c:v>
                </c:pt>
                <c:pt idx="27">
                  <c:v>15.44</c:v>
                </c:pt>
              </c:numCache>
            </c:numRef>
          </c:yVal>
          <c:smooth val="1"/>
          <c:extLst>
            <c:ext xmlns:c16="http://schemas.microsoft.com/office/drawing/2014/chart" uri="{C3380CC4-5D6E-409C-BE32-E72D297353CC}">
              <c16:uniqueId val="{00000003-2341-418F-8D73-512AC2A76504}"/>
            </c:ext>
          </c:extLst>
        </c:ser>
        <c:ser>
          <c:idx val="4"/>
          <c:order val="4"/>
          <c:tx>
            <c:strRef>
              <c:f>'Финансы доходы'!$A$53</c:f>
              <c:strCache>
                <c:ptCount val="1"/>
                <c:pt idx="0">
                  <c:v>Тюменская область вместе с ХМАО и ЯНАО</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доходы'!$B$53:$AC$53</c:f>
              <c:numCache>
                <c:formatCode>General</c:formatCode>
                <c:ptCount val="28"/>
                <c:pt idx="6">
                  <c:v>3.25</c:v>
                </c:pt>
                <c:pt idx="7">
                  <c:v>4.8099999999999996</c:v>
                </c:pt>
                <c:pt idx="8">
                  <c:v>2.85</c:v>
                </c:pt>
                <c:pt idx="9">
                  <c:v>3.86</c:v>
                </c:pt>
                <c:pt idx="10">
                  <c:v>-18.09</c:v>
                </c:pt>
                <c:pt idx="11">
                  <c:v>0.92</c:v>
                </c:pt>
                <c:pt idx="12">
                  <c:v>1.1000000000000001</c:v>
                </c:pt>
                <c:pt idx="13">
                  <c:v>3.19</c:v>
                </c:pt>
                <c:pt idx="14">
                  <c:v>4.18</c:v>
                </c:pt>
                <c:pt idx="15">
                  <c:v>5.35</c:v>
                </c:pt>
                <c:pt idx="16">
                  <c:v>27.71</c:v>
                </c:pt>
                <c:pt idx="17">
                  <c:v>19.91</c:v>
                </c:pt>
                <c:pt idx="18">
                  <c:v>15.15</c:v>
                </c:pt>
                <c:pt idx="19">
                  <c:v>10.89</c:v>
                </c:pt>
                <c:pt idx="20">
                  <c:v>4.16</c:v>
                </c:pt>
                <c:pt idx="21">
                  <c:v>5.1100000000000003</c:v>
                </c:pt>
                <c:pt idx="22">
                  <c:v>5.52</c:v>
                </c:pt>
                <c:pt idx="23">
                  <c:v>4.5199999999999996</c:v>
                </c:pt>
                <c:pt idx="24">
                  <c:v>3.9</c:v>
                </c:pt>
                <c:pt idx="25">
                  <c:v>4.47</c:v>
                </c:pt>
                <c:pt idx="26">
                  <c:v>9.2799999999999994</c:v>
                </c:pt>
                <c:pt idx="27">
                  <c:v>6.58</c:v>
                </c:pt>
              </c:numCache>
            </c:numRef>
          </c:yVal>
          <c:smooth val="1"/>
          <c:extLst>
            <c:ext xmlns:c16="http://schemas.microsoft.com/office/drawing/2014/chart" uri="{C3380CC4-5D6E-409C-BE32-E72D297353CC}">
              <c16:uniqueId val="{00000004-2341-418F-8D73-512AC2A76504}"/>
            </c:ext>
          </c:extLst>
        </c:ser>
        <c:ser>
          <c:idx val="5"/>
          <c:order val="5"/>
          <c:tx>
            <c:strRef>
              <c:f>'Финансы доходы'!$A$54</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доходы'!$B$54:$AC$54</c:f>
              <c:numCache>
                <c:formatCode>General</c:formatCode>
                <c:ptCount val="28"/>
              </c:numCache>
            </c:numRef>
          </c:yVal>
          <c:smooth val="1"/>
          <c:extLst>
            <c:ext xmlns:c16="http://schemas.microsoft.com/office/drawing/2014/chart" uri="{C3380CC4-5D6E-409C-BE32-E72D297353CC}">
              <c16:uniqueId val="{00000005-2341-418F-8D73-512AC2A76504}"/>
            </c:ext>
          </c:extLst>
        </c:ser>
        <c:ser>
          <c:idx val="6"/>
          <c:order val="6"/>
          <c:tx>
            <c:strRef>
              <c:f>'Финансы доходы'!$A$55</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доходы'!$B$55:$AC$55</c:f>
              <c:numCache>
                <c:formatCode>General</c:formatCode>
                <c:ptCount val="28"/>
                <c:pt idx="6">
                  <c:v>3.64</c:v>
                </c:pt>
                <c:pt idx="7">
                  <c:v>5.32</c:v>
                </c:pt>
                <c:pt idx="8">
                  <c:v>1.78</c:v>
                </c:pt>
                <c:pt idx="9">
                  <c:v>1.1100000000000001</c:v>
                </c:pt>
                <c:pt idx="10">
                  <c:v>-32.72</c:v>
                </c:pt>
                <c:pt idx="11">
                  <c:v>-42.8</c:v>
                </c:pt>
                <c:pt idx="12">
                  <c:v>-2.0099999999999998</c:v>
                </c:pt>
                <c:pt idx="13">
                  <c:v>3.18</c:v>
                </c:pt>
                <c:pt idx="14">
                  <c:v>4.79</c:v>
                </c:pt>
                <c:pt idx="15">
                  <c:v>5.9</c:v>
                </c:pt>
                <c:pt idx="16">
                  <c:v>4.9400000000000004</c:v>
                </c:pt>
                <c:pt idx="17">
                  <c:v>8.1999999999999993</c:v>
                </c:pt>
                <c:pt idx="18">
                  <c:v>4.93</c:v>
                </c:pt>
                <c:pt idx="19">
                  <c:v>3.82</c:v>
                </c:pt>
                <c:pt idx="20">
                  <c:v>4.05</c:v>
                </c:pt>
                <c:pt idx="21">
                  <c:v>5.71</c:v>
                </c:pt>
                <c:pt idx="22">
                  <c:v>4.24</c:v>
                </c:pt>
                <c:pt idx="23">
                  <c:v>4.9400000000000004</c:v>
                </c:pt>
                <c:pt idx="24">
                  <c:v>5.25</c:v>
                </c:pt>
                <c:pt idx="25">
                  <c:v>9.84</c:v>
                </c:pt>
                <c:pt idx="26">
                  <c:v>9.42</c:v>
                </c:pt>
                <c:pt idx="27">
                  <c:v>6.82</c:v>
                </c:pt>
              </c:numCache>
            </c:numRef>
          </c:yVal>
          <c:smooth val="1"/>
          <c:extLst>
            <c:ext xmlns:c16="http://schemas.microsoft.com/office/drawing/2014/chart" uri="{C3380CC4-5D6E-409C-BE32-E72D297353CC}">
              <c16:uniqueId val="{00000006-2341-418F-8D73-512AC2A76504}"/>
            </c:ext>
          </c:extLst>
        </c:ser>
        <c:ser>
          <c:idx val="7"/>
          <c:order val="7"/>
          <c:tx>
            <c:strRef>
              <c:f>'Финансы доходы'!$A$56</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доходы'!$B$56:$AC$56</c:f>
              <c:numCache>
                <c:formatCode>General</c:formatCode>
                <c:ptCount val="28"/>
                <c:pt idx="6">
                  <c:v>3.35</c:v>
                </c:pt>
                <c:pt idx="7">
                  <c:v>4.0599999999999996</c:v>
                </c:pt>
                <c:pt idx="8">
                  <c:v>3.88</c:v>
                </c:pt>
                <c:pt idx="9">
                  <c:v>8.4</c:v>
                </c:pt>
                <c:pt idx="10">
                  <c:v>5.13</c:v>
                </c:pt>
                <c:pt idx="11">
                  <c:v>2.65</c:v>
                </c:pt>
                <c:pt idx="12">
                  <c:v>8.35</c:v>
                </c:pt>
                <c:pt idx="13">
                  <c:v>4.01</c:v>
                </c:pt>
                <c:pt idx="14">
                  <c:v>6.34</c:v>
                </c:pt>
                <c:pt idx="15">
                  <c:v>10.33</c:v>
                </c:pt>
                <c:pt idx="16">
                  <c:v>6.98</c:v>
                </c:pt>
                <c:pt idx="17">
                  <c:v>13.59</c:v>
                </c:pt>
                <c:pt idx="18">
                  <c:v>12.37</c:v>
                </c:pt>
                <c:pt idx="19">
                  <c:v>16.09</c:v>
                </c:pt>
                <c:pt idx="20">
                  <c:v>16.989999999999998</c:v>
                </c:pt>
                <c:pt idx="21">
                  <c:v>2.86</c:v>
                </c:pt>
                <c:pt idx="22">
                  <c:v>2</c:v>
                </c:pt>
                <c:pt idx="23">
                  <c:v>1.97</c:v>
                </c:pt>
                <c:pt idx="24">
                  <c:v>8.2799999999999994</c:v>
                </c:pt>
                <c:pt idx="25">
                  <c:v>3.95</c:v>
                </c:pt>
                <c:pt idx="26">
                  <c:v>8.27</c:v>
                </c:pt>
                <c:pt idx="27">
                  <c:v>6.5</c:v>
                </c:pt>
              </c:numCache>
            </c:numRef>
          </c:yVal>
          <c:smooth val="1"/>
          <c:extLst>
            <c:ext xmlns:c16="http://schemas.microsoft.com/office/drawing/2014/chart" uri="{C3380CC4-5D6E-409C-BE32-E72D297353CC}">
              <c16:uniqueId val="{00000007-2341-418F-8D73-512AC2A76504}"/>
            </c:ext>
          </c:extLst>
        </c:ser>
        <c:ser>
          <c:idx val="8"/>
          <c:order val="8"/>
          <c:tx>
            <c:strRef>
              <c:f>'Финансы доходы'!$A$57</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доходы'!$B$57:$AC$57</c:f>
              <c:numCache>
                <c:formatCode>General</c:formatCode>
                <c:ptCount val="28"/>
              </c:numCache>
            </c:numRef>
          </c:yVal>
          <c:smooth val="1"/>
          <c:extLst>
            <c:ext xmlns:c16="http://schemas.microsoft.com/office/drawing/2014/chart" uri="{C3380CC4-5D6E-409C-BE32-E72D297353CC}">
              <c16:uniqueId val="{00000008-2341-418F-8D73-512AC2A76504}"/>
            </c:ext>
          </c:extLst>
        </c:ser>
        <c:ser>
          <c:idx val="9"/>
          <c:order val="9"/>
          <c:tx>
            <c:strRef>
              <c:f>'Финансы доходы'!$A$58</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'Финансы доходы'!$B$48:$AC$48</c:f>
              <c:numCache>
                <c:formatCode>General</c:formatCode>
                <c:ptCount val="28"/>
                <c:pt idx="0">
                  <c:v>1992</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'Финансы доходы'!$B$58:$AC$58</c:f>
              <c:numCache>
                <c:formatCode>General</c:formatCode>
                <c:ptCount val="28"/>
                <c:pt idx="6">
                  <c:v>3.76</c:v>
                </c:pt>
                <c:pt idx="7">
                  <c:v>9.8000000000000007</c:v>
                </c:pt>
                <c:pt idx="8">
                  <c:v>13.51</c:v>
                </c:pt>
                <c:pt idx="9">
                  <c:v>10.55</c:v>
                </c:pt>
                <c:pt idx="10">
                  <c:v>8.89</c:v>
                </c:pt>
                <c:pt idx="11">
                  <c:v>9.4700000000000006</c:v>
                </c:pt>
                <c:pt idx="12">
                  <c:v>9.9700000000000006</c:v>
                </c:pt>
                <c:pt idx="13">
                  <c:v>11.24</c:v>
                </c:pt>
                <c:pt idx="14">
                  <c:v>15.39</c:v>
                </c:pt>
                <c:pt idx="15">
                  <c:v>32.65</c:v>
                </c:pt>
                <c:pt idx="16">
                  <c:v>21.9</c:v>
                </c:pt>
                <c:pt idx="17">
                  <c:v>19.78</c:v>
                </c:pt>
                <c:pt idx="18">
                  <c:v>18.68</c:v>
                </c:pt>
                <c:pt idx="19">
                  <c:v>17.03</c:v>
                </c:pt>
                <c:pt idx="20">
                  <c:v>17.66</c:v>
                </c:pt>
                <c:pt idx="21">
                  <c:v>16.760000000000002</c:v>
                </c:pt>
                <c:pt idx="22">
                  <c:v>14.96</c:v>
                </c:pt>
                <c:pt idx="23">
                  <c:v>15.14</c:v>
                </c:pt>
                <c:pt idx="24">
                  <c:v>14.21</c:v>
                </c:pt>
                <c:pt idx="25">
                  <c:v>18.079999999999998</c:v>
                </c:pt>
                <c:pt idx="26">
                  <c:v>29.34</c:v>
                </c:pt>
                <c:pt idx="27">
                  <c:v>21.6</c:v>
                </c:pt>
              </c:numCache>
            </c:numRef>
          </c:yVal>
          <c:smooth val="1"/>
          <c:extLst>
            <c:ext xmlns:c16="http://schemas.microsoft.com/office/drawing/2014/chart" uri="{C3380CC4-5D6E-409C-BE32-E72D297353CC}">
              <c16:uniqueId val="{00000009-2341-418F-8D73-512AC2A76504}"/>
            </c:ext>
          </c:extLst>
        </c:ser>
        <c:dLbls>
          <c:showLegendKey val="0"/>
          <c:showVal val="0"/>
          <c:showCatName val="0"/>
          <c:showSerName val="0"/>
          <c:showPercent val="0"/>
          <c:showBubbleSize val="0"/>
        </c:dLbls>
        <c:axId val="337969920"/>
        <c:axId val="337971840"/>
      </c:scatterChart>
      <c:valAx>
        <c:axId val="337969920"/>
        <c:scaling>
          <c:orientation val="minMax"/>
          <c:max val="2021"/>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971840"/>
        <c:crosses val="autoZero"/>
        <c:crossBetween val="midCat"/>
      </c:valAx>
      <c:valAx>
        <c:axId val="337971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969920"/>
        <c:crosses val="autoZero"/>
        <c:crossBetween val="midCat"/>
        <c:minorUnit val="10"/>
      </c:valAx>
      <c:spPr>
        <a:noFill/>
        <a:ln>
          <a:noFill/>
        </a:ln>
        <a:effectLst/>
      </c:spPr>
    </c:plotArea>
    <c:legend>
      <c:legendPos val="b"/>
      <c:legendEntry>
        <c:idx val="0"/>
        <c:delete val="1"/>
      </c:legendEntry>
      <c:legendEntry>
        <c:idx val="1"/>
        <c:delete val="1"/>
      </c:legendEntry>
      <c:legendEntry>
        <c:idx val="5"/>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992269071657328E-2"/>
          <c:y val="0.1271830985915493"/>
          <c:w val="0.56291662633565775"/>
          <c:h val="0.62993734057890649"/>
        </c:manualLayout>
      </c:layout>
      <c:barChart>
        <c:barDir val="col"/>
        <c:grouping val="stacked"/>
        <c:varyColors val="0"/>
        <c:ser>
          <c:idx val="0"/>
          <c:order val="0"/>
          <c:tx>
            <c:strRef>
              <c:f>'ВРП большая'!$C$354</c:f>
              <c:strCache>
                <c:ptCount val="1"/>
                <c:pt idx="0">
                  <c:v>Сельское, лесное хозяйство, охота, рыболовство и рыбоводство</c:v>
                </c:pt>
              </c:strCache>
            </c:strRef>
          </c:tx>
          <c:spPr>
            <a:solidFill>
              <a:schemeClr val="accent1"/>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большая'!$C$355:$C$364</c:f>
              <c:numCache>
                <c:formatCode>General</c:formatCode>
                <c:ptCount val="7"/>
                <c:pt idx="0">
                  <c:v>4.7</c:v>
                </c:pt>
                <c:pt idx="1">
                  <c:v>9.9</c:v>
                </c:pt>
                <c:pt idx="2">
                  <c:v>2.4</c:v>
                </c:pt>
                <c:pt idx="3">
                  <c:v>0.3</c:v>
                </c:pt>
                <c:pt idx="4">
                  <c:v>0.1</c:v>
                </c:pt>
                <c:pt idx="5">
                  <c:v>3.9</c:v>
                </c:pt>
                <c:pt idx="6">
                  <c:v>4.0999999999999996</c:v>
                </c:pt>
              </c:numCache>
              <c:extLst/>
            </c:numRef>
          </c:val>
          <c:extLst>
            <c:ext xmlns:c16="http://schemas.microsoft.com/office/drawing/2014/chart" uri="{C3380CC4-5D6E-409C-BE32-E72D297353CC}">
              <c16:uniqueId val="{00000000-C19F-4E74-BE17-1F4FF350A5F6}"/>
            </c:ext>
          </c:extLst>
        </c:ser>
        <c:ser>
          <c:idx val="1"/>
          <c:order val="1"/>
          <c:tx>
            <c:strRef>
              <c:f>'ВРП большая'!$D$354</c:f>
              <c:strCache>
                <c:ptCount val="1"/>
                <c:pt idx="0">
                  <c:v>Добыча полезных ископаемых</c:v>
                </c:pt>
              </c:strCache>
            </c:strRef>
          </c:tx>
          <c:spPr>
            <a:solidFill>
              <a:schemeClr val="accent2"/>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большая'!$D$355:$D$364</c:f>
              <c:numCache>
                <c:formatCode>General</c:formatCode>
                <c:ptCount val="7"/>
                <c:pt idx="0">
                  <c:v>10.5</c:v>
                </c:pt>
                <c:pt idx="1">
                  <c:v>0.9</c:v>
                </c:pt>
                <c:pt idx="2">
                  <c:v>2.2999999999999998</c:v>
                </c:pt>
                <c:pt idx="3">
                  <c:v>61.5</c:v>
                </c:pt>
                <c:pt idx="4">
                  <c:v>66.5</c:v>
                </c:pt>
                <c:pt idx="5">
                  <c:v>13.8</c:v>
                </c:pt>
                <c:pt idx="6">
                  <c:v>4.9000000000000004</c:v>
                </c:pt>
              </c:numCache>
              <c:extLst/>
            </c:numRef>
          </c:val>
          <c:extLst>
            <c:ext xmlns:c16="http://schemas.microsoft.com/office/drawing/2014/chart" uri="{C3380CC4-5D6E-409C-BE32-E72D297353CC}">
              <c16:uniqueId val="{00000001-C19F-4E74-BE17-1F4FF350A5F6}"/>
            </c:ext>
          </c:extLst>
        </c:ser>
        <c:ser>
          <c:idx val="2"/>
          <c:order val="2"/>
          <c:tx>
            <c:strRef>
              <c:f>'ВРП большая'!$E$354</c:f>
              <c:strCache>
                <c:ptCount val="1"/>
                <c:pt idx="0">
                  <c:v>Обрабатывающие производства</c:v>
                </c:pt>
              </c:strCache>
            </c:strRef>
          </c:tx>
          <c:spPr>
            <a:solidFill>
              <a:schemeClr val="accent3"/>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большая'!$E$355:$E$364</c:f>
              <c:numCache>
                <c:formatCode>General</c:formatCode>
                <c:ptCount val="7"/>
                <c:pt idx="0">
                  <c:v>17</c:v>
                </c:pt>
                <c:pt idx="1">
                  <c:v>20.9</c:v>
                </c:pt>
                <c:pt idx="2">
                  <c:v>31.7</c:v>
                </c:pt>
                <c:pt idx="3">
                  <c:v>2.2999999999999998</c:v>
                </c:pt>
                <c:pt idx="4">
                  <c:v>4.5</c:v>
                </c:pt>
                <c:pt idx="5">
                  <c:v>15.4</c:v>
                </c:pt>
                <c:pt idx="6">
                  <c:v>30.4</c:v>
                </c:pt>
              </c:numCache>
              <c:extLst/>
            </c:numRef>
          </c:val>
          <c:extLst>
            <c:ext xmlns:c16="http://schemas.microsoft.com/office/drawing/2014/chart" uri="{C3380CC4-5D6E-409C-BE32-E72D297353CC}">
              <c16:uniqueId val="{00000002-C19F-4E74-BE17-1F4FF350A5F6}"/>
            </c:ext>
          </c:extLst>
        </c:ser>
        <c:ser>
          <c:idx val="3"/>
          <c:order val="3"/>
          <c:tx>
            <c:strRef>
              <c:f>'ВРП большая'!$F$354</c:f>
              <c:strCache>
                <c:ptCount val="1"/>
                <c:pt idx="0">
                  <c:v>Строительство</c:v>
                </c:pt>
              </c:strCache>
            </c:strRef>
          </c:tx>
          <c:spPr>
            <a:solidFill>
              <a:schemeClr val="accent4"/>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большая'!$F$355:$F$364</c:f>
              <c:numCache>
                <c:formatCode>General</c:formatCode>
                <c:ptCount val="7"/>
                <c:pt idx="0">
                  <c:v>5.8</c:v>
                </c:pt>
                <c:pt idx="1">
                  <c:v>4.4000000000000004</c:v>
                </c:pt>
                <c:pt idx="2">
                  <c:v>4.5999999999999996</c:v>
                </c:pt>
                <c:pt idx="3">
                  <c:v>7.4</c:v>
                </c:pt>
                <c:pt idx="4">
                  <c:v>12.1</c:v>
                </c:pt>
                <c:pt idx="5">
                  <c:v>7.8</c:v>
                </c:pt>
                <c:pt idx="6">
                  <c:v>6.1</c:v>
                </c:pt>
              </c:numCache>
              <c:extLst/>
            </c:numRef>
          </c:val>
          <c:extLst>
            <c:ext xmlns:c16="http://schemas.microsoft.com/office/drawing/2014/chart" uri="{C3380CC4-5D6E-409C-BE32-E72D297353CC}">
              <c16:uniqueId val="{00000003-C19F-4E74-BE17-1F4FF350A5F6}"/>
            </c:ext>
          </c:extLst>
        </c:ser>
        <c:ser>
          <c:idx val="4"/>
          <c:order val="4"/>
          <c:tx>
            <c:strRef>
              <c:f>'ВРП большая'!$G$354</c:f>
              <c:strCache>
                <c:ptCount val="1"/>
                <c:pt idx="0">
                  <c:v>Торговля оптовая и розничная; ремонт автотран-спортных средств и мотоциклов</c:v>
                </c:pt>
              </c:strCache>
            </c:strRef>
          </c:tx>
          <c:spPr>
            <a:solidFill>
              <a:schemeClr val="accent5"/>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большая'!$G$355:$G$364</c:f>
              <c:numCache>
                <c:formatCode>General</c:formatCode>
                <c:ptCount val="7"/>
                <c:pt idx="0">
                  <c:v>14.1</c:v>
                </c:pt>
                <c:pt idx="1">
                  <c:v>8.6999999999999993</c:v>
                </c:pt>
                <c:pt idx="2">
                  <c:v>14.2</c:v>
                </c:pt>
                <c:pt idx="3">
                  <c:v>2.8</c:v>
                </c:pt>
                <c:pt idx="4">
                  <c:v>1.5</c:v>
                </c:pt>
                <c:pt idx="5">
                  <c:v>11</c:v>
                </c:pt>
                <c:pt idx="6">
                  <c:v>10.5</c:v>
                </c:pt>
              </c:numCache>
              <c:extLst/>
            </c:numRef>
          </c:val>
          <c:extLst>
            <c:ext xmlns:c16="http://schemas.microsoft.com/office/drawing/2014/chart" uri="{C3380CC4-5D6E-409C-BE32-E72D297353CC}">
              <c16:uniqueId val="{00000004-C19F-4E74-BE17-1F4FF350A5F6}"/>
            </c:ext>
          </c:extLst>
        </c:ser>
        <c:ser>
          <c:idx val="5"/>
          <c:order val="5"/>
          <c:tx>
            <c:strRef>
              <c:f>'ВРП большая'!$H$354</c:f>
              <c:strCache>
                <c:ptCount val="1"/>
                <c:pt idx="0">
                  <c:v>Транспортировка и хранение</c:v>
                </c:pt>
              </c:strCache>
            </c:strRef>
          </c:tx>
          <c:spPr>
            <a:solidFill>
              <a:schemeClr val="accent6"/>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большая'!$H$355:$H$364</c:f>
              <c:numCache>
                <c:formatCode>General</c:formatCode>
                <c:ptCount val="7"/>
                <c:pt idx="0">
                  <c:v>7.1</c:v>
                </c:pt>
                <c:pt idx="1">
                  <c:v>10</c:v>
                </c:pt>
                <c:pt idx="2">
                  <c:v>5.9</c:v>
                </c:pt>
                <c:pt idx="3">
                  <c:v>6.5</c:v>
                </c:pt>
                <c:pt idx="4">
                  <c:v>4.0999999999999996</c:v>
                </c:pt>
                <c:pt idx="5">
                  <c:v>9.6</c:v>
                </c:pt>
                <c:pt idx="6">
                  <c:v>6.8</c:v>
                </c:pt>
              </c:numCache>
              <c:extLst/>
            </c:numRef>
          </c:val>
          <c:extLst>
            <c:ext xmlns:c16="http://schemas.microsoft.com/office/drawing/2014/chart" uri="{C3380CC4-5D6E-409C-BE32-E72D297353CC}">
              <c16:uniqueId val="{00000005-C19F-4E74-BE17-1F4FF350A5F6}"/>
            </c:ext>
          </c:extLst>
        </c:ser>
        <c:ser>
          <c:idx val="6"/>
          <c:order val="6"/>
          <c:tx>
            <c:strRef>
              <c:f>'ВРП большая'!$I$354</c:f>
              <c:strCache>
                <c:ptCount val="1"/>
                <c:pt idx="0">
                  <c:v>Деятельность по операциям с недвижимым имуществом</c:v>
                </c:pt>
              </c:strCache>
            </c:strRef>
          </c:tx>
          <c:spPr>
            <a:solidFill>
              <a:schemeClr val="accent1">
                <a:lumMod val="60000"/>
              </a:schemeClr>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большая'!$I$355:$I$364</c:f>
              <c:numCache>
                <c:formatCode>General</c:formatCode>
                <c:ptCount val="7"/>
                <c:pt idx="0">
                  <c:v>10.6</c:v>
                </c:pt>
                <c:pt idx="1">
                  <c:v>9.5</c:v>
                </c:pt>
                <c:pt idx="2">
                  <c:v>10.199999999999999</c:v>
                </c:pt>
                <c:pt idx="3">
                  <c:v>4.5</c:v>
                </c:pt>
                <c:pt idx="4">
                  <c:v>1.1000000000000001</c:v>
                </c:pt>
                <c:pt idx="5">
                  <c:v>9</c:v>
                </c:pt>
                <c:pt idx="6">
                  <c:v>9.3000000000000007</c:v>
                </c:pt>
              </c:numCache>
              <c:extLst/>
            </c:numRef>
          </c:val>
          <c:extLst>
            <c:ext xmlns:c16="http://schemas.microsoft.com/office/drawing/2014/chart" uri="{C3380CC4-5D6E-409C-BE32-E72D297353CC}">
              <c16:uniqueId val="{00000006-C19F-4E74-BE17-1F4FF350A5F6}"/>
            </c:ext>
          </c:extLst>
        </c:ser>
        <c:ser>
          <c:idx val="7"/>
          <c:order val="7"/>
          <c:tx>
            <c:strRef>
              <c:f>'ВРП большая'!$J$354</c:f>
              <c:strCache>
                <c:ptCount val="1"/>
                <c:pt idx="0">
                  <c:v>Здравоохранение, образование, культура</c:v>
                </c:pt>
              </c:strCache>
            </c:strRef>
          </c:tx>
          <c:spPr>
            <a:solidFill>
              <a:schemeClr val="accent2">
                <a:lumMod val="60000"/>
              </a:schemeClr>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большая'!$J$355:$J$364</c:f>
              <c:numCache>
                <c:formatCode>General</c:formatCode>
                <c:ptCount val="7"/>
                <c:pt idx="0">
                  <c:v>8.5</c:v>
                </c:pt>
                <c:pt idx="1">
                  <c:v>13.6</c:v>
                </c:pt>
                <c:pt idx="2">
                  <c:v>8.3000000000000007</c:v>
                </c:pt>
                <c:pt idx="3">
                  <c:v>4.8000000000000007</c:v>
                </c:pt>
                <c:pt idx="4">
                  <c:v>3</c:v>
                </c:pt>
                <c:pt idx="5">
                  <c:v>7.2999999999999989</c:v>
                </c:pt>
                <c:pt idx="6">
                  <c:v>9.5</c:v>
                </c:pt>
              </c:numCache>
              <c:extLst/>
            </c:numRef>
          </c:val>
          <c:extLst>
            <c:ext xmlns:c16="http://schemas.microsoft.com/office/drawing/2014/chart" uri="{C3380CC4-5D6E-409C-BE32-E72D297353CC}">
              <c16:uniqueId val="{00000007-C19F-4E74-BE17-1F4FF350A5F6}"/>
            </c:ext>
          </c:extLst>
        </c:ser>
        <c:ser>
          <c:idx val="8"/>
          <c:order val="8"/>
          <c:tx>
            <c:strRef>
              <c:f>'ВРП большая'!$K$354</c:f>
              <c:strCache>
                <c:ptCount val="1"/>
                <c:pt idx="0">
                  <c:v>Другое</c:v>
                </c:pt>
              </c:strCache>
            </c:strRef>
          </c:tx>
          <c:spPr>
            <a:solidFill>
              <a:schemeClr val="accent3">
                <a:lumMod val="60000"/>
              </a:schemeClr>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большая'!$K$355:$K$364</c:f>
              <c:numCache>
                <c:formatCode>General</c:formatCode>
                <c:ptCount val="7"/>
                <c:pt idx="0">
                  <c:v>15.7</c:v>
                </c:pt>
                <c:pt idx="1">
                  <c:v>12.100000000000001</c:v>
                </c:pt>
                <c:pt idx="2">
                  <c:v>14.300000000000002</c:v>
                </c:pt>
                <c:pt idx="3">
                  <c:v>7.6</c:v>
                </c:pt>
                <c:pt idx="4">
                  <c:v>5.4</c:v>
                </c:pt>
                <c:pt idx="5">
                  <c:v>17.200000000000003</c:v>
                </c:pt>
                <c:pt idx="6">
                  <c:v>13.399999999999999</c:v>
                </c:pt>
              </c:numCache>
              <c:extLst/>
            </c:numRef>
          </c:val>
          <c:extLst>
            <c:ext xmlns:c16="http://schemas.microsoft.com/office/drawing/2014/chart" uri="{C3380CC4-5D6E-409C-BE32-E72D297353CC}">
              <c16:uniqueId val="{00000008-C19F-4E74-BE17-1F4FF350A5F6}"/>
            </c:ext>
          </c:extLst>
        </c:ser>
        <c:ser>
          <c:idx val="9"/>
          <c:order val="9"/>
          <c:tx>
            <c:strRef>
              <c:f>'ВРП большая'!$L$354</c:f>
              <c:strCache>
                <c:ptCount val="1"/>
                <c:pt idx="0">
                  <c:v>Государ-ственное управление и обеспечение военной безопасности; социальное обеспечение</c:v>
                </c:pt>
              </c:strCache>
            </c:strRef>
          </c:tx>
          <c:spPr>
            <a:solidFill>
              <a:schemeClr val="accent4">
                <a:lumMod val="60000"/>
              </a:schemeClr>
            </a:solidFill>
            <a:ln>
              <a:noFill/>
            </a:ln>
            <a:effectLst/>
          </c:spPr>
          <c:invertIfNegative val="0"/>
          <c:cat>
            <c:strRef>
              <c:f>'ВРП большая'!$A$355:$A$364</c:f>
              <c:strCache>
                <c:ptCount val="7"/>
                <c:pt idx="0">
                  <c:v>Россия</c:v>
                </c:pt>
                <c:pt idx="1">
                  <c:v>Курганская область</c:v>
                </c:pt>
                <c:pt idx="2">
                  <c:v>Свердловская область</c:v>
                </c:pt>
                <c:pt idx="3">
                  <c:v>ХМАО</c:v>
                </c:pt>
                <c:pt idx="4">
                  <c:v>ЯНАО</c:v>
                </c:pt>
                <c:pt idx="5">
                  <c:v>Тюменская область 
без АО</c:v>
                </c:pt>
                <c:pt idx="6">
                  <c:v>Челябинская область</c:v>
                </c:pt>
              </c:strCache>
              <c:extLst/>
            </c:strRef>
          </c:cat>
          <c:val>
            <c:numRef>
              <c:f>'ВРП большая'!$L$355:$L$364</c:f>
              <c:numCache>
                <c:formatCode>General</c:formatCode>
                <c:ptCount val="7"/>
                <c:pt idx="0">
                  <c:v>6</c:v>
                </c:pt>
                <c:pt idx="1">
                  <c:v>10</c:v>
                </c:pt>
                <c:pt idx="2">
                  <c:v>6.1</c:v>
                </c:pt>
                <c:pt idx="3">
                  <c:v>2.2999999999999998</c:v>
                </c:pt>
                <c:pt idx="4">
                  <c:v>1.7</c:v>
                </c:pt>
                <c:pt idx="5">
                  <c:v>5</c:v>
                </c:pt>
                <c:pt idx="6">
                  <c:v>5</c:v>
                </c:pt>
              </c:numCache>
              <c:extLst/>
            </c:numRef>
          </c:val>
          <c:extLst>
            <c:ext xmlns:c16="http://schemas.microsoft.com/office/drawing/2014/chart" uri="{C3380CC4-5D6E-409C-BE32-E72D297353CC}">
              <c16:uniqueId val="{00000009-C19F-4E74-BE17-1F4FF350A5F6}"/>
            </c:ext>
          </c:extLst>
        </c:ser>
        <c:dLbls>
          <c:showLegendKey val="0"/>
          <c:showVal val="0"/>
          <c:showCatName val="0"/>
          <c:showSerName val="0"/>
          <c:showPercent val="0"/>
          <c:showBubbleSize val="0"/>
        </c:dLbls>
        <c:gapWidth val="150"/>
        <c:overlap val="100"/>
        <c:axId val="338033664"/>
        <c:axId val="338100992"/>
      </c:barChart>
      <c:catAx>
        <c:axId val="3380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8100992"/>
        <c:crosses val="autoZero"/>
        <c:auto val="1"/>
        <c:lblAlgn val="ctr"/>
        <c:lblOffset val="100"/>
        <c:noMultiLvlLbl val="0"/>
      </c:catAx>
      <c:valAx>
        <c:axId val="33810099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033664"/>
        <c:crosses val="autoZero"/>
        <c:crossBetween val="between"/>
      </c:valAx>
      <c:spPr>
        <a:noFill/>
        <a:ln>
          <a:noFill/>
        </a:ln>
        <a:effectLst/>
      </c:spPr>
    </c:plotArea>
    <c:legend>
      <c:legendPos val="r"/>
      <c:layout>
        <c:manualLayout>
          <c:xMode val="edge"/>
          <c:yMode val="edge"/>
          <c:x val="0.64742573132393721"/>
          <c:y val="0.20336457062585486"/>
          <c:w val="0.33974690363063248"/>
          <c:h val="0.75801264278584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Лист1!$AE$3</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Лист1!$AF$2:$BG$2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Лист1!$AF$3:$BG$3</c:f>
              <c:numCache>
                <c:formatCode>General</c:formatCode>
                <c:ptCount val="28"/>
                <c:pt idx="0">
                  <c:v>23</c:v>
                </c:pt>
                <c:pt idx="1">
                  <c:v>28</c:v>
                </c:pt>
                <c:pt idx="2">
                  <c:v>29</c:v>
                </c:pt>
                <c:pt idx="3">
                  <c:v>30</c:v>
                </c:pt>
                <c:pt idx="4">
                  <c:v>30</c:v>
                </c:pt>
                <c:pt idx="5">
                  <c:v>31</c:v>
                </c:pt>
                <c:pt idx="6">
                  <c:v>31</c:v>
                </c:pt>
                <c:pt idx="7">
                  <c:v>31</c:v>
                </c:pt>
                <c:pt idx="8">
                  <c:v>32</c:v>
                </c:pt>
                <c:pt idx="9">
                  <c:v>32</c:v>
                </c:pt>
                <c:pt idx="10">
                  <c:v>32</c:v>
                </c:pt>
                <c:pt idx="11">
                  <c:v>31</c:v>
                </c:pt>
                <c:pt idx="12">
                  <c:v>35</c:v>
                </c:pt>
                <c:pt idx="13">
                  <c:v>37</c:v>
                </c:pt>
                <c:pt idx="14">
                  <c:v>37</c:v>
                </c:pt>
                <c:pt idx="15">
                  <c:v>38</c:v>
                </c:pt>
                <c:pt idx="16">
                  <c:v>39</c:v>
                </c:pt>
                <c:pt idx="17">
                  <c:v>43</c:v>
                </c:pt>
                <c:pt idx="18">
                  <c:v>54</c:v>
                </c:pt>
                <c:pt idx="19">
                  <c:v>58</c:v>
                </c:pt>
                <c:pt idx="20">
                  <c:v>60</c:v>
                </c:pt>
                <c:pt idx="21">
                  <c:v>61</c:v>
                </c:pt>
                <c:pt idx="22">
                  <c:v>62</c:v>
                </c:pt>
                <c:pt idx="23">
                  <c:v>62</c:v>
                </c:pt>
                <c:pt idx="24">
                  <c:v>63</c:v>
                </c:pt>
                <c:pt idx="25">
                  <c:v>64</c:v>
                </c:pt>
                <c:pt idx="26">
                  <c:v>64</c:v>
                </c:pt>
                <c:pt idx="27">
                  <c:v>65</c:v>
                </c:pt>
              </c:numCache>
            </c:numRef>
          </c:yVal>
          <c:smooth val="1"/>
          <c:extLst>
            <c:ext xmlns:c16="http://schemas.microsoft.com/office/drawing/2014/chart" uri="{C3380CC4-5D6E-409C-BE32-E72D297353CC}">
              <c16:uniqueId val="{00000000-2E33-4858-A4B2-BA0B2BB0EDDB}"/>
            </c:ext>
          </c:extLst>
        </c:ser>
        <c:ser>
          <c:idx val="1"/>
          <c:order val="1"/>
          <c:tx>
            <c:strRef>
              <c:f>Лист1!$AE$4</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Лист1!$AF$2:$BG$2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Лист1!$AF$4:$BG$4</c:f>
              <c:numCache>
                <c:formatCode>General</c:formatCode>
                <c:ptCount val="28"/>
                <c:pt idx="0">
                  <c:v>13</c:v>
                </c:pt>
                <c:pt idx="1">
                  <c:v>17</c:v>
                </c:pt>
                <c:pt idx="2">
                  <c:v>18</c:v>
                </c:pt>
                <c:pt idx="3">
                  <c:v>18</c:v>
                </c:pt>
                <c:pt idx="4">
                  <c:v>19</c:v>
                </c:pt>
                <c:pt idx="5">
                  <c:v>19</c:v>
                </c:pt>
                <c:pt idx="6">
                  <c:v>19</c:v>
                </c:pt>
                <c:pt idx="7">
                  <c:v>20</c:v>
                </c:pt>
                <c:pt idx="8">
                  <c:v>20</c:v>
                </c:pt>
                <c:pt idx="9">
                  <c:v>20</c:v>
                </c:pt>
                <c:pt idx="10">
                  <c:v>20</c:v>
                </c:pt>
                <c:pt idx="11">
                  <c:v>21</c:v>
                </c:pt>
                <c:pt idx="12">
                  <c:v>21</c:v>
                </c:pt>
                <c:pt idx="13">
                  <c:v>22</c:v>
                </c:pt>
                <c:pt idx="14">
                  <c:v>22</c:v>
                </c:pt>
                <c:pt idx="15">
                  <c:v>23</c:v>
                </c:pt>
                <c:pt idx="16">
                  <c:v>23</c:v>
                </c:pt>
                <c:pt idx="17">
                  <c:v>24</c:v>
                </c:pt>
                <c:pt idx="18">
                  <c:v>32</c:v>
                </c:pt>
                <c:pt idx="19">
                  <c:v>38</c:v>
                </c:pt>
                <c:pt idx="20">
                  <c:v>39</c:v>
                </c:pt>
                <c:pt idx="21">
                  <c:v>39</c:v>
                </c:pt>
                <c:pt idx="22">
                  <c:v>40</c:v>
                </c:pt>
                <c:pt idx="23">
                  <c:v>41</c:v>
                </c:pt>
                <c:pt idx="24">
                  <c:v>43</c:v>
                </c:pt>
                <c:pt idx="25">
                  <c:v>43</c:v>
                </c:pt>
                <c:pt idx="26">
                  <c:v>44</c:v>
                </c:pt>
                <c:pt idx="27">
                  <c:v>44</c:v>
                </c:pt>
              </c:numCache>
            </c:numRef>
          </c:yVal>
          <c:smooth val="1"/>
          <c:extLst>
            <c:ext xmlns:c16="http://schemas.microsoft.com/office/drawing/2014/chart" uri="{C3380CC4-5D6E-409C-BE32-E72D297353CC}">
              <c16:uniqueId val="{00000001-2E33-4858-A4B2-BA0B2BB0EDDB}"/>
            </c:ext>
          </c:extLst>
        </c:ser>
        <c:ser>
          <c:idx val="2"/>
          <c:order val="2"/>
          <c:tx>
            <c:strRef>
              <c:f>Лист1!$AE$5</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Лист1!$AF$2:$BG$2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Лист1!$AF$5:$BG$5</c:f>
              <c:numCache>
                <c:formatCode>General</c:formatCode>
                <c:ptCount val="28"/>
                <c:pt idx="0">
                  <c:v>61</c:v>
                </c:pt>
                <c:pt idx="1">
                  <c:v>85</c:v>
                </c:pt>
                <c:pt idx="2">
                  <c:v>87</c:v>
                </c:pt>
                <c:pt idx="3">
                  <c:v>88</c:v>
                </c:pt>
                <c:pt idx="4">
                  <c:v>89</c:v>
                </c:pt>
                <c:pt idx="5">
                  <c:v>90</c:v>
                </c:pt>
                <c:pt idx="6">
                  <c:v>90</c:v>
                </c:pt>
                <c:pt idx="7">
                  <c:v>90</c:v>
                </c:pt>
                <c:pt idx="8">
                  <c:v>91</c:v>
                </c:pt>
                <c:pt idx="9">
                  <c:v>92</c:v>
                </c:pt>
                <c:pt idx="10">
                  <c:v>92</c:v>
                </c:pt>
                <c:pt idx="11">
                  <c:v>92</c:v>
                </c:pt>
                <c:pt idx="12">
                  <c:v>94</c:v>
                </c:pt>
                <c:pt idx="13">
                  <c:v>95</c:v>
                </c:pt>
                <c:pt idx="14">
                  <c:v>96</c:v>
                </c:pt>
                <c:pt idx="15">
                  <c:v>110</c:v>
                </c:pt>
                <c:pt idx="16">
                  <c:v>110</c:v>
                </c:pt>
                <c:pt idx="17">
                  <c:v>109</c:v>
                </c:pt>
                <c:pt idx="18">
                  <c:v>127</c:v>
                </c:pt>
                <c:pt idx="19">
                  <c:v>129</c:v>
                </c:pt>
                <c:pt idx="20">
                  <c:v>130</c:v>
                </c:pt>
                <c:pt idx="21">
                  <c:v>132</c:v>
                </c:pt>
                <c:pt idx="22">
                  <c:v>132</c:v>
                </c:pt>
                <c:pt idx="23">
                  <c:v>133</c:v>
                </c:pt>
                <c:pt idx="24">
                  <c:v>133</c:v>
                </c:pt>
                <c:pt idx="25">
                  <c:v>134</c:v>
                </c:pt>
                <c:pt idx="26">
                  <c:v>134</c:v>
                </c:pt>
                <c:pt idx="27">
                  <c:v>135</c:v>
                </c:pt>
              </c:numCache>
            </c:numRef>
          </c:yVal>
          <c:smooth val="1"/>
          <c:extLst>
            <c:ext xmlns:c16="http://schemas.microsoft.com/office/drawing/2014/chart" uri="{C3380CC4-5D6E-409C-BE32-E72D297353CC}">
              <c16:uniqueId val="{00000002-2E33-4858-A4B2-BA0B2BB0EDDB}"/>
            </c:ext>
          </c:extLst>
        </c:ser>
        <c:ser>
          <c:idx val="3"/>
          <c:order val="3"/>
          <c:tx>
            <c:strRef>
              <c:f>Лист1!$AE$6</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Лист1!$AF$2:$BG$2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Лист1!$AF$6:$BG$6</c:f>
              <c:numCache>
                <c:formatCode>General</c:formatCode>
                <c:ptCount val="28"/>
                <c:pt idx="0">
                  <c:v>41</c:v>
                </c:pt>
                <c:pt idx="1">
                  <c:v>50</c:v>
                </c:pt>
                <c:pt idx="2">
                  <c:v>50</c:v>
                </c:pt>
                <c:pt idx="3">
                  <c:v>51</c:v>
                </c:pt>
                <c:pt idx="4">
                  <c:v>52</c:v>
                </c:pt>
                <c:pt idx="5">
                  <c:v>53</c:v>
                </c:pt>
                <c:pt idx="6">
                  <c:v>54</c:v>
                </c:pt>
                <c:pt idx="7">
                  <c:v>54</c:v>
                </c:pt>
                <c:pt idx="8">
                  <c:v>55</c:v>
                </c:pt>
                <c:pt idx="9">
                  <c:v>55</c:v>
                </c:pt>
                <c:pt idx="10">
                  <c:v>56</c:v>
                </c:pt>
                <c:pt idx="11">
                  <c:v>56</c:v>
                </c:pt>
                <c:pt idx="12">
                  <c:v>57</c:v>
                </c:pt>
                <c:pt idx="13">
                  <c:v>58</c:v>
                </c:pt>
                <c:pt idx="14">
                  <c:v>61</c:v>
                </c:pt>
                <c:pt idx="15">
                  <c:v>61</c:v>
                </c:pt>
                <c:pt idx="16">
                  <c:v>62</c:v>
                </c:pt>
                <c:pt idx="17">
                  <c:v>66</c:v>
                </c:pt>
                <c:pt idx="18">
                  <c:v>93</c:v>
                </c:pt>
                <c:pt idx="19">
                  <c:v>117</c:v>
                </c:pt>
                <c:pt idx="20">
                  <c:v>121</c:v>
                </c:pt>
                <c:pt idx="21">
                  <c:v>123</c:v>
                </c:pt>
                <c:pt idx="22">
                  <c:v>124</c:v>
                </c:pt>
                <c:pt idx="23">
                  <c:v>125</c:v>
                </c:pt>
                <c:pt idx="24">
                  <c:v>126</c:v>
                </c:pt>
                <c:pt idx="25">
                  <c:v>128</c:v>
                </c:pt>
                <c:pt idx="26">
                  <c:v>129</c:v>
                </c:pt>
                <c:pt idx="27">
                  <c:v>131</c:v>
                </c:pt>
              </c:numCache>
            </c:numRef>
          </c:yVal>
          <c:smooth val="1"/>
          <c:extLst>
            <c:ext xmlns:c16="http://schemas.microsoft.com/office/drawing/2014/chart" uri="{C3380CC4-5D6E-409C-BE32-E72D297353CC}">
              <c16:uniqueId val="{00000003-2E33-4858-A4B2-BA0B2BB0EDDB}"/>
            </c:ext>
          </c:extLst>
        </c:ser>
        <c:ser>
          <c:idx val="5"/>
          <c:order val="4"/>
          <c:tx>
            <c:strRef>
              <c:f>Лист1!$AE$8</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Лист1!$AF$2:$BG$2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Лист1!$AF$8:$BG$8</c:f>
              <c:numCache>
                <c:formatCode>General</c:formatCode>
                <c:ptCount val="28"/>
              </c:numCache>
            </c:numRef>
          </c:yVal>
          <c:smooth val="1"/>
          <c:extLst>
            <c:ext xmlns:c16="http://schemas.microsoft.com/office/drawing/2014/chart" uri="{C3380CC4-5D6E-409C-BE32-E72D297353CC}">
              <c16:uniqueId val="{00000004-2E33-4858-A4B2-BA0B2BB0EDDB}"/>
            </c:ext>
          </c:extLst>
        </c:ser>
        <c:ser>
          <c:idx val="6"/>
          <c:order val="5"/>
          <c:tx>
            <c:strRef>
              <c:f>Лист1!$AE$9</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Лист1!$AF$2:$BG$2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Лист1!$AF$9:$BG$9</c:f>
              <c:numCache>
                <c:formatCode>General</c:formatCode>
                <c:ptCount val="28"/>
                <c:pt idx="0">
                  <c:v>1.2</c:v>
                </c:pt>
                <c:pt idx="1">
                  <c:v>2</c:v>
                </c:pt>
                <c:pt idx="2">
                  <c:v>2.5</c:v>
                </c:pt>
                <c:pt idx="3">
                  <c:v>2.7</c:v>
                </c:pt>
                <c:pt idx="4">
                  <c:v>2.8</c:v>
                </c:pt>
                <c:pt idx="5">
                  <c:v>3</c:v>
                </c:pt>
                <c:pt idx="6">
                  <c:v>3.3</c:v>
                </c:pt>
                <c:pt idx="7">
                  <c:v>3.6</c:v>
                </c:pt>
                <c:pt idx="8">
                  <c:v>3.9</c:v>
                </c:pt>
                <c:pt idx="9">
                  <c:v>4.0999999999999996</c:v>
                </c:pt>
                <c:pt idx="10">
                  <c:v>4.2</c:v>
                </c:pt>
                <c:pt idx="11">
                  <c:v>4.0999999999999996</c:v>
                </c:pt>
                <c:pt idx="12">
                  <c:v>5.2</c:v>
                </c:pt>
                <c:pt idx="13">
                  <c:v>5.6</c:v>
                </c:pt>
                <c:pt idx="14">
                  <c:v>5.8</c:v>
                </c:pt>
                <c:pt idx="15">
                  <c:v>6.1</c:v>
                </c:pt>
                <c:pt idx="16">
                  <c:v>6.2</c:v>
                </c:pt>
                <c:pt idx="17">
                  <c:v>6</c:v>
                </c:pt>
                <c:pt idx="18">
                  <c:v>10.1</c:v>
                </c:pt>
                <c:pt idx="19">
                  <c:v>10.1</c:v>
                </c:pt>
                <c:pt idx="20">
                  <c:v>10.3</c:v>
                </c:pt>
                <c:pt idx="21">
                  <c:v>10.6</c:v>
                </c:pt>
                <c:pt idx="22">
                  <c:v>10.8</c:v>
                </c:pt>
                <c:pt idx="23">
                  <c:v>10.7</c:v>
                </c:pt>
                <c:pt idx="24">
                  <c:v>11</c:v>
                </c:pt>
                <c:pt idx="25">
                  <c:v>11</c:v>
                </c:pt>
                <c:pt idx="26">
                  <c:v>12</c:v>
                </c:pt>
                <c:pt idx="27">
                  <c:v>12</c:v>
                </c:pt>
              </c:numCache>
            </c:numRef>
          </c:yVal>
          <c:smooth val="1"/>
          <c:extLst>
            <c:ext xmlns:c16="http://schemas.microsoft.com/office/drawing/2014/chart" uri="{C3380CC4-5D6E-409C-BE32-E72D297353CC}">
              <c16:uniqueId val="{00000005-2E33-4858-A4B2-BA0B2BB0EDDB}"/>
            </c:ext>
          </c:extLst>
        </c:ser>
        <c:ser>
          <c:idx val="7"/>
          <c:order val="6"/>
          <c:tx>
            <c:strRef>
              <c:f>Лист1!$AE$10</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Лист1!$AF$2:$BG$2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Лист1!$AF$10:$BG$10</c:f>
              <c:numCache>
                <c:formatCode>General</c:formatCode>
                <c:ptCount val="28"/>
                <c:pt idx="0">
                  <c:v>0.1</c:v>
                </c:pt>
                <c:pt idx="1">
                  <c:v>0.5</c:v>
                </c:pt>
                <c:pt idx="2">
                  <c:v>0.9</c:v>
                </c:pt>
                <c:pt idx="3">
                  <c:v>0.9</c:v>
                </c:pt>
                <c:pt idx="4">
                  <c:v>1.1000000000000001</c:v>
                </c:pt>
                <c:pt idx="5">
                  <c:v>1.1000000000000001</c:v>
                </c:pt>
                <c:pt idx="6">
                  <c:v>1.1000000000000001</c:v>
                </c:pt>
                <c:pt idx="7">
                  <c:v>1.1000000000000001</c:v>
                </c:pt>
                <c:pt idx="8">
                  <c:v>1.3</c:v>
                </c:pt>
                <c:pt idx="9">
                  <c:v>1.3</c:v>
                </c:pt>
                <c:pt idx="10">
                  <c:v>1.3</c:v>
                </c:pt>
                <c:pt idx="11">
                  <c:v>1.4</c:v>
                </c:pt>
                <c:pt idx="12">
                  <c:v>1.4</c:v>
                </c:pt>
                <c:pt idx="13">
                  <c:v>1.5</c:v>
                </c:pt>
                <c:pt idx="14">
                  <c:v>1.6</c:v>
                </c:pt>
                <c:pt idx="15">
                  <c:v>1.7</c:v>
                </c:pt>
                <c:pt idx="16">
                  <c:v>1.8</c:v>
                </c:pt>
                <c:pt idx="17">
                  <c:v>1.8</c:v>
                </c:pt>
                <c:pt idx="18">
                  <c:v>2.4</c:v>
                </c:pt>
                <c:pt idx="19">
                  <c:v>2.8</c:v>
                </c:pt>
                <c:pt idx="20">
                  <c:v>2.8</c:v>
                </c:pt>
                <c:pt idx="21">
                  <c:v>2.9</c:v>
                </c:pt>
                <c:pt idx="22">
                  <c:v>3</c:v>
                </c:pt>
                <c:pt idx="23">
                  <c:v>3</c:v>
                </c:pt>
                <c:pt idx="24">
                  <c:v>3.1</c:v>
                </c:pt>
                <c:pt idx="25">
                  <c:v>3.3</c:v>
                </c:pt>
                <c:pt idx="26">
                  <c:v>3.5</c:v>
                </c:pt>
                <c:pt idx="27">
                  <c:v>3.6</c:v>
                </c:pt>
              </c:numCache>
            </c:numRef>
          </c:yVal>
          <c:smooth val="1"/>
          <c:extLst>
            <c:ext xmlns:c16="http://schemas.microsoft.com/office/drawing/2014/chart" uri="{C3380CC4-5D6E-409C-BE32-E72D297353CC}">
              <c16:uniqueId val="{00000006-2E33-4858-A4B2-BA0B2BB0EDDB}"/>
            </c:ext>
          </c:extLst>
        </c:ser>
        <c:ser>
          <c:idx val="8"/>
          <c:order val="7"/>
          <c:tx>
            <c:strRef>
              <c:f>Лист1!$AE$11</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Лист1!$AF$2:$BG$2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Лист1!$AF$11:$BG$11</c:f>
              <c:numCache>
                <c:formatCode>General</c:formatCode>
                <c:ptCount val="28"/>
                <c:pt idx="0">
                  <c:v>18.600000000000001</c:v>
                </c:pt>
                <c:pt idx="1">
                  <c:v>30</c:v>
                </c:pt>
                <c:pt idx="2">
                  <c:v>33.599999999999994</c:v>
                </c:pt>
                <c:pt idx="3">
                  <c:v>34.799999999999997</c:v>
                </c:pt>
                <c:pt idx="4">
                  <c:v>36.599999999999994</c:v>
                </c:pt>
                <c:pt idx="5">
                  <c:v>37.799999999999997</c:v>
                </c:pt>
                <c:pt idx="6">
                  <c:v>39</c:v>
                </c:pt>
                <c:pt idx="7">
                  <c:v>40.799999999999997</c:v>
                </c:pt>
                <c:pt idx="8">
                  <c:v>42</c:v>
                </c:pt>
                <c:pt idx="9">
                  <c:v>42.599999999999994</c:v>
                </c:pt>
                <c:pt idx="10">
                  <c:v>43.2</c:v>
                </c:pt>
                <c:pt idx="11">
                  <c:v>44.400000000000006</c:v>
                </c:pt>
                <c:pt idx="12">
                  <c:v>48.599999999999994</c:v>
                </c:pt>
                <c:pt idx="13">
                  <c:v>49.800000000000004</c:v>
                </c:pt>
                <c:pt idx="14">
                  <c:v>51</c:v>
                </c:pt>
                <c:pt idx="15">
                  <c:v>52.199999999999996</c:v>
                </c:pt>
                <c:pt idx="16">
                  <c:v>52</c:v>
                </c:pt>
                <c:pt idx="17">
                  <c:v>51</c:v>
                </c:pt>
                <c:pt idx="18">
                  <c:v>82</c:v>
                </c:pt>
                <c:pt idx="19">
                  <c:v>82</c:v>
                </c:pt>
                <c:pt idx="20">
                  <c:v>83</c:v>
                </c:pt>
                <c:pt idx="21">
                  <c:v>84</c:v>
                </c:pt>
                <c:pt idx="22">
                  <c:v>86</c:v>
                </c:pt>
                <c:pt idx="23">
                  <c:v>87</c:v>
                </c:pt>
                <c:pt idx="24">
                  <c:v>88</c:v>
                </c:pt>
                <c:pt idx="25">
                  <c:v>89</c:v>
                </c:pt>
                <c:pt idx="26">
                  <c:v>90</c:v>
                </c:pt>
                <c:pt idx="27">
                  <c:v>91</c:v>
                </c:pt>
              </c:numCache>
            </c:numRef>
          </c:yVal>
          <c:smooth val="1"/>
          <c:extLst>
            <c:ext xmlns:c16="http://schemas.microsoft.com/office/drawing/2014/chart" uri="{C3380CC4-5D6E-409C-BE32-E72D297353CC}">
              <c16:uniqueId val="{00000007-2E33-4858-A4B2-BA0B2BB0EDDB}"/>
            </c:ext>
          </c:extLst>
        </c:ser>
        <c:ser>
          <c:idx val="9"/>
          <c:order val="8"/>
          <c:tx>
            <c:strRef>
              <c:f>Лист1!$AE$12</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Лист1!$AF$2:$BG$2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Лист1!$AF$12:$BG$12</c:f>
              <c:numCache>
                <c:formatCode>General</c:formatCode>
                <c:ptCount val="28"/>
                <c:pt idx="0">
                  <c:v>78</c:v>
                </c:pt>
                <c:pt idx="1">
                  <c:v>90</c:v>
                </c:pt>
                <c:pt idx="2">
                  <c:v>91</c:v>
                </c:pt>
                <c:pt idx="3">
                  <c:v>91</c:v>
                </c:pt>
                <c:pt idx="4">
                  <c:v>92</c:v>
                </c:pt>
                <c:pt idx="5">
                  <c:v>93</c:v>
                </c:pt>
                <c:pt idx="6">
                  <c:v>92</c:v>
                </c:pt>
                <c:pt idx="7">
                  <c:v>99</c:v>
                </c:pt>
                <c:pt idx="8">
                  <c:v>100</c:v>
                </c:pt>
                <c:pt idx="9">
                  <c:v>101</c:v>
                </c:pt>
                <c:pt idx="10">
                  <c:v>102</c:v>
                </c:pt>
                <c:pt idx="11">
                  <c:v>101</c:v>
                </c:pt>
                <c:pt idx="12">
                  <c:v>101</c:v>
                </c:pt>
                <c:pt idx="13">
                  <c:v>102</c:v>
                </c:pt>
                <c:pt idx="14">
                  <c:v>103</c:v>
                </c:pt>
                <c:pt idx="15">
                  <c:v>108</c:v>
                </c:pt>
                <c:pt idx="16">
                  <c:v>109</c:v>
                </c:pt>
                <c:pt idx="17">
                  <c:v>111</c:v>
                </c:pt>
                <c:pt idx="18">
                  <c:v>111</c:v>
                </c:pt>
                <c:pt idx="19">
                  <c:v>187</c:v>
                </c:pt>
                <c:pt idx="20">
                  <c:v>190</c:v>
                </c:pt>
                <c:pt idx="21">
                  <c:v>195</c:v>
                </c:pt>
                <c:pt idx="22">
                  <c:v>201</c:v>
                </c:pt>
                <c:pt idx="23">
                  <c:v>204</c:v>
                </c:pt>
                <c:pt idx="24">
                  <c:v>238</c:v>
                </c:pt>
                <c:pt idx="25">
                  <c:v>240</c:v>
                </c:pt>
                <c:pt idx="26">
                  <c:v>241</c:v>
                </c:pt>
                <c:pt idx="27">
                  <c:v>240</c:v>
                </c:pt>
              </c:numCache>
            </c:numRef>
          </c:yVal>
          <c:smooth val="1"/>
          <c:extLst>
            <c:ext xmlns:c16="http://schemas.microsoft.com/office/drawing/2014/chart" uri="{C3380CC4-5D6E-409C-BE32-E72D297353CC}">
              <c16:uniqueId val="{00000008-2E33-4858-A4B2-BA0B2BB0EDDB}"/>
            </c:ext>
          </c:extLst>
        </c:ser>
        <c:dLbls>
          <c:showLegendKey val="0"/>
          <c:showVal val="0"/>
          <c:showCatName val="0"/>
          <c:showSerName val="0"/>
          <c:showPercent val="0"/>
          <c:showBubbleSize val="0"/>
        </c:dLbls>
        <c:axId val="305952640"/>
        <c:axId val="305971200"/>
      </c:scatterChart>
      <c:valAx>
        <c:axId val="305952640"/>
        <c:scaling>
          <c:orientation val="minMax"/>
          <c:max val="2021"/>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971200"/>
        <c:crosses val="autoZero"/>
        <c:crossBetween val="midCat"/>
      </c:valAx>
      <c:valAx>
        <c:axId val="305971200"/>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952640"/>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Инвестиции!$AE$32</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Инвестиции!$AF$31:$BC$31</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Инвестиции!$AF$32:$BC$32</c:f>
              <c:numCache>
                <c:formatCode>General</c:formatCode>
                <c:ptCount val="24"/>
                <c:pt idx="0">
                  <c:v>7788.1132063334353</c:v>
                </c:pt>
                <c:pt idx="1">
                  <c:v>7680.7951606070392</c:v>
                </c:pt>
                <c:pt idx="2">
                  <c:v>9564.1344240175404</c:v>
                </c:pt>
                <c:pt idx="3">
                  <c:v>10308</c:v>
                </c:pt>
                <c:pt idx="4">
                  <c:v>10306.838542241856</c:v>
                </c:pt>
                <c:pt idx="5">
                  <c:v>11858.756488128107</c:v>
                </c:pt>
                <c:pt idx="6">
                  <c:v>14704.958475980122</c:v>
                </c:pt>
                <c:pt idx="7">
                  <c:v>17668.625952512426</c:v>
                </c:pt>
                <c:pt idx="8">
                  <c:v>23653.368525676422</c:v>
                </c:pt>
                <c:pt idx="9">
                  <c:v>34540.297846493646</c:v>
                </c:pt>
                <c:pt idx="10">
                  <c:v>45707.056764218665</c:v>
                </c:pt>
                <c:pt idx="11">
                  <c:v>36919.163887355055</c:v>
                </c:pt>
                <c:pt idx="12">
                  <c:v>41318.302816123687</c:v>
                </c:pt>
                <c:pt idx="13">
                  <c:v>52689.685035891773</c:v>
                </c:pt>
                <c:pt idx="14">
                  <c:v>60753.999447818889</c:v>
                </c:pt>
                <c:pt idx="15">
                  <c:v>63290.501932633902</c:v>
                </c:pt>
                <c:pt idx="16">
                  <c:v>59805.50535615682</c:v>
                </c:pt>
                <c:pt idx="17">
                  <c:v>54366.195692987298</c:v>
                </c:pt>
                <c:pt idx="18">
                  <c:v>56933.927001656535</c:v>
                </c:pt>
                <c:pt idx="19">
                  <c:v>63334.310988404199</c:v>
                </c:pt>
                <c:pt idx="20">
                  <c:v>71445.682606294868</c:v>
                </c:pt>
                <c:pt idx="21">
                  <c:v>81039.826725565988</c:v>
                </c:pt>
                <c:pt idx="22">
                  <c:v>84224.018553285481</c:v>
                </c:pt>
                <c:pt idx="23">
                  <c:v>96548.185311982321</c:v>
                </c:pt>
              </c:numCache>
            </c:numRef>
          </c:yVal>
          <c:smooth val="1"/>
          <c:extLst>
            <c:ext xmlns:c16="http://schemas.microsoft.com/office/drawing/2014/chart" uri="{C3380CC4-5D6E-409C-BE32-E72D297353CC}">
              <c16:uniqueId val="{00000000-F957-4614-90F9-C0043935778B}"/>
            </c:ext>
          </c:extLst>
        </c:ser>
        <c:ser>
          <c:idx val="1"/>
          <c:order val="1"/>
          <c:tx>
            <c:strRef>
              <c:f>Инвестиции!$AE$33</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Инвестиции!$AF$31:$BC$31</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Инвестиции!$AF$33:$BC$33</c:f>
              <c:numCache>
                <c:formatCode>General</c:formatCode>
                <c:ptCount val="24"/>
                <c:pt idx="0">
                  <c:v>18990.669523454504</c:v>
                </c:pt>
                <c:pt idx="1">
                  <c:v>17717.687207297036</c:v>
                </c:pt>
                <c:pt idx="2">
                  <c:v>24593.800829875519</c:v>
                </c:pt>
                <c:pt idx="3">
                  <c:v>26597</c:v>
                </c:pt>
                <c:pt idx="4">
                  <c:v>26525.993240150692</c:v>
                </c:pt>
                <c:pt idx="5">
                  <c:v>28396.037320001411</c:v>
                </c:pt>
                <c:pt idx="6">
                  <c:v>31215.562440587259</c:v>
                </c:pt>
                <c:pt idx="7">
                  <c:v>30710.608808928635</c:v>
                </c:pt>
                <c:pt idx="8">
                  <c:v>42422.603105305774</c:v>
                </c:pt>
                <c:pt idx="9">
                  <c:v>59908.681160440799</c:v>
                </c:pt>
                <c:pt idx="10">
                  <c:v>80498.414005562794</c:v>
                </c:pt>
                <c:pt idx="11">
                  <c:v>57116.883674259763</c:v>
                </c:pt>
                <c:pt idx="12">
                  <c:v>66795.506531000254</c:v>
                </c:pt>
                <c:pt idx="13">
                  <c:v>90366.904833996407</c:v>
                </c:pt>
                <c:pt idx="14">
                  <c:v>99232.311093898534</c:v>
                </c:pt>
                <c:pt idx="15">
                  <c:v>101474.52765552935</c:v>
                </c:pt>
                <c:pt idx="16">
                  <c:v>107217.93743618632</c:v>
                </c:pt>
                <c:pt idx="17">
                  <c:v>92877.691335422322</c:v>
                </c:pt>
                <c:pt idx="18">
                  <c:v>112282.66985881774</c:v>
                </c:pt>
                <c:pt idx="19">
                  <c:v>118869.96401788543</c:v>
                </c:pt>
                <c:pt idx="20">
                  <c:v>123378.71337534767</c:v>
                </c:pt>
                <c:pt idx="21">
                  <c:v>122687.90800267579</c:v>
                </c:pt>
                <c:pt idx="22">
                  <c:v>124239.94461852621</c:v>
                </c:pt>
                <c:pt idx="23">
                  <c:v>119117.34869556036</c:v>
                </c:pt>
              </c:numCache>
            </c:numRef>
          </c:yVal>
          <c:smooth val="1"/>
          <c:extLst>
            <c:ext xmlns:c16="http://schemas.microsoft.com/office/drawing/2014/chart" uri="{C3380CC4-5D6E-409C-BE32-E72D297353CC}">
              <c16:uniqueId val="{00000001-F957-4614-90F9-C0043935778B}"/>
            </c:ext>
          </c:extLst>
        </c:ser>
        <c:ser>
          <c:idx val="2"/>
          <c:order val="2"/>
          <c:tx>
            <c:strRef>
              <c:f>Инвестиции!$AE$34</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Инвестиции!$AF$31:$BC$31</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Инвестиции!$AF$34:$BC$34</c:f>
              <c:numCache>
                <c:formatCode>General</c:formatCode>
                <c:ptCount val="24"/>
                <c:pt idx="0">
                  <c:v>2713.508714485527</c:v>
                </c:pt>
                <c:pt idx="1">
                  <c:v>2532.9561305638535</c:v>
                </c:pt>
                <c:pt idx="2">
                  <c:v>3066.7270593757335</c:v>
                </c:pt>
                <c:pt idx="3">
                  <c:v>3090</c:v>
                </c:pt>
                <c:pt idx="4">
                  <c:v>3515.0091853515705</c:v>
                </c:pt>
                <c:pt idx="5">
                  <c:v>4831.5703742328824</c:v>
                </c:pt>
                <c:pt idx="6">
                  <c:v>4617.407284104127</c:v>
                </c:pt>
                <c:pt idx="7">
                  <c:v>6702.2374152661341</c:v>
                </c:pt>
                <c:pt idx="8">
                  <c:v>11619.202960170069</c:v>
                </c:pt>
                <c:pt idx="9">
                  <c:v>16163.121655769924</c:v>
                </c:pt>
                <c:pt idx="10">
                  <c:v>30407.449600898479</c:v>
                </c:pt>
                <c:pt idx="11">
                  <c:v>29764.006257270066</c:v>
                </c:pt>
                <c:pt idx="12">
                  <c:v>21499.632104608718</c:v>
                </c:pt>
                <c:pt idx="13">
                  <c:v>25788.794552966188</c:v>
                </c:pt>
                <c:pt idx="14">
                  <c:v>32557.505996550481</c:v>
                </c:pt>
                <c:pt idx="15">
                  <c:v>28769.868557217924</c:v>
                </c:pt>
                <c:pt idx="16">
                  <c:v>26877.983554610724</c:v>
                </c:pt>
                <c:pt idx="17">
                  <c:v>19626.199350206571</c:v>
                </c:pt>
                <c:pt idx="18">
                  <c:v>20427.163170350166</c:v>
                </c:pt>
                <c:pt idx="19">
                  <c:v>12908.581244234085</c:v>
                </c:pt>
                <c:pt idx="20">
                  <c:v>17378.727888973568</c:v>
                </c:pt>
                <c:pt idx="21">
                  <c:v>33676.82415466688</c:v>
                </c:pt>
                <c:pt idx="22">
                  <c:v>35601.443624403357</c:v>
                </c:pt>
                <c:pt idx="23">
                  <c:v>39903.469856804775</c:v>
                </c:pt>
              </c:numCache>
            </c:numRef>
          </c:yVal>
          <c:smooth val="1"/>
          <c:extLst>
            <c:ext xmlns:c16="http://schemas.microsoft.com/office/drawing/2014/chart" uri="{C3380CC4-5D6E-409C-BE32-E72D297353CC}">
              <c16:uniqueId val="{00000002-F957-4614-90F9-C0043935778B}"/>
            </c:ext>
          </c:extLst>
        </c:ser>
        <c:ser>
          <c:idx val="3"/>
          <c:order val="3"/>
          <c:tx>
            <c:strRef>
              <c:f>Инвестиции!$AE$35</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Инвестиции!$AF$31:$BC$31</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Инвестиции!$AF$35:$BC$35</c:f>
              <c:numCache>
                <c:formatCode>General</c:formatCode>
                <c:ptCount val="24"/>
                <c:pt idx="0">
                  <c:v>5940.5826019948727</c:v>
                </c:pt>
                <c:pt idx="1">
                  <c:v>5900.4960622542749</c:v>
                </c:pt>
                <c:pt idx="2">
                  <c:v>6795.3114699517228</c:v>
                </c:pt>
                <c:pt idx="3">
                  <c:v>6671</c:v>
                </c:pt>
                <c:pt idx="4">
                  <c:v>7859.2735949487897</c:v>
                </c:pt>
                <c:pt idx="5">
                  <c:v>10148.340259168166</c:v>
                </c:pt>
                <c:pt idx="6">
                  <c:v>14199.584817003781</c:v>
                </c:pt>
                <c:pt idx="7">
                  <c:v>16298.232186777284</c:v>
                </c:pt>
                <c:pt idx="8">
                  <c:v>24733.017436951654</c:v>
                </c:pt>
                <c:pt idx="9">
                  <c:v>34722.557945743552</c:v>
                </c:pt>
                <c:pt idx="10">
                  <c:v>44965.488858705634</c:v>
                </c:pt>
                <c:pt idx="11">
                  <c:v>33828.497191733048</c:v>
                </c:pt>
                <c:pt idx="12">
                  <c:v>46710.423405895526</c:v>
                </c:pt>
                <c:pt idx="13">
                  <c:v>61382.253368084872</c:v>
                </c:pt>
                <c:pt idx="14">
                  <c:v>63503.779082999892</c:v>
                </c:pt>
                <c:pt idx="15">
                  <c:v>61784.772695569176</c:v>
                </c:pt>
                <c:pt idx="16">
                  <c:v>63791.921845747216</c:v>
                </c:pt>
                <c:pt idx="17">
                  <c:v>55453.560919202675</c:v>
                </c:pt>
                <c:pt idx="18">
                  <c:v>48167.080503652585</c:v>
                </c:pt>
                <c:pt idx="19">
                  <c:v>45032.151059065378</c:v>
                </c:pt>
                <c:pt idx="20">
                  <c:v>43935.077933996552</c:v>
                </c:pt>
                <c:pt idx="21">
                  <c:v>60238.510810910026</c:v>
                </c:pt>
                <c:pt idx="22">
                  <c:v>62722.101611541424</c:v>
                </c:pt>
                <c:pt idx="23">
                  <c:v>60290.338497118311</c:v>
                </c:pt>
              </c:numCache>
            </c:numRef>
          </c:yVal>
          <c:smooth val="1"/>
          <c:extLst>
            <c:ext xmlns:c16="http://schemas.microsoft.com/office/drawing/2014/chart" uri="{C3380CC4-5D6E-409C-BE32-E72D297353CC}">
              <c16:uniqueId val="{00000003-F957-4614-90F9-C0043935778B}"/>
            </c:ext>
          </c:extLst>
        </c:ser>
        <c:ser>
          <c:idx val="6"/>
          <c:order val="4"/>
          <c:tx>
            <c:strRef>
              <c:f>Инвестиции!$AE$38</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Инвестиции!$AF$31:$BC$31</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Инвестиции!$AF$38:$BC$38</c:f>
              <c:numCache>
                <c:formatCode>General</c:formatCode>
                <c:ptCount val="24"/>
                <c:pt idx="0">
                  <c:v>74031.098763722344</c:v>
                </c:pt>
                <c:pt idx="1">
                  <c:v>64226.636872961659</c:v>
                </c:pt>
                <c:pt idx="2">
                  <c:v>95881.882254277079</c:v>
                </c:pt>
                <c:pt idx="3">
                  <c:v>109974</c:v>
                </c:pt>
                <c:pt idx="4">
                  <c:v>84597.082767668689</c:v>
                </c:pt>
                <c:pt idx="5">
                  <c:v>72023.290970281203</c:v>
                </c:pt>
                <c:pt idx="6">
                  <c:v>64615.404996862708</c:v>
                </c:pt>
                <c:pt idx="7">
                  <c:v>59566.433802977568</c:v>
                </c:pt>
                <c:pt idx="8">
                  <c:v>84963.316810221877</c:v>
                </c:pt>
                <c:pt idx="9">
                  <c:v>104108.2952484171</c:v>
                </c:pt>
                <c:pt idx="10">
                  <c:v>124628.71946837028</c:v>
                </c:pt>
                <c:pt idx="11">
                  <c:v>56725.43631281727</c:v>
                </c:pt>
                <c:pt idx="12">
                  <c:v>80628.572699788929</c:v>
                </c:pt>
                <c:pt idx="13">
                  <c:v>140868.83286749182</c:v>
                </c:pt>
                <c:pt idx="14">
                  <c:v>130718.60270378191</c:v>
                </c:pt>
                <c:pt idx="15">
                  <c:v>127005.40049055952</c:v>
                </c:pt>
                <c:pt idx="16">
                  <c:v>106619.7563744224</c:v>
                </c:pt>
                <c:pt idx="17">
                  <c:v>74061.854144087527</c:v>
                </c:pt>
                <c:pt idx="18">
                  <c:v>58899.87074325484</c:v>
                </c:pt>
                <c:pt idx="19">
                  <c:v>116629.80354800064</c:v>
                </c:pt>
                <c:pt idx="20">
                  <c:v>98316.190747818036</c:v>
                </c:pt>
                <c:pt idx="21">
                  <c:v>108231.02606810792</c:v>
                </c:pt>
                <c:pt idx="22">
                  <c:v>74922.317038389214</c:v>
                </c:pt>
                <c:pt idx="23">
                  <c:v>74449.985511379782</c:v>
                </c:pt>
              </c:numCache>
            </c:numRef>
          </c:yVal>
          <c:smooth val="1"/>
          <c:extLst>
            <c:ext xmlns:c16="http://schemas.microsoft.com/office/drawing/2014/chart" uri="{C3380CC4-5D6E-409C-BE32-E72D297353CC}">
              <c16:uniqueId val="{00000004-F957-4614-90F9-C0043935778B}"/>
            </c:ext>
          </c:extLst>
        </c:ser>
        <c:ser>
          <c:idx val="8"/>
          <c:order val="6"/>
          <c:tx>
            <c:strRef>
              <c:f>Инвестиции!$AE$40</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Инвестиции!$AF$31:$BC$31</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Инвестиции!$AF$40:$BC$40</c:f>
              <c:numCache>
                <c:formatCode>General</c:formatCode>
                <c:ptCount val="24"/>
                <c:pt idx="0">
                  <c:v>8631.2556097758079</c:v>
                </c:pt>
                <c:pt idx="1">
                  <c:v>7659.2327355465668</c:v>
                </c:pt>
                <c:pt idx="2">
                  <c:v>9460.7701863690345</c:v>
                </c:pt>
                <c:pt idx="3">
                  <c:v>10366.017964071856</c:v>
                </c:pt>
                <c:pt idx="4">
                  <c:v>11036.358081336217</c:v>
                </c:pt>
                <c:pt idx="5">
                  <c:v>12452.466495885063</c:v>
                </c:pt>
                <c:pt idx="6">
                  <c:v>22897.422232232417</c:v>
                </c:pt>
                <c:pt idx="7">
                  <c:v>36706.994230608128</c:v>
                </c:pt>
                <c:pt idx="8">
                  <c:v>58164.978396263556</c:v>
                </c:pt>
                <c:pt idx="9">
                  <c:v>69072.074922035259</c:v>
                </c:pt>
                <c:pt idx="10">
                  <c:v>92334.48202237043</c:v>
                </c:pt>
                <c:pt idx="11">
                  <c:v>88157.087897080521</c:v>
                </c:pt>
                <c:pt idx="12">
                  <c:v>93555.95714475213</c:v>
                </c:pt>
                <c:pt idx="13">
                  <c:v>111031.5832855645</c:v>
                </c:pt>
                <c:pt idx="14">
                  <c:v>126890.3453049227</c:v>
                </c:pt>
                <c:pt idx="15">
                  <c:v>139316.24792584573</c:v>
                </c:pt>
                <c:pt idx="16">
                  <c:v>134481.71612627895</c:v>
                </c:pt>
                <c:pt idx="17">
                  <c:v>103970.00353751535</c:v>
                </c:pt>
                <c:pt idx="18">
                  <c:v>113774.91548793753</c:v>
                </c:pt>
                <c:pt idx="19">
                  <c:v>150264.61897488445</c:v>
                </c:pt>
                <c:pt idx="20">
                  <c:v>197106.11200774484</c:v>
                </c:pt>
                <c:pt idx="21">
                  <c:v>142154.88122356945</c:v>
                </c:pt>
                <c:pt idx="22">
                  <c:v>135409.58693740054</c:v>
                </c:pt>
                <c:pt idx="23">
                  <c:v>72174.994953525806</c:v>
                </c:pt>
              </c:numCache>
            </c:numRef>
          </c:yVal>
          <c:smooth val="1"/>
          <c:extLst>
            <c:ext xmlns:c16="http://schemas.microsoft.com/office/drawing/2014/chart" uri="{C3380CC4-5D6E-409C-BE32-E72D297353CC}">
              <c16:uniqueId val="{00000005-F957-4614-90F9-C0043935778B}"/>
            </c:ext>
          </c:extLst>
        </c:ser>
        <c:ser>
          <c:idx val="9"/>
          <c:order val="7"/>
          <c:tx>
            <c:strRef>
              <c:f>Инвестиции!$AE$41</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Инвестиции!$AF$31:$BC$31</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Инвестиции!$AF$41:$BC$41</c:f>
              <c:numCache>
                <c:formatCode>General</c:formatCode>
                <c:ptCount val="24"/>
                <c:pt idx="0">
                  <c:v>6808.4537810366974</c:v>
                </c:pt>
                <c:pt idx="1">
                  <c:v>6331.4226480732723</c:v>
                </c:pt>
                <c:pt idx="2">
                  <c:v>7745.1805065726203</c:v>
                </c:pt>
                <c:pt idx="3">
                  <c:v>8330</c:v>
                </c:pt>
                <c:pt idx="4">
                  <c:v>8223.092437608384</c:v>
                </c:pt>
                <c:pt idx="5">
                  <c:v>8288.9957023297902</c:v>
                </c:pt>
                <c:pt idx="6">
                  <c:v>13181.508633039281</c:v>
                </c:pt>
                <c:pt idx="7">
                  <c:v>15699.11505692528</c:v>
                </c:pt>
                <c:pt idx="8">
                  <c:v>18904.616753374044</c:v>
                </c:pt>
                <c:pt idx="9">
                  <c:v>28479.48058508633</c:v>
                </c:pt>
                <c:pt idx="10">
                  <c:v>40103.511121164142</c:v>
                </c:pt>
                <c:pt idx="11">
                  <c:v>26109.927919776826</c:v>
                </c:pt>
                <c:pt idx="12">
                  <c:v>27287.276709643371</c:v>
                </c:pt>
                <c:pt idx="13">
                  <c:v>32907.978662444395</c:v>
                </c:pt>
                <c:pt idx="14">
                  <c:v>35097.034004373068</c:v>
                </c:pt>
                <c:pt idx="15">
                  <c:v>39142.492648722007</c:v>
                </c:pt>
                <c:pt idx="16">
                  <c:v>39139.112418004981</c:v>
                </c:pt>
                <c:pt idx="17">
                  <c:v>32226.627309055264</c:v>
                </c:pt>
                <c:pt idx="18">
                  <c:v>24754.801100806755</c:v>
                </c:pt>
                <c:pt idx="19">
                  <c:v>24806.143858855459</c:v>
                </c:pt>
                <c:pt idx="20">
                  <c:v>40335.31765060695</c:v>
                </c:pt>
                <c:pt idx="21">
                  <c:v>51858.160974138576</c:v>
                </c:pt>
                <c:pt idx="22">
                  <c:v>55993.343210435043</c:v>
                </c:pt>
                <c:pt idx="23">
                  <c:v>49683.81821608988</c:v>
                </c:pt>
              </c:numCache>
            </c:numRef>
          </c:yVal>
          <c:smooth val="1"/>
          <c:extLst>
            <c:ext xmlns:c16="http://schemas.microsoft.com/office/drawing/2014/chart" uri="{C3380CC4-5D6E-409C-BE32-E72D297353CC}">
              <c16:uniqueId val="{00000006-F957-4614-90F9-C0043935778B}"/>
            </c:ext>
          </c:extLst>
        </c:ser>
        <c:dLbls>
          <c:showLegendKey val="0"/>
          <c:showVal val="0"/>
          <c:showCatName val="0"/>
          <c:showSerName val="0"/>
          <c:showPercent val="0"/>
          <c:showBubbleSize val="0"/>
        </c:dLbls>
        <c:axId val="338309888"/>
        <c:axId val="338311808"/>
      </c:scatterChart>
      <c:scatterChart>
        <c:scatterStyle val="smoothMarker"/>
        <c:varyColors val="0"/>
        <c:ser>
          <c:idx val="7"/>
          <c:order val="5"/>
          <c:tx>
            <c:strRef>
              <c:f>Инвестиции!$AE$39</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Инвестиции!$AF$31:$BC$31</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xVal>
          <c:yVal>
            <c:numRef>
              <c:f>Инвестиции!$AF$39:$BC$39</c:f>
              <c:numCache>
                <c:formatCode>General</c:formatCode>
                <c:ptCount val="24"/>
                <c:pt idx="0">
                  <c:v>130893.89115462406</c:v>
                </c:pt>
                <c:pt idx="1">
                  <c:v>135047.8901798228</c:v>
                </c:pt>
                <c:pt idx="2">
                  <c:v>202938.95606541372</c:v>
                </c:pt>
                <c:pt idx="3">
                  <c:v>199188</c:v>
                </c:pt>
                <c:pt idx="4">
                  <c:v>223990.48186240112</c:v>
                </c:pt>
                <c:pt idx="5">
                  <c:v>259940.14144665201</c:v>
                </c:pt>
                <c:pt idx="6">
                  <c:v>218348.95731190866</c:v>
                </c:pt>
                <c:pt idx="7">
                  <c:v>120360.6034653825</c:v>
                </c:pt>
                <c:pt idx="8">
                  <c:v>132088.8861408901</c:v>
                </c:pt>
                <c:pt idx="9">
                  <c:v>301626.32209665317</c:v>
                </c:pt>
                <c:pt idx="10">
                  <c:v>425777.86847518338</c:v>
                </c:pt>
                <c:pt idx="11">
                  <c:v>249220.61950971617</c:v>
                </c:pt>
                <c:pt idx="12">
                  <c:v>326895.54521694942</c:v>
                </c:pt>
                <c:pt idx="13">
                  <c:v>460403.2097863176</c:v>
                </c:pt>
                <c:pt idx="14">
                  <c:v>620162.5273576458</c:v>
                </c:pt>
                <c:pt idx="15">
                  <c:v>612878.39866418205</c:v>
                </c:pt>
                <c:pt idx="16">
                  <c:v>823200.16419427434</c:v>
                </c:pt>
                <c:pt idx="17">
                  <c:v>803262.41799966118</c:v>
                </c:pt>
                <c:pt idx="18">
                  <c:v>1356279.7221402125</c:v>
                </c:pt>
                <c:pt idx="19">
                  <c:v>1281931.8185514121</c:v>
                </c:pt>
                <c:pt idx="20">
                  <c:v>1184662.9987900201</c:v>
                </c:pt>
                <c:pt idx="21">
                  <c:v>1001909.5954553154</c:v>
                </c:pt>
                <c:pt idx="22">
                  <c:v>1045993.2585485082</c:v>
                </c:pt>
                <c:pt idx="23">
                  <c:v>1190598.4041090917</c:v>
                </c:pt>
              </c:numCache>
            </c:numRef>
          </c:yVal>
          <c:smooth val="1"/>
          <c:extLst>
            <c:ext xmlns:c16="http://schemas.microsoft.com/office/drawing/2014/chart" uri="{C3380CC4-5D6E-409C-BE32-E72D297353CC}">
              <c16:uniqueId val="{00000007-F957-4614-90F9-C0043935778B}"/>
            </c:ext>
          </c:extLst>
        </c:ser>
        <c:dLbls>
          <c:showLegendKey val="0"/>
          <c:showVal val="0"/>
          <c:showCatName val="0"/>
          <c:showSerName val="0"/>
          <c:showPercent val="0"/>
          <c:showBubbleSize val="0"/>
        </c:dLbls>
        <c:axId val="338323328"/>
        <c:axId val="338321792"/>
      </c:scatterChart>
      <c:valAx>
        <c:axId val="338309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311808"/>
        <c:crosses val="autoZero"/>
        <c:crossBetween val="midCat"/>
      </c:valAx>
      <c:valAx>
        <c:axId val="33831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309888"/>
        <c:crosses val="autoZero"/>
        <c:crossBetween val="midCat"/>
      </c:valAx>
      <c:valAx>
        <c:axId val="338321792"/>
        <c:scaling>
          <c:orientation val="minMax"/>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323328"/>
        <c:crosses val="max"/>
        <c:crossBetween val="midCat"/>
      </c:valAx>
      <c:valAx>
        <c:axId val="338323328"/>
        <c:scaling>
          <c:orientation val="minMax"/>
        </c:scaling>
        <c:delete val="1"/>
        <c:axPos val="b"/>
        <c:numFmt formatCode="General" sourceLinked="1"/>
        <c:majorTickMark val="out"/>
        <c:minorTickMark val="none"/>
        <c:tickLblPos val="nextTo"/>
        <c:crossAx val="3383217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label 0</c:f>
              <c:strCache>
                <c:ptCount val="1"/>
                <c:pt idx="0">
                  <c:v>Российская Федерация</c:v>
                </c:pt>
              </c:strCache>
            </c:strRef>
          </c:tx>
          <c:spPr>
            <a:ln w="19080" cap="rnd">
              <a:solidFill>
                <a:srgbClr val="4F81BD"/>
              </a:solidFill>
              <a:round/>
            </a:ln>
          </c:spPr>
          <c:marker>
            <c:symbol val="circle"/>
            <c:size val="5"/>
            <c:spPr>
              <a:solidFill>
                <a:srgbClr val="4F81BD"/>
              </a:solidFill>
            </c:spPr>
          </c:marke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0</c:f>
              <c:numCache>
                <c:formatCode>General</c:formatCode>
                <c:ptCount val="28"/>
                <c:pt idx="0">
                  <c:v>417</c:v>
                </c:pt>
                <c:pt idx="1">
                  <c:v>278</c:v>
                </c:pt>
                <c:pt idx="2">
                  <c:v>233</c:v>
                </c:pt>
                <c:pt idx="3">
                  <c:v>223</c:v>
                </c:pt>
                <c:pt idx="4">
                  <c:v>209</c:v>
                </c:pt>
                <c:pt idx="5">
                  <c:v>219</c:v>
                </c:pt>
                <c:pt idx="6">
                  <c:v>209</c:v>
                </c:pt>
                <c:pt idx="7">
                  <c:v>220</c:v>
                </c:pt>
                <c:pt idx="8">
                  <c:v>236</c:v>
                </c:pt>
                <c:pt idx="9">
                  <c:v>252</c:v>
                </c:pt>
                <c:pt idx="10">
                  <c:v>285</c:v>
                </c:pt>
                <c:pt idx="11">
                  <c:v>304</c:v>
                </c:pt>
                <c:pt idx="12">
                  <c:v>355</c:v>
                </c:pt>
                <c:pt idx="13">
                  <c:v>431</c:v>
                </c:pt>
                <c:pt idx="14">
                  <c:v>451</c:v>
                </c:pt>
                <c:pt idx="15">
                  <c:v>422</c:v>
                </c:pt>
                <c:pt idx="16">
                  <c:v>409</c:v>
                </c:pt>
                <c:pt idx="17">
                  <c:v>436</c:v>
                </c:pt>
                <c:pt idx="18">
                  <c:v>459</c:v>
                </c:pt>
                <c:pt idx="19">
                  <c:v>491</c:v>
                </c:pt>
                <c:pt idx="20">
                  <c:v>576</c:v>
                </c:pt>
                <c:pt idx="21">
                  <c:v>583</c:v>
                </c:pt>
                <c:pt idx="22">
                  <c:v>547</c:v>
                </c:pt>
                <c:pt idx="23">
                  <c:v>540</c:v>
                </c:pt>
                <c:pt idx="24">
                  <c:v>515</c:v>
                </c:pt>
                <c:pt idx="25">
                  <c:v>559</c:v>
                </c:pt>
                <c:pt idx="26">
                  <c:v>561</c:v>
                </c:pt>
                <c:pt idx="27">
                  <c:v>635</c:v>
                </c:pt>
              </c:numCache>
            </c:numRef>
          </c:yVal>
          <c:smooth val="1"/>
          <c:extLst>
            <c:ext xmlns:c16="http://schemas.microsoft.com/office/drawing/2014/chart" uri="{C3380CC4-5D6E-409C-BE32-E72D297353CC}">
              <c16:uniqueId val="{00000000-490D-41AF-ABAA-46977122410F}"/>
            </c:ext>
          </c:extLst>
        </c:ser>
        <c:ser>
          <c:idx val="1"/>
          <c:order val="1"/>
          <c:tx>
            <c:strRef>
              <c:f>label 2</c:f>
              <c:strCache>
                <c:ptCount val="1"/>
                <c:pt idx="0">
                  <c:v>Уральский ФО</c:v>
                </c:pt>
              </c:strCache>
            </c:strRef>
          </c:tx>
          <c:spPr>
            <a:ln w="19080" cap="rnd">
              <a:solidFill>
                <a:srgbClr val="C0504D"/>
              </a:solidFill>
              <a:round/>
            </a:ln>
          </c:spPr>
          <c:marker>
            <c:symbol val="circle"/>
            <c:size val="5"/>
            <c:spPr>
              <a:solidFill>
                <a:srgbClr val="C0504D"/>
              </a:solidFill>
            </c:spPr>
          </c:marke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2</c:f>
              <c:numCache>
                <c:formatCode>General</c:formatCode>
                <c:ptCount val="28"/>
                <c:pt idx="0">
                  <c:v>491</c:v>
                </c:pt>
                <c:pt idx="1">
                  <c:v>298</c:v>
                </c:pt>
                <c:pt idx="2">
                  <c:v>240</c:v>
                </c:pt>
                <c:pt idx="3">
                  <c:v>225</c:v>
                </c:pt>
                <c:pt idx="4">
                  <c:v>189</c:v>
                </c:pt>
                <c:pt idx="5">
                  <c:v>182</c:v>
                </c:pt>
                <c:pt idx="6">
                  <c:v>180</c:v>
                </c:pt>
                <c:pt idx="7">
                  <c:v>211</c:v>
                </c:pt>
                <c:pt idx="8">
                  <c:v>228</c:v>
                </c:pt>
                <c:pt idx="9">
                  <c:v>228</c:v>
                </c:pt>
                <c:pt idx="10">
                  <c:v>258</c:v>
                </c:pt>
                <c:pt idx="11">
                  <c:v>291</c:v>
                </c:pt>
                <c:pt idx="12">
                  <c:v>358</c:v>
                </c:pt>
                <c:pt idx="13">
                  <c:v>457</c:v>
                </c:pt>
                <c:pt idx="14">
                  <c:v>508</c:v>
                </c:pt>
                <c:pt idx="15">
                  <c:v>433</c:v>
                </c:pt>
                <c:pt idx="16">
                  <c:v>399</c:v>
                </c:pt>
                <c:pt idx="17">
                  <c:v>451</c:v>
                </c:pt>
                <c:pt idx="18">
                  <c:v>523</c:v>
                </c:pt>
                <c:pt idx="19">
                  <c:v>538</c:v>
                </c:pt>
                <c:pt idx="20">
                  <c:v>651</c:v>
                </c:pt>
                <c:pt idx="21">
                  <c:v>647</c:v>
                </c:pt>
                <c:pt idx="22">
                  <c:v>518</c:v>
                </c:pt>
                <c:pt idx="23">
                  <c:v>510</c:v>
                </c:pt>
                <c:pt idx="24">
                  <c:v>483</c:v>
                </c:pt>
                <c:pt idx="25">
                  <c:v>545</c:v>
                </c:pt>
                <c:pt idx="26">
                  <c:v>563</c:v>
                </c:pt>
                <c:pt idx="27">
                  <c:v>623</c:v>
                </c:pt>
              </c:numCache>
            </c:numRef>
          </c:yVal>
          <c:smooth val="1"/>
          <c:extLst>
            <c:ext xmlns:c16="http://schemas.microsoft.com/office/drawing/2014/chart" uri="{C3380CC4-5D6E-409C-BE32-E72D297353CC}">
              <c16:uniqueId val="{00000001-490D-41AF-ABAA-46977122410F}"/>
            </c:ext>
          </c:extLst>
        </c:ser>
        <c:ser>
          <c:idx val="2"/>
          <c:order val="2"/>
          <c:tx>
            <c:strRef>
              <c:f>label 4</c:f>
              <c:strCache>
                <c:ptCount val="1"/>
                <c:pt idx="0">
                  <c:v>Курганская область</c:v>
                </c:pt>
              </c:strCache>
            </c:strRef>
          </c:tx>
          <c:spPr>
            <a:ln w="19080" cap="rnd">
              <a:solidFill>
                <a:srgbClr val="9BBB59"/>
              </a:solidFill>
              <a:round/>
            </a:ln>
          </c:spPr>
          <c:marker>
            <c:symbol val="circle"/>
            <c:size val="5"/>
            <c:spPr>
              <a:solidFill>
                <a:srgbClr val="9BBB59"/>
              </a:solidFill>
            </c:spPr>
          </c:marke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4</c:f>
              <c:numCache>
                <c:formatCode>General</c:formatCode>
                <c:ptCount val="28"/>
                <c:pt idx="0">
                  <c:v>498</c:v>
                </c:pt>
                <c:pt idx="1">
                  <c:v>215</c:v>
                </c:pt>
                <c:pt idx="2">
                  <c:v>156</c:v>
                </c:pt>
                <c:pt idx="3">
                  <c:v>171</c:v>
                </c:pt>
                <c:pt idx="4">
                  <c:v>135</c:v>
                </c:pt>
                <c:pt idx="5">
                  <c:v>109</c:v>
                </c:pt>
                <c:pt idx="6">
                  <c:v>67</c:v>
                </c:pt>
                <c:pt idx="7">
                  <c:v>79</c:v>
                </c:pt>
                <c:pt idx="8">
                  <c:v>95</c:v>
                </c:pt>
                <c:pt idx="9">
                  <c:v>101</c:v>
                </c:pt>
                <c:pt idx="10">
                  <c:v>98</c:v>
                </c:pt>
                <c:pt idx="11">
                  <c:v>125</c:v>
                </c:pt>
                <c:pt idx="12">
                  <c:v>153</c:v>
                </c:pt>
                <c:pt idx="13">
                  <c:v>202</c:v>
                </c:pt>
                <c:pt idx="14">
                  <c:v>294</c:v>
                </c:pt>
                <c:pt idx="15">
                  <c:v>304</c:v>
                </c:pt>
                <c:pt idx="16">
                  <c:v>175</c:v>
                </c:pt>
                <c:pt idx="17">
                  <c:v>202</c:v>
                </c:pt>
                <c:pt idx="18">
                  <c:v>280</c:v>
                </c:pt>
                <c:pt idx="19">
                  <c:v>317</c:v>
                </c:pt>
                <c:pt idx="20">
                  <c:v>446</c:v>
                </c:pt>
                <c:pt idx="21">
                  <c:v>338</c:v>
                </c:pt>
                <c:pt idx="22">
                  <c:v>345</c:v>
                </c:pt>
                <c:pt idx="23">
                  <c:v>320</c:v>
                </c:pt>
                <c:pt idx="24">
                  <c:v>276</c:v>
                </c:pt>
                <c:pt idx="25">
                  <c:v>302</c:v>
                </c:pt>
                <c:pt idx="26">
                  <c:v>325</c:v>
                </c:pt>
                <c:pt idx="27">
                  <c:v>346</c:v>
                </c:pt>
              </c:numCache>
            </c:numRef>
          </c:yVal>
          <c:smooth val="1"/>
          <c:extLst>
            <c:ext xmlns:c16="http://schemas.microsoft.com/office/drawing/2014/chart" uri="{C3380CC4-5D6E-409C-BE32-E72D297353CC}">
              <c16:uniqueId val="{00000002-490D-41AF-ABAA-46977122410F}"/>
            </c:ext>
          </c:extLst>
        </c:ser>
        <c:ser>
          <c:idx val="3"/>
          <c:order val="3"/>
          <c:tx>
            <c:strRef>
              <c:f>label 6</c:f>
              <c:strCache>
                <c:ptCount val="1"/>
                <c:pt idx="0">
                  <c:v>Свердловская область</c:v>
                </c:pt>
              </c:strCache>
            </c:strRef>
          </c:tx>
          <c:spPr>
            <a:ln w="19080" cap="rnd">
              <a:solidFill>
                <a:srgbClr val="8064A2"/>
              </a:solidFill>
              <a:round/>
            </a:ln>
          </c:spPr>
          <c:marker>
            <c:symbol val="circle"/>
            <c:size val="5"/>
            <c:spPr>
              <a:solidFill>
                <a:srgbClr val="8064A2"/>
              </a:solidFill>
            </c:spPr>
          </c:marke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7</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6</c:f>
              <c:numCache>
                <c:formatCode>General</c:formatCode>
                <c:ptCount val="28"/>
                <c:pt idx="0">
                  <c:v>432</c:v>
                </c:pt>
                <c:pt idx="1">
                  <c:v>238</c:v>
                </c:pt>
                <c:pt idx="2">
                  <c:v>191</c:v>
                </c:pt>
                <c:pt idx="3">
                  <c:v>186</c:v>
                </c:pt>
                <c:pt idx="4">
                  <c:v>141</c:v>
                </c:pt>
                <c:pt idx="5">
                  <c:v>144</c:v>
                </c:pt>
                <c:pt idx="6">
                  <c:v>134</c:v>
                </c:pt>
                <c:pt idx="7">
                  <c:v>140</c:v>
                </c:pt>
                <c:pt idx="8">
                  <c:v>156</c:v>
                </c:pt>
                <c:pt idx="9">
                  <c:v>174</c:v>
                </c:pt>
                <c:pt idx="10">
                  <c:v>201</c:v>
                </c:pt>
                <c:pt idx="11">
                  <c:v>250</c:v>
                </c:pt>
                <c:pt idx="12">
                  <c:v>292</c:v>
                </c:pt>
                <c:pt idx="13">
                  <c:v>377</c:v>
                </c:pt>
                <c:pt idx="14">
                  <c:v>387</c:v>
                </c:pt>
                <c:pt idx="15">
                  <c:v>362</c:v>
                </c:pt>
                <c:pt idx="16">
                  <c:v>411</c:v>
                </c:pt>
                <c:pt idx="17">
                  <c:v>424</c:v>
                </c:pt>
                <c:pt idx="18">
                  <c:v>434</c:v>
                </c:pt>
                <c:pt idx="19">
                  <c:v>406</c:v>
                </c:pt>
                <c:pt idx="20">
                  <c:v>561</c:v>
                </c:pt>
                <c:pt idx="21">
                  <c:v>572</c:v>
                </c:pt>
                <c:pt idx="22">
                  <c:v>487</c:v>
                </c:pt>
                <c:pt idx="23">
                  <c:v>495</c:v>
                </c:pt>
                <c:pt idx="24">
                  <c:v>483</c:v>
                </c:pt>
                <c:pt idx="25">
                  <c:v>560</c:v>
                </c:pt>
                <c:pt idx="26">
                  <c:v>552</c:v>
                </c:pt>
                <c:pt idx="27">
                  <c:v>675</c:v>
                </c:pt>
              </c:numCache>
            </c:numRef>
          </c:yVal>
          <c:smooth val="1"/>
          <c:extLst>
            <c:ext xmlns:c16="http://schemas.microsoft.com/office/drawing/2014/chart" uri="{C3380CC4-5D6E-409C-BE32-E72D297353CC}">
              <c16:uniqueId val="{00000003-490D-41AF-ABAA-46977122410F}"/>
            </c:ext>
          </c:extLst>
        </c:ser>
        <c:ser>
          <c:idx val="4"/>
          <c:order val="4"/>
          <c:tx>
            <c:strRef>
              <c:f>label 8</c:f>
              <c:strCache>
                <c:ptCount val="1"/>
                <c:pt idx="0">
                  <c:v>в том числе:</c:v>
                </c:pt>
              </c:strCache>
            </c:strRef>
          </c:tx>
          <c:spPr>
            <a:ln w="19080" cap="rnd">
              <a:solidFill>
                <a:srgbClr val="F79646"/>
              </a:solidFill>
              <a:round/>
            </a:ln>
          </c:spPr>
          <c:marker>
            <c:symbol val="circle"/>
            <c:size val="5"/>
            <c:spPr>
              <a:solidFill>
                <a:srgbClr val="F79646"/>
              </a:solidFill>
            </c:spPr>
          </c:marke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9</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8</c:f>
              <c:numCache>
                <c:formatCode>General</c:formatCode>
                <c:ptCount val="28"/>
              </c:numCache>
            </c:numRef>
          </c:yVal>
          <c:smooth val="1"/>
          <c:extLst>
            <c:ext xmlns:c16="http://schemas.microsoft.com/office/drawing/2014/chart" uri="{C3380CC4-5D6E-409C-BE32-E72D297353CC}">
              <c16:uniqueId val="{00000004-490D-41AF-ABAA-46977122410F}"/>
            </c:ext>
          </c:extLst>
        </c:ser>
        <c:ser>
          <c:idx val="5"/>
          <c:order val="5"/>
          <c:tx>
            <c:strRef>
              <c:f>label 10</c:f>
              <c:strCache>
                <c:ptCount val="1"/>
                <c:pt idx="0">
                  <c:v>Ханты-Мансийский автономный округ - Югра</c:v>
                </c:pt>
              </c:strCache>
            </c:strRef>
          </c:tx>
          <c:spPr>
            <a:ln w="19080" cap="rnd">
              <a:solidFill>
                <a:srgbClr val="2C4D75"/>
              </a:solidFill>
              <a:round/>
            </a:ln>
          </c:spPr>
          <c:marker>
            <c:symbol val="circle"/>
            <c:size val="5"/>
            <c:spPr>
              <a:solidFill>
                <a:srgbClr val="2C4D75"/>
              </a:solidFill>
            </c:spPr>
          </c:marke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11</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10</c:f>
              <c:numCache>
                <c:formatCode>General</c:formatCode>
                <c:ptCount val="28"/>
                <c:pt idx="0">
                  <c:v>610</c:v>
                </c:pt>
                <c:pt idx="1">
                  <c:v>552</c:v>
                </c:pt>
                <c:pt idx="2">
                  <c:v>369</c:v>
                </c:pt>
                <c:pt idx="3">
                  <c:v>355</c:v>
                </c:pt>
                <c:pt idx="4">
                  <c:v>288</c:v>
                </c:pt>
                <c:pt idx="5">
                  <c:v>205</c:v>
                </c:pt>
                <c:pt idx="6">
                  <c:v>255</c:v>
                </c:pt>
                <c:pt idx="7">
                  <c:v>488</c:v>
                </c:pt>
                <c:pt idx="8">
                  <c:v>477</c:v>
                </c:pt>
                <c:pt idx="9">
                  <c:v>403</c:v>
                </c:pt>
                <c:pt idx="10">
                  <c:v>481</c:v>
                </c:pt>
                <c:pt idx="11">
                  <c:v>395</c:v>
                </c:pt>
                <c:pt idx="12">
                  <c:v>512</c:v>
                </c:pt>
                <c:pt idx="13">
                  <c:v>583</c:v>
                </c:pt>
                <c:pt idx="14">
                  <c:v>589</c:v>
                </c:pt>
                <c:pt idx="15">
                  <c:v>541</c:v>
                </c:pt>
                <c:pt idx="16">
                  <c:v>369</c:v>
                </c:pt>
                <c:pt idx="17">
                  <c:v>489</c:v>
                </c:pt>
                <c:pt idx="18">
                  <c:v>650</c:v>
                </c:pt>
                <c:pt idx="19">
                  <c:v>656</c:v>
                </c:pt>
                <c:pt idx="20">
                  <c:v>695</c:v>
                </c:pt>
                <c:pt idx="21">
                  <c:v>598</c:v>
                </c:pt>
                <c:pt idx="22">
                  <c:v>456</c:v>
                </c:pt>
                <c:pt idx="23">
                  <c:v>492</c:v>
                </c:pt>
                <c:pt idx="24">
                  <c:v>353</c:v>
                </c:pt>
                <c:pt idx="25">
                  <c:v>481</c:v>
                </c:pt>
                <c:pt idx="26">
                  <c:v>591</c:v>
                </c:pt>
                <c:pt idx="27">
                  <c:v>530</c:v>
                </c:pt>
              </c:numCache>
            </c:numRef>
          </c:yVal>
          <c:smooth val="1"/>
          <c:extLst>
            <c:ext xmlns:c16="http://schemas.microsoft.com/office/drawing/2014/chart" uri="{C3380CC4-5D6E-409C-BE32-E72D297353CC}">
              <c16:uniqueId val="{00000005-490D-41AF-ABAA-46977122410F}"/>
            </c:ext>
          </c:extLst>
        </c:ser>
        <c:ser>
          <c:idx val="6"/>
          <c:order val="6"/>
          <c:tx>
            <c:strRef>
              <c:f>label 12</c:f>
              <c:strCache>
                <c:ptCount val="1"/>
                <c:pt idx="0">
                  <c:v>Ямало-Ненецкий автономный округ</c:v>
                </c:pt>
              </c:strCache>
            </c:strRef>
          </c:tx>
          <c:spPr>
            <a:ln w="19080" cap="rnd">
              <a:solidFill>
                <a:srgbClr val="772C2A"/>
              </a:solidFill>
              <a:round/>
            </a:ln>
          </c:spPr>
          <c:marker>
            <c:symbol val="circle"/>
            <c:size val="5"/>
            <c:spPr>
              <a:solidFill>
                <a:srgbClr val="772C2A"/>
              </a:solidFill>
            </c:spPr>
          </c:marke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12</c:f>
              <c:numCache>
                <c:formatCode>General</c:formatCode>
                <c:ptCount val="28"/>
                <c:pt idx="0">
                  <c:v>952</c:v>
                </c:pt>
                <c:pt idx="1">
                  <c:v>394</c:v>
                </c:pt>
                <c:pt idx="2">
                  <c:v>325</c:v>
                </c:pt>
                <c:pt idx="3">
                  <c:v>318</c:v>
                </c:pt>
                <c:pt idx="4">
                  <c:v>168</c:v>
                </c:pt>
                <c:pt idx="5">
                  <c:v>219</c:v>
                </c:pt>
                <c:pt idx="6">
                  <c:v>192</c:v>
                </c:pt>
                <c:pt idx="7">
                  <c:v>232</c:v>
                </c:pt>
                <c:pt idx="8">
                  <c:v>353</c:v>
                </c:pt>
                <c:pt idx="9">
                  <c:v>249</c:v>
                </c:pt>
                <c:pt idx="10">
                  <c:v>291</c:v>
                </c:pt>
                <c:pt idx="11">
                  <c:v>346</c:v>
                </c:pt>
                <c:pt idx="12">
                  <c:v>474</c:v>
                </c:pt>
                <c:pt idx="13">
                  <c:v>469</c:v>
                </c:pt>
                <c:pt idx="14">
                  <c:v>423</c:v>
                </c:pt>
                <c:pt idx="15">
                  <c:v>248</c:v>
                </c:pt>
                <c:pt idx="16">
                  <c:v>266</c:v>
                </c:pt>
                <c:pt idx="17">
                  <c:v>316</c:v>
                </c:pt>
                <c:pt idx="18">
                  <c:v>366</c:v>
                </c:pt>
                <c:pt idx="19">
                  <c:v>455</c:v>
                </c:pt>
                <c:pt idx="20">
                  <c:v>502</c:v>
                </c:pt>
                <c:pt idx="21">
                  <c:v>553</c:v>
                </c:pt>
                <c:pt idx="22">
                  <c:v>426</c:v>
                </c:pt>
                <c:pt idx="23">
                  <c:v>439</c:v>
                </c:pt>
                <c:pt idx="24">
                  <c:v>344</c:v>
                </c:pt>
                <c:pt idx="25">
                  <c:v>268</c:v>
                </c:pt>
                <c:pt idx="26">
                  <c:v>306</c:v>
                </c:pt>
                <c:pt idx="27">
                  <c:v>314</c:v>
                </c:pt>
              </c:numCache>
            </c:numRef>
          </c:yVal>
          <c:smooth val="1"/>
          <c:extLst>
            <c:ext xmlns:c16="http://schemas.microsoft.com/office/drawing/2014/chart" uri="{C3380CC4-5D6E-409C-BE32-E72D297353CC}">
              <c16:uniqueId val="{00000006-490D-41AF-ABAA-46977122410F}"/>
            </c:ext>
          </c:extLst>
        </c:ser>
        <c:ser>
          <c:idx val="7"/>
          <c:order val="7"/>
          <c:tx>
            <c:strRef>
              <c:f>label 14</c:f>
              <c:strCache>
                <c:ptCount val="1"/>
                <c:pt idx="0">
                  <c:v>Тюменская область без ХМАО и ЯНАО</c:v>
                </c:pt>
              </c:strCache>
            </c:strRef>
          </c:tx>
          <c:spPr>
            <a:ln w="19080" cap="rnd">
              <a:solidFill>
                <a:srgbClr val="5F7530"/>
              </a:solidFill>
              <a:round/>
            </a:ln>
          </c:spPr>
          <c:marker>
            <c:symbol val="circle"/>
            <c:size val="5"/>
            <c:spPr>
              <a:solidFill>
                <a:srgbClr val="5F7530"/>
              </a:solidFill>
            </c:spPr>
          </c:marke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15</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14</c:f>
              <c:numCache>
                <c:formatCode>General</c:formatCode>
                <c:ptCount val="28"/>
                <c:pt idx="0">
                  <c:v>633.17773019271999</c:v>
                </c:pt>
                <c:pt idx="1">
                  <c:v>435.65512265512302</c:v>
                </c:pt>
                <c:pt idx="2">
                  <c:v>447.26618181818202</c:v>
                </c:pt>
                <c:pt idx="3">
                  <c:v>335.644314868805</c:v>
                </c:pt>
                <c:pt idx="4">
                  <c:v>308.19005847953201</c:v>
                </c:pt>
                <c:pt idx="5">
                  <c:v>289.68428781204102</c:v>
                </c:pt>
                <c:pt idx="6">
                  <c:v>335.55432372505499</c:v>
                </c:pt>
                <c:pt idx="7">
                  <c:v>338.61152694610797</c:v>
                </c:pt>
                <c:pt idx="8">
                  <c:v>354.162509448224</c:v>
                </c:pt>
                <c:pt idx="9">
                  <c:v>363.32625189681301</c:v>
                </c:pt>
                <c:pt idx="10">
                  <c:v>393.12006079027401</c:v>
                </c:pt>
                <c:pt idx="11">
                  <c:v>424.41864018334599</c:v>
                </c:pt>
                <c:pt idx="12">
                  <c:v>529.66641221374095</c:v>
                </c:pt>
                <c:pt idx="13">
                  <c:v>709.38905775076</c:v>
                </c:pt>
                <c:pt idx="14">
                  <c:v>824.02037735849103</c:v>
                </c:pt>
                <c:pt idx="15">
                  <c:v>775.14167916042004</c:v>
                </c:pt>
                <c:pt idx="16">
                  <c:v>830.13551749813905</c:v>
                </c:pt>
                <c:pt idx="17">
                  <c:v>905.24155653450805</c:v>
                </c:pt>
                <c:pt idx="18">
                  <c:v>979.15090252707603</c:v>
                </c:pt>
                <c:pt idx="19">
                  <c:v>1047</c:v>
                </c:pt>
                <c:pt idx="20">
                  <c:v>1250</c:v>
                </c:pt>
                <c:pt idx="21">
                  <c:v>1478</c:v>
                </c:pt>
                <c:pt idx="22">
                  <c:v>1151</c:v>
                </c:pt>
                <c:pt idx="23">
                  <c:v>954</c:v>
                </c:pt>
                <c:pt idx="24">
                  <c:v>894</c:v>
                </c:pt>
                <c:pt idx="25">
                  <c:v>1057</c:v>
                </c:pt>
                <c:pt idx="26">
                  <c:v>1027</c:v>
                </c:pt>
                <c:pt idx="27">
                  <c:v>1102</c:v>
                </c:pt>
              </c:numCache>
            </c:numRef>
          </c:yVal>
          <c:smooth val="1"/>
          <c:extLst>
            <c:ext xmlns:c16="http://schemas.microsoft.com/office/drawing/2014/chart" uri="{C3380CC4-5D6E-409C-BE32-E72D297353CC}">
              <c16:uniqueId val="{00000007-490D-41AF-ABAA-46977122410F}"/>
            </c:ext>
          </c:extLst>
        </c:ser>
        <c:ser>
          <c:idx val="8"/>
          <c:order val="8"/>
          <c:tx>
            <c:strRef>
              <c:f>label 16</c:f>
              <c:strCache>
                <c:ptCount val="1"/>
                <c:pt idx="0">
                  <c:v>Челябинская область</c:v>
                </c:pt>
              </c:strCache>
            </c:strRef>
          </c:tx>
          <c:spPr>
            <a:ln w="19080" cap="rnd">
              <a:solidFill>
                <a:srgbClr val="4D3B62"/>
              </a:solidFill>
              <a:round/>
            </a:ln>
          </c:spPr>
          <c:marker>
            <c:symbol val="circle"/>
            <c:size val="5"/>
            <c:spPr>
              <a:solidFill>
                <a:srgbClr val="4D3B62"/>
              </a:solidFill>
            </c:spPr>
          </c:marker>
          <c:dLbls>
            <c:spPr>
              <a:noFill/>
              <a:ln>
                <a:noFill/>
              </a:ln>
              <a:effectLst/>
            </c:spPr>
            <c:txPr>
              <a:bodyPr wrap="squar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17</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16</c:f>
              <c:numCache>
                <c:formatCode>General</c:formatCode>
                <c:ptCount val="28"/>
                <c:pt idx="0">
                  <c:v>423</c:v>
                </c:pt>
                <c:pt idx="1">
                  <c:v>244</c:v>
                </c:pt>
                <c:pt idx="2">
                  <c:v>193</c:v>
                </c:pt>
                <c:pt idx="3">
                  <c:v>188</c:v>
                </c:pt>
                <c:pt idx="4">
                  <c:v>189</c:v>
                </c:pt>
                <c:pt idx="5">
                  <c:v>197</c:v>
                </c:pt>
                <c:pt idx="6">
                  <c:v>183</c:v>
                </c:pt>
                <c:pt idx="7">
                  <c:v>181</c:v>
                </c:pt>
                <c:pt idx="8">
                  <c:v>195</c:v>
                </c:pt>
                <c:pt idx="9">
                  <c:v>206</c:v>
                </c:pt>
                <c:pt idx="10">
                  <c:v>227</c:v>
                </c:pt>
                <c:pt idx="11">
                  <c:v>288</c:v>
                </c:pt>
                <c:pt idx="12">
                  <c:v>350</c:v>
                </c:pt>
                <c:pt idx="13">
                  <c:v>476</c:v>
                </c:pt>
                <c:pt idx="14">
                  <c:v>577</c:v>
                </c:pt>
                <c:pt idx="15">
                  <c:v>408</c:v>
                </c:pt>
                <c:pt idx="16">
                  <c:v>308</c:v>
                </c:pt>
                <c:pt idx="17">
                  <c:v>378</c:v>
                </c:pt>
                <c:pt idx="18">
                  <c:v>481</c:v>
                </c:pt>
                <c:pt idx="19">
                  <c:v>513</c:v>
                </c:pt>
                <c:pt idx="20">
                  <c:v>573</c:v>
                </c:pt>
                <c:pt idx="21">
                  <c:v>509</c:v>
                </c:pt>
                <c:pt idx="22">
                  <c:v>376</c:v>
                </c:pt>
                <c:pt idx="23">
                  <c:v>405</c:v>
                </c:pt>
                <c:pt idx="24">
                  <c:v>437</c:v>
                </c:pt>
                <c:pt idx="25">
                  <c:v>434</c:v>
                </c:pt>
                <c:pt idx="26">
                  <c:v>455</c:v>
                </c:pt>
                <c:pt idx="27">
                  <c:v>503</c:v>
                </c:pt>
              </c:numCache>
            </c:numRef>
          </c:yVal>
          <c:smooth val="1"/>
          <c:extLst>
            <c:ext xmlns:c16="http://schemas.microsoft.com/office/drawing/2014/chart" uri="{C3380CC4-5D6E-409C-BE32-E72D297353CC}">
              <c16:uniqueId val="{00000008-490D-41AF-ABAA-46977122410F}"/>
            </c:ext>
          </c:extLst>
        </c:ser>
        <c:dLbls>
          <c:showLegendKey val="0"/>
          <c:showVal val="0"/>
          <c:showCatName val="0"/>
          <c:showSerName val="0"/>
          <c:showPercent val="0"/>
          <c:showBubbleSize val="0"/>
        </c:dLbls>
        <c:axId val="25224971"/>
        <c:axId val="31654879"/>
      </c:scatterChart>
      <c:valAx>
        <c:axId val="25224971"/>
        <c:scaling>
          <c:orientation val="minMax"/>
          <c:max val="2021"/>
          <c:min val="1990"/>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ru-RU"/>
          </a:p>
        </c:txPr>
        <c:crossAx val="31654879"/>
        <c:crosses val="autoZero"/>
        <c:crossBetween val="midCat"/>
      </c:valAx>
      <c:valAx>
        <c:axId val="31654879"/>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ru-RU"/>
          </a:p>
        </c:txPr>
        <c:crossAx val="25224971"/>
        <c:crosses val="autoZero"/>
        <c:crossBetween val="midCat"/>
      </c:valAx>
      <c:spPr>
        <a:noFill/>
        <a:ln w="0">
          <a:noFill/>
        </a:ln>
      </c:spPr>
    </c:plotArea>
    <c:legend>
      <c:legendPos val="b"/>
      <c:legendEntry>
        <c:idx val="4"/>
        <c:delete val="1"/>
      </c:legendEntry>
      <c:overlay val="0"/>
      <c:spPr>
        <a:noFill/>
        <a:ln w="0">
          <a:noFill/>
        </a:ln>
      </c:spPr>
      <c:txPr>
        <a:bodyPr/>
        <a:lstStyle/>
        <a:p>
          <a:pPr>
            <a:defRPr sz="900" b="0" strike="noStrike" spc="-1">
              <a:solidFill>
                <a:srgbClr val="595959"/>
              </a:solidFill>
              <a:latin typeface="Calibri"/>
            </a:defRPr>
          </a:pPr>
          <a:endParaRPr lang="ru-RU"/>
        </a:p>
      </c:txPr>
    </c:legend>
    <c:plotVisOnly val="1"/>
    <c:dispBlanksAs val="gap"/>
    <c:showDLblsOverMax val="1"/>
  </c:chart>
  <c:spPr>
    <a:solidFill>
      <a:srgbClr val="FFFFFF"/>
    </a:solidFill>
    <a:ln w="9360">
      <a:solidFill>
        <a:srgbClr val="D9D9D9"/>
      </a:solidFill>
      <a:round/>
    </a:ln>
  </c:spPr>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Образование!$BI$5</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Образование!$BJ$4:$CJ$4</c:f>
              <c:numCache>
                <c:formatCode>General</c:formatCode>
                <c:ptCount val="27"/>
                <c:pt idx="0">
                  <c:v>1990</c:v>
                </c:pt>
                <c:pt idx="1">
                  <c:v>1995</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Образование!$BJ$5:$CJ$5</c:f>
              <c:numCache>
                <c:formatCode>General</c:formatCode>
                <c:ptCount val="27"/>
                <c:pt idx="0">
                  <c:v>190</c:v>
                </c:pt>
                <c:pt idx="1">
                  <c:v>189</c:v>
                </c:pt>
                <c:pt idx="2">
                  <c:v>222</c:v>
                </c:pt>
                <c:pt idx="3">
                  <c:v>247</c:v>
                </c:pt>
                <c:pt idx="4">
                  <c:v>280</c:v>
                </c:pt>
                <c:pt idx="5">
                  <c:v>324</c:v>
                </c:pt>
                <c:pt idx="6">
                  <c:v>373</c:v>
                </c:pt>
                <c:pt idx="7">
                  <c:v>410</c:v>
                </c:pt>
                <c:pt idx="8">
                  <c:v>448</c:v>
                </c:pt>
                <c:pt idx="9">
                  <c:v>480</c:v>
                </c:pt>
                <c:pt idx="10">
                  <c:v>495</c:v>
                </c:pt>
                <c:pt idx="11">
                  <c:v>514</c:v>
                </c:pt>
                <c:pt idx="12">
                  <c:v>525</c:v>
                </c:pt>
                <c:pt idx="13">
                  <c:v>529</c:v>
                </c:pt>
                <c:pt idx="14">
                  <c:v>523</c:v>
                </c:pt>
                <c:pt idx="15">
                  <c:v>497</c:v>
                </c:pt>
                <c:pt idx="16">
                  <c:v>454</c:v>
                </c:pt>
                <c:pt idx="17">
                  <c:v>424</c:v>
                </c:pt>
                <c:pt idx="18">
                  <c:v>393</c:v>
                </c:pt>
                <c:pt idx="19">
                  <c:v>356</c:v>
                </c:pt>
                <c:pt idx="20">
                  <c:v>325</c:v>
                </c:pt>
                <c:pt idx="21">
                  <c:v>300</c:v>
                </c:pt>
                <c:pt idx="22">
                  <c:v>289</c:v>
                </c:pt>
                <c:pt idx="23">
                  <c:v>284</c:v>
                </c:pt>
                <c:pt idx="24">
                  <c:v>277</c:v>
                </c:pt>
                <c:pt idx="25">
                  <c:v>277</c:v>
                </c:pt>
                <c:pt idx="26">
                  <c:v>278</c:v>
                </c:pt>
              </c:numCache>
            </c:numRef>
          </c:yVal>
          <c:smooth val="1"/>
          <c:extLst>
            <c:ext xmlns:c16="http://schemas.microsoft.com/office/drawing/2014/chart" uri="{C3380CC4-5D6E-409C-BE32-E72D297353CC}">
              <c16:uniqueId val="{00000000-F1EF-467F-80C1-0897104B63BB}"/>
            </c:ext>
          </c:extLst>
        </c:ser>
        <c:ser>
          <c:idx val="1"/>
          <c:order val="1"/>
          <c:tx>
            <c:strRef>
              <c:f>Образование!$BI$6</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Образование!$BJ$4:$CJ$4</c:f>
              <c:numCache>
                <c:formatCode>General</c:formatCode>
                <c:ptCount val="27"/>
                <c:pt idx="0">
                  <c:v>1990</c:v>
                </c:pt>
                <c:pt idx="1">
                  <c:v>1995</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Образование!$BJ$6:$CJ$6</c:f>
              <c:numCache>
                <c:formatCode>General</c:formatCode>
                <c:ptCount val="27"/>
                <c:pt idx="0">
                  <c:v>150</c:v>
                </c:pt>
                <c:pt idx="1">
                  <c:v>154</c:v>
                </c:pt>
                <c:pt idx="2">
                  <c:v>194</c:v>
                </c:pt>
                <c:pt idx="3">
                  <c:v>217</c:v>
                </c:pt>
                <c:pt idx="4">
                  <c:v>251</c:v>
                </c:pt>
                <c:pt idx="5">
                  <c:v>293</c:v>
                </c:pt>
                <c:pt idx="6">
                  <c:v>343</c:v>
                </c:pt>
                <c:pt idx="7">
                  <c:v>397</c:v>
                </c:pt>
                <c:pt idx="8">
                  <c:v>425</c:v>
                </c:pt>
                <c:pt idx="9">
                  <c:v>446</c:v>
                </c:pt>
                <c:pt idx="10">
                  <c:v>467</c:v>
                </c:pt>
                <c:pt idx="11">
                  <c:v>479</c:v>
                </c:pt>
                <c:pt idx="12">
                  <c:v>495</c:v>
                </c:pt>
                <c:pt idx="13">
                  <c:v>507</c:v>
                </c:pt>
                <c:pt idx="14">
                  <c:v>493</c:v>
                </c:pt>
                <c:pt idx="15">
                  <c:v>470</c:v>
                </c:pt>
                <c:pt idx="16">
                  <c:v>436</c:v>
                </c:pt>
                <c:pt idx="17">
                  <c:v>403</c:v>
                </c:pt>
                <c:pt idx="18">
                  <c:v>372</c:v>
                </c:pt>
                <c:pt idx="19">
                  <c:v>331</c:v>
                </c:pt>
                <c:pt idx="20">
                  <c:v>294</c:v>
                </c:pt>
                <c:pt idx="21">
                  <c:v>266</c:v>
                </c:pt>
                <c:pt idx="22">
                  <c:v>262</c:v>
                </c:pt>
                <c:pt idx="23">
                  <c:v>250</c:v>
                </c:pt>
                <c:pt idx="24">
                  <c:v>242</c:v>
                </c:pt>
                <c:pt idx="25">
                  <c:v>236</c:v>
                </c:pt>
                <c:pt idx="26">
                  <c:v>230</c:v>
                </c:pt>
              </c:numCache>
            </c:numRef>
          </c:yVal>
          <c:smooth val="1"/>
          <c:extLst>
            <c:ext xmlns:c16="http://schemas.microsoft.com/office/drawing/2014/chart" uri="{C3380CC4-5D6E-409C-BE32-E72D297353CC}">
              <c16:uniqueId val="{00000001-F1EF-467F-80C1-0897104B63BB}"/>
            </c:ext>
          </c:extLst>
        </c:ser>
        <c:ser>
          <c:idx val="2"/>
          <c:order val="2"/>
          <c:tx>
            <c:strRef>
              <c:f>Образование!$BI$7</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Образование!$BJ$4:$CJ$4</c:f>
              <c:numCache>
                <c:formatCode>General</c:formatCode>
                <c:ptCount val="27"/>
                <c:pt idx="0">
                  <c:v>1990</c:v>
                </c:pt>
                <c:pt idx="1">
                  <c:v>1995</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Образование!$BJ$7:$CJ$7</c:f>
              <c:numCache>
                <c:formatCode>General</c:formatCode>
                <c:ptCount val="27"/>
                <c:pt idx="0">
                  <c:v>129</c:v>
                </c:pt>
                <c:pt idx="1">
                  <c:v>120</c:v>
                </c:pt>
                <c:pt idx="2">
                  <c:v>132</c:v>
                </c:pt>
                <c:pt idx="3">
                  <c:v>141</c:v>
                </c:pt>
                <c:pt idx="4">
                  <c:v>157</c:v>
                </c:pt>
                <c:pt idx="5">
                  <c:v>189</c:v>
                </c:pt>
                <c:pt idx="6">
                  <c:v>220</c:v>
                </c:pt>
                <c:pt idx="7">
                  <c:v>250</c:v>
                </c:pt>
                <c:pt idx="8">
                  <c:v>274</c:v>
                </c:pt>
                <c:pt idx="9">
                  <c:v>301</c:v>
                </c:pt>
                <c:pt idx="10">
                  <c:v>343</c:v>
                </c:pt>
                <c:pt idx="11">
                  <c:v>368</c:v>
                </c:pt>
                <c:pt idx="12">
                  <c:v>390</c:v>
                </c:pt>
                <c:pt idx="13">
                  <c:v>410</c:v>
                </c:pt>
                <c:pt idx="14">
                  <c:v>411</c:v>
                </c:pt>
                <c:pt idx="15">
                  <c:v>397</c:v>
                </c:pt>
                <c:pt idx="16">
                  <c:v>378</c:v>
                </c:pt>
                <c:pt idx="17">
                  <c:v>347</c:v>
                </c:pt>
                <c:pt idx="18">
                  <c:v>312</c:v>
                </c:pt>
                <c:pt idx="19">
                  <c:v>273</c:v>
                </c:pt>
                <c:pt idx="20">
                  <c:v>246</c:v>
                </c:pt>
                <c:pt idx="21">
                  <c:v>209</c:v>
                </c:pt>
                <c:pt idx="22">
                  <c:v>207</c:v>
                </c:pt>
                <c:pt idx="23">
                  <c:v>199</c:v>
                </c:pt>
                <c:pt idx="24">
                  <c:v>180</c:v>
                </c:pt>
                <c:pt idx="25">
                  <c:v>179</c:v>
                </c:pt>
                <c:pt idx="26">
                  <c:v>178</c:v>
                </c:pt>
              </c:numCache>
            </c:numRef>
          </c:yVal>
          <c:smooth val="1"/>
          <c:extLst>
            <c:ext xmlns:c16="http://schemas.microsoft.com/office/drawing/2014/chart" uri="{C3380CC4-5D6E-409C-BE32-E72D297353CC}">
              <c16:uniqueId val="{00000002-F1EF-467F-80C1-0897104B63BB}"/>
            </c:ext>
          </c:extLst>
        </c:ser>
        <c:ser>
          <c:idx val="3"/>
          <c:order val="3"/>
          <c:tx>
            <c:strRef>
              <c:f>Образование!$BI$8</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Образование!$BJ$4:$CJ$4</c:f>
              <c:numCache>
                <c:formatCode>General</c:formatCode>
                <c:ptCount val="27"/>
                <c:pt idx="0">
                  <c:v>1990</c:v>
                </c:pt>
                <c:pt idx="1">
                  <c:v>1995</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Образование!$BJ$8:$CJ$8</c:f>
              <c:numCache>
                <c:formatCode>General</c:formatCode>
                <c:ptCount val="27"/>
                <c:pt idx="0">
                  <c:v>180</c:v>
                </c:pt>
                <c:pt idx="1">
                  <c:v>182</c:v>
                </c:pt>
                <c:pt idx="2">
                  <c:v>227</c:v>
                </c:pt>
                <c:pt idx="3">
                  <c:v>244</c:v>
                </c:pt>
                <c:pt idx="4">
                  <c:v>291</c:v>
                </c:pt>
                <c:pt idx="5">
                  <c:v>339</c:v>
                </c:pt>
                <c:pt idx="6">
                  <c:v>387</c:v>
                </c:pt>
                <c:pt idx="7">
                  <c:v>403</c:v>
                </c:pt>
                <c:pt idx="8">
                  <c:v>441</c:v>
                </c:pt>
                <c:pt idx="9">
                  <c:v>472</c:v>
                </c:pt>
                <c:pt idx="10">
                  <c:v>474</c:v>
                </c:pt>
                <c:pt idx="11">
                  <c:v>480</c:v>
                </c:pt>
                <c:pt idx="12">
                  <c:v>488</c:v>
                </c:pt>
                <c:pt idx="13">
                  <c:v>503</c:v>
                </c:pt>
                <c:pt idx="14">
                  <c:v>497</c:v>
                </c:pt>
                <c:pt idx="15">
                  <c:v>465</c:v>
                </c:pt>
                <c:pt idx="16">
                  <c:v>432</c:v>
                </c:pt>
                <c:pt idx="17">
                  <c:v>408</c:v>
                </c:pt>
                <c:pt idx="18">
                  <c:v>386</c:v>
                </c:pt>
                <c:pt idx="19">
                  <c:v>338</c:v>
                </c:pt>
                <c:pt idx="20">
                  <c:v>313</c:v>
                </c:pt>
                <c:pt idx="21">
                  <c:v>280</c:v>
                </c:pt>
                <c:pt idx="22">
                  <c:v>289</c:v>
                </c:pt>
                <c:pt idx="23">
                  <c:v>278</c:v>
                </c:pt>
                <c:pt idx="24">
                  <c:v>277</c:v>
                </c:pt>
                <c:pt idx="25">
                  <c:v>278</c:v>
                </c:pt>
                <c:pt idx="26">
                  <c:v>275</c:v>
                </c:pt>
              </c:numCache>
            </c:numRef>
          </c:yVal>
          <c:smooth val="1"/>
          <c:extLst>
            <c:ext xmlns:c16="http://schemas.microsoft.com/office/drawing/2014/chart" uri="{C3380CC4-5D6E-409C-BE32-E72D297353CC}">
              <c16:uniqueId val="{00000003-F1EF-467F-80C1-0897104B63BB}"/>
            </c:ext>
          </c:extLst>
        </c:ser>
        <c:ser>
          <c:idx val="5"/>
          <c:order val="4"/>
          <c:tx>
            <c:strRef>
              <c:f>Образование!$BI$10</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Образование!$BJ$4:$CJ$4</c:f>
              <c:numCache>
                <c:formatCode>General</c:formatCode>
                <c:ptCount val="27"/>
                <c:pt idx="0">
                  <c:v>1990</c:v>
                </c:pt>
                <c:pt idx="1">
                  <c:v>1995</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Образование!$BJ$10:$CJ$10</c:f>
              <c:numCache>
                <c:formatCode>General</c:formatCode>
                <c:ptCount val="27"/>
              </c:numCache>
            </c:numRef>
          </c:yVal>
          <c:smooth val="1"/>
          <c:extLst>
            <c:ext xmlns:c16="http://schemas.microsoft.com/office/drawing/2014/chart" uri="{C3380CC4-5D6E-409C-BE32-E72D297353CC}">
              <c16:uniqueId val="{00000004-F1EF-467F-80C1-0897104B63BB}"/>
            </c:ext>
          </c:extLst>
        </c:ser>
        <c:ser>
          <c:idx val="6"/>
          <c:order val="5"/>
          <c:tx>
            <c:strRef>
              <c:f>Образование!$BI$11</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Образование!$BJ$4:$CJ$4</c:f>
              <c:numCache>
                <c:formatCode>General</c:formatCode>
                <c:ptCount val="27"/>
                <c:pt idx="0">
                  <c:v>1990</c:v>
                </c:pt>
                <c:pt idx="1">
                  <c:v>1995</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Образование!$BJ$11:$CJ$11</c:f>
              <c:numCache>
                <c:formatCode>General</c:formatCode>
                <c:ptCount val="27"/>
                <c:pt idx="0">
                  <c:v>0</c:v>
                </c:pt>
                <c:pt idx="1">
                  <c:v>29</c:v>
                </c:pt>
                <c:pt idx="2">
                  <c:v>56</c:v>
                </c:pt>
                <c:pt idx="3">
                  <c:v>74</c:v>
                </c:pt>
                <c:pt idx="4">
                  <c:v>84</c:v>
                </c:pt>
                <c:pt idx="5">
                  <c:v>98</c:v>
                </c:pt>
                <c:pt idx="6">
                  <c:v>110</c:v>
                </c:pt>
                <c:pt idx="7">
                  <c:v>204</c:v>
                </c:pt>
                <c:pt idx="8">
                  <c:v>339</c:v>
                </c:pt>
                <c:pt idx="9">
                  <c:v>340</c:v>
                </c:pt>
                <c:pt idx="10">
                  <c:v>364</c:v>
                </c:pt>
                <c:pt idx="11">
                  <c:v>357</c:v>
                </c:pt>
                <c:pt idx="12">
                  <c:v>357</c:v>
                </c:pt>
                <c:pt idx="13">
                  <c:v>348</c:v>
                </c:pt>
                <c:pt idx="14">
                  <c:v>322</c:v>
                </c:pt>
                <c:pt idx="15">
                  <c:v>299</c:v>
                </c:pt>
                <c:pt idx="16">
                  <c:v>278</c:v>
                </c:pt>
                <c:pt idx="17">
                  <c:v>251</c:v>
                </c:pt>
                <c:pt idx="18">
                  <c:v>238</c:v>
                </c:pt>
                <c:pt idx="19">
                  <c:v>214</c:v>
                </c:pt>
                <c:pt idx="20">
                  <c:v>168</c:v>
                </c:pt>
                <c:pt idx="21">
                  <c:v>155</c:v>
                </c:pt>
                <c:pt idx="22">
                  <c:v>149</c:v>
                </c:pt>
                <c:pt idx="23">
                  <c:v>142</c:v>
                </c:pt>
                <c:pt idx="24">
                  <c:v>135</c:v>
                </c:pt>
                <c:pt idx="25">
                  <c:v>127</c:v>
                </c:pt>
                <c:pt idx="26">
                  <c:v>116</c:v>
                </c:pt>
              </c:numCache>
            </c:numRef>
          </c:yVal>
          <c:smooth val="1"/>
          <c:extLst>
            <c:ext xmlns:c16="http://schemas.microsoft.com/office/drawing/2014/chart" uri="{C3380CC4-5D6E-409C-BE32-E72D297353CC}">
              <c16:uniqueId val="{00000005-F1EF-467F-80C1-0897104B63BB}"/>
            </c:ext>
          </c:extLst>
        </c:ser>
        <c:ser>
          <c:idx val="7"/>
          <c:order val="6"/>
          <c:tx>
            <c:strRef>
              <c:f>Образование!$BI$12</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Образование!$BJ$4:$CJ$4</c:f>
              <c:numCache>
                <c:formatCode>General</c:formatCode>
                <c:ptCount val="27"/>
                <c:pt idx="0">
                  <c:v>1990</c:v>
                </c:pt>
                <c:pt idx="1">
                  <c:v>1995</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Образование!$BJ$12:$CJ$12</c:f>
              <c:numCache>
                <c:formatCode>General</c:formatCode>
                <c:ptCount val="27"/>
                <c:pt idx="0">
                  <c:v>0</c:v>
                </c:pt>
                <c:pt idx="1">
                  <c:v>0</c:v>
                </c:pt>
                <c:pt idx="2">
                  <c:v>0</c:v>
                </c:pt>
                <c:pt idx="3">
                  <c:v>0</c:v>
                </c:pt>
                <c:pt idx="4">
                  <c:v>0</c:v>
                </c:pt>
                <c:pt idx="5">
                  <c:v>0</c:v>
                </c:pt>
                <c:pt idx="6">
                  <c:v>18</c:v>
                </c:pt>
                <c:pt idx="7">
                  <c:v>49</c:v>
                </c:pt>
                <c:pt idx="8">
                  <c:v>227</c:v>
                </c:pt>
                <c:pt idx="9">
                  <c:v>241</c:v>
                </c:pt>
                <c:pt idx="10">
                  <c:v>277</c:v>
                </c:pt>
                <c:pt idx="11">
                  <c:v>250</c:v>
                </c:pt>
                <c:pt idx="12">
                  <c:v>223</c:v>
                </c:pt>
                <c:pt idx="13">
                  <c:v>228</c:v>
                </c:pt>
                <c:pt idx="14">
                  <c:v>209</c:v>
                </c:pt>
                <c:pt idx="15">
                  <c:v>213</c:v>
                </c:pt>
                <c:pt idx="16">
                  <c:v>194</c:v>
                </c:pt>
                <c:pt idx="17">
                  <c:v>157</c:v>
                </c:pt>
                <c:pt idx="18">
                  <c:v>135</c:v>
                </c:pt>
                <c:pt idx="19">
                  <c:v>104</c:v>
                </c:pt>
                <c:pt idx="20">
                  <c:v>49</c:v>
                </c:pt>
                <c:pt idx="21">
                  <c:v>29</c:v>
                </c:pt>
                <c:pt idx="22">
                  <c:v>18</c:v>
                </c:pt>
                <c:pt idx="23">
                  <c:v>14</c:v>
                </c:pt>
                <c:pt idx="24">
                  <c:v>10</c:v>
                </c:pt>
                <c:pt idx="25">
                  <c:v>7</c:v>
                </c:pt>
                <c:pt idx="26">
                  <c:v>4</c:v>
                </c:pt>
              </c:numCache>
            </c:numRef>
          </c:yVal>
          <c:smooth val="1"/>
          <c:extLst>
            <c:ext xmlns:c16="http://schemas.microsoft.com/office/drawing/2014/chart" uri="{C3380CC4-5D6E-409C-BE32-E72D297353CC}">
              <c16:uniqueId val="{00000006-F1EF-467F-80C1-0897104B63BB}"/>
            </c:ext>
          </c:extLst>
        </c:ser>
        <c:ser>
          <c:idx val="8"/>
          <c:order val="7"/>
          <c:tx>
            <c:strRef>
              <c:f>Образование!$BI$13</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Образование!$BJ$4:$CJ$4</c:f>
              <c:numCache>
                <c:formatCode>General</c:formatCode>
                <c:ptCount val="27"/>
                <c:pt idx="0">
                  <c:v>1990</c:v>
                </c:pt>
                <c:pt idx="1">
                  <c:v>1995</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Образование!$BJ$13:$CJ$13</c:f>
              <c:numCache>
                <c:formatCode>0.0</c:formatCode>
                <c:ptCount val="27"/>
                <c:pt idx="0">
                  <c:v>248.89364739471804</c:v>
                </c:pt>
                <c:pt idx="1">
                  <c:v>263.75541125541127</c:v>
                </c:pt>
                <c:pt idx="2">
                  <c:v>335.3890909090909</c:v>
                </c:pt>
                <c:pt idx="3">
                  <c:v>398.27332361516034</c:v>
                </c:pt>
                <c:pt idx="4">
                  <c:v>437.71198830409355</c:v>
                </c:pt>
                <c:pt idx="5">
                  <c:v>499.90748898678413</c:v>
                </c:pt>
                <c:pt idx="6">
                  <c:v>600.39911308203989</c:v>
                </c:pt>
                <c:pt idx="7">
                  <c:v>633.36471149188924</c:v>
                </c:pt>
                <c:pt idx="8">
                  <c:v>666.33030990173847</c:v>
                </c:pt>
                <c:pt idx="9">
                  <c:v>710.67905918057659</c:v>
                </c:pt>
                <c:pt idx="10">
                  <c:v>742.94908814589667</c:v>
                </c:pt>
                <c:pt idx="11">
                  <c:v>769.17494270435452</c:v>
                </c:pt>
                <c:pt idx="12">
                  <c:v>776.4374045801527</c:v>
                </c:pt>
                <c:pt idx="13">
                  <c:v>772.92325227963522</c:v>
                </c:pt>
                <c:pt idx="14">
                  <c:v>748.60452830188683</c:v>
                </c:pt>
                <c:pt idx="15">
                  <c:v>715.26161919040476</c:v>
                </c:pt>
                <c:pt idx="16">
                  <c:v>653.11169024571859</c:v>
                </c:pt>
                <c:pt idx="17">
                  <c:v>605.60939794419971</c:v>
                </c:pt>
                <c:pt idx="18" formatCode="General">
                  <c:v>543</c:v>
                </c:pt>
                <c:pt idx="19" formatCode="General">
                  <c:v>494</c:v>
                </c:pt>
                <c:pt idx="20" formatCode="General">
                  <c:v>449</c:v>
                </c:pt>
                <c:pt idx="21" formatCode="General">
                  <c:v>411</c:v>
                </c:pt>
                <c:pt idx="22" formatCode="General">
                  <c:v>388</c:v>
                </c:pt>
                <c:pt idx="23" formatCode="General">
                  <c:v>368</c:v>
                </c:pt>
                <c:pt idx="24" formatCode="General">
                  <c:v>343</c:v>
                </c:pt>
                <c:pt idx="25" formatCode="General">
                  <c:v>327</c:v>
                </c:pt>
                <c:pt idx="26" formatCode="General">
                  <c:v>312</c:v>
                </c:pt>
              </c:numCache>
            </c:numRef>
          </c:yVal>
          <c:smooth val="1"/>
          <c:extLst>
            <c:ext xmlns:c16="http://schemas.microsoft.com/office/drawing/2014/chart" uri="{C3380CC4-5D6E-409C-BE32-E72D297353CC}">
              <c16:uniqueId val="{00000007-F1EF-467F-80C1-0897104B63BB}"/>
            </c:ext>
          </c:extLst>
        </c:ser>
        <c:ser>
          <c:idx val="9"/>
          <c:order val="8"/>
          <c:tx>
            <c:strRef>
              <c:f>Образование!$BI$14</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Образование!$BJ$4:$CJ$4</c:f>
              <c:numCache>
                <c:formatCode>General</c:formatCode>
                <c:ptCount val="27"/>
                <c:pt idx="0">
                  <c:v>1990</c:v>
                </c:pt>
                <c:pt idx="1">
                  <c:v>1995</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Образование!$BJ$14:$CJ$14</c:f>
              <c:numCache>
                <c:formatCode>General</c:formatCode>
                <c:ptCount val="27"/>
                <c:pt idx="0">
                  <c:v>155</c:v>
                </c:pt>
                <c:pt idx="1">
                  <c:v>153</c:v>
                </c:pt>
                <c:pt idx="2">
                  <c:v>193</c:v>
                </c:pt>
                <c:pt idx="3">
                  <c:v>219</c:v>
                </c:pt>
                <c:pt idx="4">
                  <c:v>254</c:v>
                </c:pt>
                <c:pt idx="5">
                  <c:v>302</c:v>
                </c:pt>
                <c:pt idx="6">
                  <c:v>361</c:v>
                </c:pt>
                <c:pt idx="7">
                  <c:v>424</c:v>
                </c:pt>
                <c:pt idx="8">
                  <c:v>421</c:v>
                </c:pt>
                <c:pt idx="9">
                  <c:v>430</c:v>
                </c:pt>
                <c:pt idx="10">
                  <c:v>462</c:v>
                </c:pt>
                <c:pt idx="11">
                  <c:v>487</c:v>
                </c:pt>
                <c:pt idx="12">
                  <c:v>527</c:v>
                </c:pt>
                <c:pt idx="13">
                  <c:v>549</c:v>
                </c:pt>
                <c:pt idx="14">
                  <c:v>529</c:v>
                </c:pt>
                <c:pt idx="15">
                  <c:v>517</c:v>
                </c:pt>
                <c:pt idx="16">
                  <c:v>478</c:v>
                </c:pt>
                <c:pt idx="17">
                  <c:v>437</c:v>
                </c:pt>
                <c:pt idx="18">
                  <c:v>400</c:v>
                </c:pt>
                <c:pt idx="19">
                  <c:v>357</c:v>
                </c:pt>
                <c:pt idx="20">
                  <c:v>315</c:v>
                </c:pt>
                <c:pt idx="21">
                  <c:v>289</c:v>
                </c:pt>
                <c:pt idx="22">
                  <c:v>278</c:v>
                </c:pt>
                <c:pt idx="23">
                  <c:v>266</c:v>
                </c:pt>
                <c:pt idx="24">
                  <c:v>256</c:v>
                </c:pt>
                <c:pt idx="25">
                  <c:v>246</c:v>
                </c:pt>
                <c:pt idx="26">
                  <c:v>241</c:v>
                </c:pt>
              </c:numCache>
            </c:numRef>
          </c:yVal>
          <c:smooth val="1"/>
          <c:extLst>
            <c:ext xmlns:c16="http://schemas.microsoft.com/office/drawing/2014/chart" uri="{C3380CC4-5D6E-409C-BE32-E72D297353CC}">
              <c16:uniqueId val="{00000008-F1EF-467F-80C1-0897104B63BB}"/>
            </c:ext>
          </c:extLst>
        </c:ser>
        <c:dLbls>
          <c:showLegendKey val="0"/>
          <c:showVal val="0"/>
          <c:showCatName val="0"/>
          <c:showSerName val="0"/>
          <c:showPercent val="0"/>
          <c:showBubbleSize val="0"/>
        </c:dLbls>
        <c:axId val="592474184"/>
        <c:axId val="592472216"/>
      </c:scatterChart>
      <c:valAx>
        <c:axId val="592474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472216"/>
        <c:crosses val="autoZero"/>
        <c:crossBetween val="midCat"/>
      </c:valAx>
      <c:valAx>
        <c:axId val="592472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474184"/>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'Уровень жизни'!$AF$77</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жизни'!$AG$77:$BB$77</c:f>
              <c:numCache>
                <c:formatCode>General</c:formatCode>
                <c:ptCount val="22"/>
                <c:pt idx="0">
                  <c:v>565</c:v>
                </c:pt>
                <c:pt idx="1">
                  <c:v>791</c:v>
                </c:pt>
                <c:pt idx="2">
                  <c:v>1074</c:v>
                </c:pt>
                <c:pt idx="3">
                  <c:v>1599.0000000000005</c:v>
                </c:pt>
                <c:pt idx="4">
                  <c:v>1930</c:v>
                </c:pt>
                <c:pt idx="5">
                  <c:v>2469</c:v>
                </c:pt>
                <c:pt idx="6">
                  <c:v>3162</c:v>
                </c:pt>
                <c:pt idx="7">
                  <c:v>3832</c:v>
                </c:pt>
                <c:pt idx="8">
                  <c:v>3870</c:v>
                </c:pt>
                <c:pt idx="9">
                  <c:v>5140</c:v>
                </c:pt>
                <c:pt idx="10">
                  <c:v>5765.9999999999991</c:v>
                </c:pt>
                <c:pt idx="11">
                  <c:v>5516</c:v>
                </c:pt>
                <c:pt idx="12">
                  <c:v>5989</c:v>
                </c:pt>
                <c:pt idx="13">
                  <c:v>5169.9999999999982</c:v>
                </c:pt>
                <c:pt idx="14">
                  <c:v>5280</c:v>
                </c:pt>
                <c:pt idx="15">
                  <c:v>6886</c:v>
                </c:pt>
                <c:pt idx="16">
                  <c:v>6832</c:v>
                </c:pt>
                <c:pt idx="17">
                  <c:v>6668.0000000000018</c:v>
                </c:pt>
                <c:pt idx="18">
                  <c:v>6398.0000000000018</c:v>
                </c:pt>
                <c:pt idx="19">
                  <c:v>7036</c:v>
                </c:pt>
                <c:pt idx="20">
                  <c:v>8796.9999999999982</c:v>
                </c:pt>
                <c:pt idx="21">
                  <c:v>7951</c:v>
                </c:pt>
              </c:numCache>
            </c:numRef>
          </c:yVal>
          <c:smooth val="1"/>
          <c:extLst>
            <c:ext xmlns:c16="http://schemas.microsoft.com/office/drawing/2014/chart" uri="{C3380CC4-5D6E-409C-BE32-E72D297353CC}">
              <c16:uniqueId val="{00000000-9987-4447-8AC5-ACCFDA4C22BF}"/>
            </c:ext>
          </c:extLst>
        </c:ser>
        <c:ser>
          <c:idx val="1"/>
          <c:order val="1"/>
          <c:tx>
            <c:strRef>
              <c:f>'Уровень жизни'!$AF$78</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жизни'!$AG$78:$BB$78</c:f>
              <c:numCache>
                <c:formatCode>General</c:formatCode>
                <c:ptCount val="22"/>
                <c:pt idx="0">
                  <c:v>1226.0000000000002</c:v>
                </c:pt>
                <c:pt idx="1">
                  <c:v>1719</c:v>
                </c:pt>
                <c:pt idx="2">
                  <c:v>2014.9999999999995</c:v>
                </c:pt>
                <c:pt idx="3">
                  <c:v>2594.0000000000005</c:v>
                </c:pt>
                <c:pt idx="4">
                  <c:v>2896</c:v>
                </c:pt>
                <c:pt idx="5">
                  <c:v>3526</c:v>
                </c:pt>
                <c:pt idx="6">
                  <c:v>4149.0000000000009</c:v>
                </c:pt>
                <c:pt idx="7">
                  <c:v>4843</c:v>
                </c:pt>
                <c:pt idx="8">
                  <c:v>5446</c:v>
                </c:pt>
                <c:pt idx="9">
                  <c:v>6403</c:v>
                </c:pt>
                <c:pt idx="10">
                  <c:v>7012.0000000000018</c:v>
                </c:pt>
                <c:pt idx="11">
                  <c:v>6872</c:v>
                </c:pt>
                <c:pt idx="12">
                  <c:v>7249.0000000000018</c:v>
                </c:pt>
                <c:pt idx="13">
                  <c:v>6169</c:v>
                </c:pt>
                <c:pt idx="14">
                  <c:v>6665</c:v>
                </c:pt>
                <c:pt idx="15">
                  <c:v>8312</c:v>
                </c:pt>
                <c:pt idx="16">
                  <c:v>7968</c:v>
                </c:pt>
                <c:pt idx="17">
                  <c:v>8076</c:v>
                </c:pt>
                <c:pt idx="18">
                  <c:v>7875</c:v>
                </c:pt>
                <c:pt idx="19">
                  <c:v>8601</c:v>
                </c:pt>
                <c:pt idx="20">
                  <c:v>9987</c:v>
                </c:pt>
                <c:pt idx="21">
                  <c:v>8928</c:v>
                </c:pt>
              </c:numCache>
            </c:numRef>
          </c:yVal>
          <c:smooth val="1"/>
          <c:extLst>
            <c:ext xmlns:c16="http://schemas.microsoft.com/office/drawing/2014/chart" uri="{C3380CC4-5D6E-409C-BE32-E72D297353CC}">
              <c16:uniqueId val="{00000001-9987-4447-8AC5-ACCFDA4C22BF}"/>
            </c:ext>
          </c:extLst>
        </c:ser>
        <c:ser>
          <c:idx val="2"/>
          <c:order val="2"/>
          <c:tx>
            <c:strRef>
              <c:f>'Уровень жизни'!$AF$79</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жизни'!$AG$79:$BB$79</c:f>
              <c:numCache>
                <c:formatCode>General</c:formatCode>
                <c:ptCount val="22"/>
                <c:pt idx="0">
                  <c:v>428</c:v>
                </c:pt>
                <c:pt idx="1">
                  <c:v>552</c:v>
                </c:pt>
                <c:pt idx="2">
                  <c:v>776</c:v>
                </c:pt>
                <c:pt idx="3">
                  <c:v>-163</c:v>
                </c:pt>
                <c:pt idx="4">
                  <c:v>-127</c:v>
                </c:pt>
                <c:pt idx="5">
                  <c:v>-348</c:v>
                </c:pt>
                <c:pt idx="6">
                  <c:v>-512</c:v>
                </c:pt>
                <c:pt idx="7">
                  <c:v>-1234</c:v>
                </c:pt>
                <c:pt idx="8">
                  <c:v>-1415</c:v>
                </c:pt>
                <c:pt idx="9">
                  <c:v>-318</c:v>
                </c:pt>
                <c:pt idx="10">
                  <c:v>4853</c:v>
                </c:pt>
                <c:pt idx="11">
                  <c:v>4558.9999999999991</c:v>
                </c:pt>
                <c:pt idx="12">
                  <c:v>5261</c:v>
                </c:pt>
                <c:pt idx="13">
                  <c:v>4663</c:v>
                </c:pt>
                <c:pt idx="14">
                  <c:v>4938</c:v>
                </c:pt>
                <c:pt idx="15">
                  <c:v>5841</c:v>
                </c:pt>
                <c:pt idx="16">
                  <c:v>5609</c:v>
                </c:pt>
                <c:pt idx="17">
                  <c:v>5079</c:v>
                </c:pt>
                <c:pt idx="18">
                  <c:v>4201</c:v>
                </c:pt>
                <c:pt idx="19">
                  <c:v>4229</c:v>
                </c:pt>
                <c:pt idx="20">
                  <c:v>5035</c:v>
                </c:pt>
                <c:pt idx="21">
                  <c:v>4765</c:v>
                </c:pt>
              </c:numCache>
            </c:numRef>
          </c:yVal>
          <c:smooth val="1"/>
          <c:extLst>
            <c:ext xmlns:c16="http://schemas.microsoft.com/office/drawing/2014/chart" uri="{C3380CC4-5D6E-409C-BE32-E72D297353CC}">
              <c16:uniqueId val="{00000002-9987-4447-8AC5-ACCFDA4C22BF}"/>
            </c:ext>
          </c:extLst>
        </c:ser>
        <c:ser>
          <c:idx val="3"/>
          <c:order val="3"/>
          <c:tx>
            <c:strRef>
              <c:f>'Уровень жизни'!$AF$80</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жизни'!$AG$80:$BB$80</c:f>
              <c:numCache>
                <c:formatCode>General</c:formatCode>
                <c:ptCount val="22"/>
                <c:pt idx="0">
                  <c:v>698</c:v>
                </c:pt>
                <c:pt idx="1">
                  <c:v>939</c:v>
                </c:pt>
                <c:pt idx="2">
                  <c:v>1178</c:v>
                </c:pt>
                <c:pt idx="3">
                  <c:v>-476</c:v>
                </c:pt>
                <c:pt idx="4">
                  <c:v>-599</c:v>
                </c:pt>
                <c:pt idx="5">
                  <c:v>-717</c:v>
                </c:pt>
                <c:pt idx="6">
                  <c:v>-984</c:v>
                </c:pt>
                <c:pt idx="7">
                  <c:v>-1145</c:v>
                </c:pt>
                <c:pt idx="8">
                  <c:v>-2060</c:v>
                </c:pt>
                <c:pt idx="9">
                  <c:v>327</c:v>
                </c:pt>
                <c:pt idx="10">
                  <c:v>5500.0000000000018</c:v>
                </c:pt>
                <c:pt idx="11">
                  <c:v>5146.0000000000018</c:v>
                </c:pt>
                <c:pt idx="12">
                  <c:v>5702</c:v>
                </c:pt>
                <c:pt idx="13">
                  <c:v>5190</c:v>
                </c:pt>
                <c:pt idx="14">
                  <c:v>5126</c:v>
                </c:pt>
                <c:pt idx="15">
                  <c:v>6402</c:v>
                </c:pt>
                <c:pt idx="16">
                  <c:v>6290</c:v>
                </c:pt>
                <c:pt idx="17">
                  <c:v>5256</c:v>
                </c:pt>
                <c:pt idx="18">
                  <c:v>4978</c:v>
                </c:pt>
                <c:pt idx="19">
                  <c:v>5638</c:v>
                </c:pt>
                <c:pt idx="20">
                  <c:v>7506</c:v>
                </c:pt>
                <c:pt idx="21">
                  <c:v>6125</c:v>
                </c:pt>
              </c:numCache>
            </c:numRef>
          </c:yVal>
          <c:smooth val="1"/>
          <c:extLst>
            <c:ext xmlns:c16="http://schemas.microsoft.com/office/drawing/2014/chart" uri="{C3380CC4-5D6E-409C-BE32-E72D297353CC}">
              <c16:uniqueId val="{00000003-9987-4447-8AC5-ACCFDA4C22BF}"/>
            </c:ext>
          </c:extLst>
        </c:ser>
        <c:ser>
          <c:idx val="4"/>
          <c:order val="4"/>
          <c:tx>
            <c:strRef>
              <c:f>'Уровень жизни'!$AF$81</c:f>
              <c:strCache>
                <c:ptCount val="1"/>
                <c:pt idx="0">
                  <c:v>Тюменская область</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жизни'!$AG$81:$BB$81</c:f>
              <c:numCache>
                <c:formatCode>General</c:formatCode>
                <c:ptCount val="22"/>
              </c:numCache>
            </c:numRef>
          </c:yVal>
          <c:smooth val="1"/>
          <c:extLst>
            <c:ext xmlns:c16="http://schemas.microsoft.com/office/drawing/2014/chart" uri="{C3380CC4-5D6E-409C-BE32-E72D297353CC}">
              <c16:uniqueId val="{00000004-9987-4447-8AC5-ACCFDA4C22BF}"/>
            </c:ext>
          </c:extLst>
        </c:ser>
        <c:ser>
          <c:idx val="5"/>
          <c:order val="5"/>
          <c:tx>
            <c:strRef>
              <c:f>'Уровень жизни'!$AF$82</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жизни'!$AG$82:$BB$82</c:f>
              <c:numCache>
                <c:formatCode>General</c:formatCode>
                <c:ptCount val="22"/>
              </c:numCache>
            </c:numRef>
          </c:yVal>
          <c:smooth val="1"/>
          <c:extLst>
            <c:ext xmlns:c16="http://schemas.microsoft.com/office/drawing/2014/chart" uri="{C3380CC4-5D6E-409C-BE32-E72D297353CC}">
              <c16:uniqueId val="{00000005-9987-4447-8AC5-ACCFDA4C22BF}"/>
            </c:ext>
          </c:extLst>
        </c:ser>
        <c:ser>
          <c:idx val="6"/>
          <c:order val="6"/>
          <c:tx>
            <c:strRef>
              <c:f>'Уровень жизни'!$AF$83</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жизни'!$AG$83:$BB$83</c:f>
              <c:numCache>
                <c:formatCode>General</c:formatCode>
                <c:ptCount val="22"/>
                <c:pt idx="0">
                  <c:v>4196</c:v>
                </c:pt>
                <c:pt idx="1">
                  <c:v>6250</c:v>
                </c:pt>
                <c:pt idx="2">
                  <c:v>6536</c:v>
                </c:pt>
                <c:pt idx="3">
                  <c:v>3663</c:v>
                </c:pt>
                <c:pt idx="4">
                  <c:v>3281.0000000000009</c:v>
                </c:pt>
                <c:pt idx="5">
                  <c:v>3189</c:v>
                </c:pt>
                <c:pt idx="6">
                  <c:v>2047</c:v>
                </c:pt>
                <c:pt idx="7">
                  <c:v>1593</c:v>
                </c:pt>
                <c:pt idx="8">
                  <c:v>1812</c:v>
                </c:pt>
                <c:pt idx="9">
                  <c:v>7920</c:v>
                </c:pt>
                <c:pt idx="10">
                  <c:v>13590</c:v>
                </c:pt>
                <c:pt idx="11">
                  <c:v>13722</c:v>
                </c:pt>
                <c:pt idx="12">
                  <c:v>14027</c:v>
                </c:pt>
                <c:pt idx="13">
                  <c:v>13027</c:v>
                </c:pt>
                <c:pt idx="14">
                  <c:v>12369</c:v>
                </c:pt>
                <c:pt idx="15">
                  <c:v>14129</c:v>
                </c:pt>
                <c:pt idx="16">
                  <c:v>14411</c:v>
                </c:pt>
                <c:pt idx="17">
                  <c:v>16378</c:v>
                </c:pt>
                <c:pt idx="18">
                  <c:v>16801</c:v>
                </c:pt>
                <c:pt idx="19">
                  <c:v>18670</c:v>
                </c:pt>
                <c:pt idx="20">
                  <c:v>20360</c:v>
                </c:pt>
                <c:pt idx="21">
                  <c:v>18645</c:v>
                </c:pt>
              </c:numCache>
            </c:numRef>
          </c:yVal>
          <c:smooth val="1"/>
          <c:extLst>
            <c:ext xmlns:c16="http://schemas.microsoft.com/office/drawing/2014/chart" uri="{C3380CC4-5D6E-409C-BE32-E72D297353CC}">
              <c16:uniqueId val="{00000006-9987-4447-8AC5-ACCFDA4C22BF}"/>
            </c:ext>
          </c:extLst>
        </c:ser>
        <c:ser>
          <c:idx val="7"/>
          <c:order val="7"/>
          <c:tx>
            <c:strRef>
              <c:f>'Уровень жизни'!$AF$84</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жизни'!$AG$84:$BB$84</c:f>
              <c:numCache>
                <c:formatCode>General</c:formatCode>
                <c:ptCount val="22"/>
                <c:pt idx="0">
                  <c:v>4740</c:v>
                </c:pt>
                <c:pt idx="1">
                  <c:v>6955</c:v>
                </c:pt>
                <c:pt idx="2">
                  <c:v>8296</c:v>
                </c:pt>
                <c:pt idx="3">
                  <c:v>4431.0000000000009</c:v>
                </c:pt>
                <c:pt idx="4">
                  <c:v>5286</c:v>
                </c:pt>
                <c:pt idx="5">
                  <c:v>5270</c:v>
                </c:pt>
                <c:pt idx="6">
                  <c:v>5060</c:v>
                </c:pt>
                <c:pt idx="7">
                  <c:v>4628.9999999999982</c:v>
                </c:pt>
                <c:pt idx="8">
                  <c:v>5512</c:v>
                </c:pt>
                <c:pt idx="9">
                  <c:v>10755</c:v>
                </c:pt>
                <c:pt idx="10">
                  <c:v>21925.999999999996</c:v>
                </c:pt>
                <c:pt idx="11">
                  <c:v>22706</c:v>
                </c:pt>
                <c:pt idx="12">
                  <c:v>26588</c:v>
                </c:pt>
                <c:pt idx="13">
                  <c:v>30002.273818454614</c:v>
                </c:pt>
                <c:pt idx="14">
                  <c:v>30677</c:v>
                </c:pt>
                <c:pt idx="15">
                  <c:v>33764</c:v>
                </c:pt>
                <c:pt idx="16">
                  <c:v>33846</c:v>
                </c:pt>
                <c:pt idx="17">
                  <c:v>42912</c:v>
                </c:pt>
                <c:pt idx="18">
                  <c:v>44057</c:v>
                </c:pt>
                <c:pt idx="19">
                  <c:v>47677.000000000007</c:v>
                </c:pt>
                <c:pt idx="20">
                  <c:v>54919</c:v>
                </c:pt>
                <c:pt idx="21">
                  <c:v>56692</c:v>
                </c:pt>
              </c:numCache>
            </c:numRef>
          </c:yVal>
          <c:smooth val="1"/>
          <c:extLst>
            <c:ext xmlns:c16="http://schemas.microsoft.com/office/drawing/2014/chart" uri="{C3380CC4-5D6E-409C-BE32-E72D297353CC}">
              <c16:uniqueId val="{00000007-9987-4447-8AC5-ACCFDA4C22BF}"/>
            </c:ext>
          </c:extLst>
        </c:ser>
        <c:ser>
          <c:idx val="8"/>
          <c:order val="8"/>
          <c:tx>
            <c:strRef>
              <c:f>'Уровень жизни'!$AF$85</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жизни'!$AG$85:$BB$85</c:f>
              <c:numCache>
                <c:formatCode>General</c:formatCode>
                <c:ptCount val="22"/>
                <c:pt idx="0">
                  <c:v>604.28448780487793</c:v>
                </c:pt>
                <c:pt idx="1">
                  <c:v>828.00090125870702</c:v>
                </c:pt>
                <c:pt idx="2">
                  <c:v>1197.5379669411618</c:v>
                </c:pt>
                <c:pt idx="3">
                  <c:v>-893.70536611561602</c:v>
                </c:pt>
                <c:pt idx="4">
                  <c:v>-598.255069787504</c:v>
                </c:pt>
                <c:pt idx="5">
                  <c:v>-137.39746195157477</c:v>
                </c:pt>
                <c:pt idx="6">
                  <c:v>-1462.8333344873145</c:v>
                </c:pt>
                <c:pt idx="7">
                  <c:v>-1712.8090295234106</c:v>
                </c:pt>
                <c:pt idx="8">
                  <c:v>-2745.4169002695417</c:v>
                </c:pt>
                <c:pt idx="9">
                  <c:v>70.263726616447457</c:v>
                </c:pt>
                <c:pt idx="10">
                  <c:v>4109.1097105147965</c:v>
                </c:pt>
                <c:pt idx="11">
                  <c:v>3961.4038190306601</c:v>
                </c:pt>
                <c:pt idx="12">
                  <c:v>3128.4436646005015</c:v>
                </c:pt>
                <c:pt idx="13">
                  <c:v>1650</c:v>
                </c:pt>
                <c:pt idx="14">
                  <c:v>1501.0000000000018</c:v>
                </c:pt>
                <c:pt idx="15">
                  <c:v>2991</c:v>
                </c:pt>
                <c:pt idx="16">
                  <c:v>1909.0000000000018</c:v>
                </c:pt>
                <c:pt idx="17">
                  <c:v>186</c:v>
                </c:pt>
                <c:pt idx="18">
                  <c:v>-571</c:v>
                </c:pt>
                <c:pt idx="19">
                  <c:v>525</c:v>
                </c:pt>
                <c:pt idx="20">
                  <c:v>877</c:v>
                </c:pt>
                <c:pt idx="21">
                  <c:v>-1540</c:v>
                </c:pt>
              </c:numCache>
            </c:numRef>
          </c:yVal>
          <c:smooth val="1"/>
          <c:extLst>
            <c:ext xmlns:c16="http://schemas.microsoft.com/office/drawing/2014/chart" uri="{C3380CC4-5D6E-409C-BE32-E72D297353CC}">
              <c16:uniqueId val="{00000008-9987-4447-8AC5-ACCFDA4C22BF}"/>
            </c:ext>
          </c:extLst>
        </c:ser>
        <c:ser>
          <c:idx val="9"/>
          <c:order val="9"/>
          <c:tx>
            <c:strRef>
              <c:f>'Уровень жизни'!$AF$86</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'Уровень жизни'!$AG$76:$BB$76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'Уровень жизни'!$AG$86:$BB$86</c:f>
              <c:numCache>
                <c:formatCode>General</c:formatCode>
                <c:ptCount val="22"/>
                <c:pt idx="0">
                  <c:v>761.00000000000023</c:v>
                </c:pt>
                <c:pt idx="1">
                  <c:v>899</c:v>
                </c:pt>
                <c:pt idx="2">
                  <c:v>1052.0000000000002</c:v>
                </c:pt>
                <c:pt idx="3">
                  <c:v>-63</c:v>
                </c:pt>
                <c:pt idx="4">
                  <c:v>-131</c:v>
                </c:pt>
                <c:pt idx="5">
                  <c:v>-557</c:v>
                </c:pt>
                <c:pt idx="6">
                  <c:v>-1291.0000000000005</c:v>
                </c:pt>
                <c:pt idx="7">
                  <c:v>-1219</c:v>
                </c:pt>
                <c:pt idx="8">
                  <c:v>-1667</c:v>
                </c:pt>
                <c:pt idx="9">
                  <c:v>223</c:v>
                </c:pt>
                <c:pt idx="10">
                  <c:v>5431</c:v>
                </c:pt>
                <c:pt idx="11">
                  <c:v>5266</c:v>
                </c:pt>
                <c:pt idx="12">
                  <c:v>5256</c:v>
                </c:pt>
                <c:pt idx="13">
                  <c:v>3982</c:v>
                </c:pt>
                <c:pt idx="14">
                  <c:v>4815</c:v>
                </c:pt>
                <c:pt idx="15">
                  <c:v>6878</c:v>
                </c:pt>
                <c:pt idx="16">
                  <c:v>6192</c:v>
                </c:pt>
                <c:pt idx="17">
                  <c:v>6380</c:v>
                </c:pt>
                <c:pt idx="18">
                  <c:v>6149</c:v>
                </c:pt>
                <c:pt idx="19">
                  <c:v>5931.9999999999982</c:v>
                </c:pt>
                <c:pt idx="20">
                  <c:v>6171</c:v>
                </c:pt>
                <c:pt idx="21">
                  <c:v>5677</c:v>
                </c:pt>
              </c:numCache>
            </c:numRef>
          </c:yVal>
          <c:smooth val="1"/>
          <c:extLst>
            <c:ext xmlns:c16="http://schemas.microsoft.com/office/drawing/2014/chart" uri="{C3380CC4-5D6E-409C-BE32-E72D297353CC}">
              <c16:uniqueId val="{00000009-9987-4447-8AC5-ACCFDA4C22BF}"/>
            </c:ext>
          </c:extLst>
        </c:ser>
        <c:dLbls>
          <c:showLegendKey val="0"/>
          <c:showVal val="0"/>
          <c:showCatName val="0"/>
          <c:showSerName val="0"/>
          <c:showPercent val="0"/>
          <c:showBubbleSize val="0"/>
        </c:dLbls>
        <c:axId val="779206768"/>
        <c:axId val="779207752"/>
      </c:scatterChart>
      <c:valAx>
        <c:axId val="77920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9207752"/>
        <c:crosses val="autoZero"/>
        <c:crossBetween val="midCat"/>
      </c:valAx>
      <c:valAx>
        <c:axId val="779207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9206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9078012095093E-2"/>
          <c:y val="0.16882262109447724"/>
          <c:w val="0.89192928115412617"/>
          <c:h val="0.46319071034062326"/>
        </c:manualLayout>
      </c:layout>
      <c:scatterChart>
        <c:scatterStyle val="smoothMarker"/>
        <c:varyColors val="0"/>
        <c:ser>
          <c:idx val="0"/>
          <c:order val="0"/>
          <c:tx>
            <c:strRef>
              <c:f>'[Показатели (4).xlsx]Занятость'!$AF$44</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[1]Занятость!$AG$43:$BH$43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[1]Занятость!$AG$44:$BH$44</c:f>
              <c:numCache>
                <c:formatCode>General</c:formatCode>
                <c:ptCount val="28"/>
                <c:pt idx="0">
                  <c:v>50.8</c:v>
                </c:pt>
                <c:pt idx="1">
                  <c:v>44.8</c:v>
                </c:pt>
                <c:pt idx="2">
                  <c:v>44.6</c:v>
                </c:pt>
                <c:pt idx="3">
                  <c:v>43.8</c:v>
                </c:pt>
                <c:pt idx="4">
                  <c:v>43.3</c:v>
                </c:pt>
                <c:pt idx="5">
                  <c:v>43.5</c:v>
                </c:pt>
                <c:pt idx="6">
                  <c:v>44.1</c:v>
                </c:pt>
                <c:pt idx="7">
                  <c:v>44.6</c:v>
                </c:pt>
                <c:pt idx="8">
                  <c:v>45.2</c:v>
                </c:pt>
                <c:pt idx="9">
                  <c:v>45.8</c:v>
                </c:pt>
                <c:pt idx="10">
                  <c:v>46.3</c:v>
                </c:pt>
                <c:pt idx="11">
                  <c:v>46.6</c:v>
                </c:pt>
                <c:pt idx="12">
                  <c:v>47</c:v>
                </c:pt>
                <c:pt idx="13">
                  <c:v>47.6</c:v>
                </c:pt>
                <c:pt idx="14">
                  <c:v>48</c:v>
                </c:pt>
                <c:pt idx="15">
                  <c:v>47.1</c:v>
                </c:pt>
                <c:pt idx="16">
                  <c:v>47.2</c:v>
                </c:pt>
                <c:pt idx="17">
                  <c:v>47.3</c:v>
                </c:pt>
                <c:pt idx="18">
                  <c:v>47.4</c:v>
                </c:pt>
                <c:pt idx="19">
                  <c:v>47.3</c:v>
                </c:pt>
                <c:pt idx="20">
                  <c:v>46.4</c:v>
                </c:pt>
                <c:pt idx="21">
                  <c:v>49.4</c:v>
                </c:pt>
                <c:pt idx="22">
                  <c:v>49.1</c:v>
                </c:pt>
                <c:pt idx="23">
                  <c:v>48.9</c:v>
                </c:pt>
                <c:pt idx="24">
                  <c:v>48.8</c:v>
                </c:pt>
                <c:pt idx="25">
                  <c:v>48.4</c:v>
                </c:pt>
                <c:pt idx="26">
                  <c:v>47.6</c:v>
                </c:pt>
                <c:pt idx="27">
                  <c:v>48.7</c:v>
                </c:pt>
              </c:numCache>
            </c:numRef>
          </c:yVal>
          <c:smooth val="1"/>
          <c:extLst>
            <c:ext xmlns:c16="http://schemas.microsoft.com/office/drawing/2014/chart" uri="{C3380CC4-5D6E-409C-BE32-E72D297353CC}">
              <c16:uniqueId val="{00000000-3599-4E5F-AB24-544FBCAD560F}"/>
            </c:ext>
          </c:extLst>
        </c:ser>
        <c:ser>
          <c:idx val="1"/>
          <c:order val="1"/>
          <c:tx>
            <c:strRef>
              <c:f>'[Показатели (4).xlsx]Занятость'!$AF$45</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[1]Занятость!$AG$43:$BH$43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[1]Занятость!$AG$45:$BH$45</c:f>
              <c:numCache>
                <c:formatCode>General</c:formatCode>
                <c:ptCount val="28"/>
                <c:pt idx="0">
                  <c:v>51.5</c:v>
                </c:pt>
                <c:pt idx="1">
                  <c:v>45.4</c:v>
                </c:pt>
                <c:pt idx="2">
                  <c:v>46.2</c:v>
                </c:pt>
                <c:pt idx="3">
                  <c:v>45.1</c:v>
                </c:pt>
                <c:pt idx="4">
                  <c:v>44.3</c:v>
                </c:pt>
                <c:pt idx="5">
                  <c:v>46.1</c:v>
                </c:pt>
                <c:pt idx="6">
                  <c:v>45.8</c:v>
                </c:pt>
                <c:pt idx="7">
                  <c:v>47</c:v>
                </c:pt>
                <c:pt idx="8">
                  <c:v>47.6</c:v>
                </c:pt>
                <c:pt idx="9">
                  <c:v>48.7</c:v>
                </c:pt>
                <c:pt idx="10">
                  <c:v>49.3</c:v>
                </c:pt>
                <c:pt idx="11">
                  <c:v>50.2</c:v>
                </c:pt>
                <c:pt idx="12">
                  <c:v>50.3</c:v>
                </c:pt>
                <c:pt idx="13">
                  <c:v>50.4</c:v>
                </c:pt>
                <c:pt idx="14">
                  <c:v>50.6</c:v>
                </c:pt>
                <c:pt idx="15">
                  <c:v>49.9</c:v>
                </c:pt>
                <c:pt idx="16">
                  <c:v>49.8</c:v>
                </c:pt>
                <c:pt idx="17">
                  <c:v>49.9</c:v>
                </c:pt>
                <c:pt idx="18">
                  <c:v>49.7</c:v>
                </c:pt>
                <c:pt idx="19">
                  <c:v>49.5</c:v>
                </c:pt>
                <c:pt idx="20">
                  <c:v>49.2</c:v>
                </c:pt>
                <c:pt idx="21">
                  <c:v>52.2</c:v>
                </c:pt>
                <c:pt idx="22">
                  <c:v>51.4</c:v>
                </c:pt>
                <c:pt idx="23">
                  <c:v>51.5</c:v>
                </c:pt>
                <c:pt idx="24">
                  <c:v>51.4</c:v>
                </c:pt>
                <c:pt idx="25">
                  <c:v>51.1</c:v>
                </c:pt>
                <c:pt idx="26">
                  <c:v>50.1</c:v>
                </c:pt>
                <c:pt idx="27">
                  <c:v>51.3</c:v>
                </c:pt>
              </c:numCache>
            </c:numRef>
          </c:yVal>
          <c:smooth val="1"/>
          <c:extLst>
            <c:ext xmlns:c16="http://schemas.microsoft.com/office/drawing/2014/chart" uri="{C3380CC4-5D6E-409C-BE32-E72D297353CC}">
              <c16:uniqueId val="{00000001-3599-4E5F-AB24-544FBCAD560F}"/>
            </c:ext>
          </c:extLst>
        </c:ser>
        <c:ser>
          <c:idx val="2"/>
          <c:order val="2"/>
          <c:tx>
            <c:strRef>
              <c:f>'[Показатели (4).xlsx]Занятость'!$AF$46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[1]Занятость!$AG$43:$BH$43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[1]Занятость!$AG$46:$BH$46</c:f>
              <c:numCache>
                <c:formatCode>General</c:formatCode>
                <c:ptCount val="28"/>
                <c:pt idx="0">
                  <c:v>50.6</c:v>
                </c:pt>
                <c:pt idx="1">
                  <c:v>40.5</c:v>
                </c:pt>
                <c:pt idx="2">
                  <c:v>42.6</c:v>
                </c:pt>
                <c:pt idx="3">
                  <c:v>40.4</c:v>
                </c:pt>
                <c:pt idx="4">
                  <c:v>39.4</c:v>
                </c:pt>
                <c:pt idx="5">
                  <c:v>43.3</c:v>
                </c:pt>
                <c:pt idx="6">
                  <c:v>41.8</c:v>
                </c:pt>
                <c:pt idx="7">
                  <c:v>42.3</c:v>
                </c:pt>
                <c:pt idx="8">
                  <c:v>43</c:v>
                </c:pt>
                <c:pt idx="9">
                  <c:v>43.6</c:v>
                </c:pt>
                <c:pt idx="10">
                  <c:v>44</c:v>
                </c:pt>
                <c:pt idx="11">
                  <c:v>45.1</c:v>
                </c:pt>
                <c:pt idx="12">
                  <c:v>45.6</c:v>
                </c:pt>
                <c:pt idx="13">
                  <c:v>45.3</c:v>
                </c:pt>
                <c:pt idx="14">
                  <c:v>44.9</c:v>
                </c:pt>
                <c:pt idx="15">
                  <c:v>44.7</c:v>
                </c:pt>
                <c:pt idx="16">
                  <c:v>42.8</c:v>
                </c:pt>
                <c:pt idx="17">
                  <c:v>43.2</c:v>
                </c:pt>
                <c:pt idx="18">
                  <c:v>43.3</c:v>
                </c:pt>
                <c:pt idx="19">
                  <c:v>43.1</c:v>
                </c:pt>
                <c:pt idx="20">
                  <c:v>42.8</c:v>
                </c:pt>
                <c:pt idx="21">
                  <c:v>41.7</c:v>
                </c:pt>
                <c:pt idx="22">
                  <c:v>40.799999999999997</c:v>
                </c:pt>
                <c:pt idx="23">
                  <c:v>40</c:v>
                </c:pt>
                <c:pt idx="24">
                  <c:v>39</c:v>
                </c:pt>
                <c:pt idx="25">
                  <c:v>37.6</c:v>
                </c:pt>
                <c:pt idx="26">
                  <c:v>37.799999999999997</c:v>
                </c:pt>
                <c:pt idx="27">
                  <c:v>37.299999999999997</c:v>
                </c:pt>
              </c:numCache>
            </c:numRef>
          </c:yVal>
          <c:smooth val="1"/>
          <c:extLst>
            <c:ext xmlns:c16="http://schemas.microsoft.com/office/drawing/2014/chart" uri="{C3380CC4-5D6E-409C-BE32-E72D297353CC}">
              <c16:uniqueId val="{00000002-3599-4E5F-AB24-544FBCAD560F}"/>
            </c:ext>
          </c:extLst>
        </c:ser>
        <c:ser>
          <c:idx val="3"/>
          <c:order val="3"/>
          <c:tx>
            <c:strRef>
              <c:f>'[Показатели (4).xlsx]Занятость'!$AF$47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[1]Занятость!$AG$43:$BH$43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[1]Занятость!$AG$47:$BH$47</c:f>
              <c:numCache>
                <c:formatCode>General</c:formatCode>
                <c:ptCount val="28"/>
                <c:pt idx="0">
                  <c:v>50.8</c:v>
                </c:pt>
                <c:pt idx="1">
                  <c:v>43.7</c:v>
                </c:pt>
                <c:pt idx="2">
                  <c:v>43.8</c:v>
                </c:pt>
                <c:pt idx="3">
                  <c:v>42.7</c:v>
                </c:pt>
                <c:pt idx="4">
                  <c:v>42.4</c:v>
                </c:pt>
                <c:pt idx="5">
                  <c:v>43.7</c:v>
                </c:pt>
                <c:pt idx="6">
                  <c:v>43.7</c:v>
                </c:pt>
                <c:pt idx="7">
                  <c:v>45.2</c:v>
                </c:pt>
                <c:pt idx="8">
                  <c:v>45.6</c:v>
                </c:pt>
                <c:pt idx="9">
                  <c:v>46.2</c:v>
                </c:pt>
                <c:pt idx="10">
                  <c:v>47.2</c:v>
                </c:pt>
                <c:pt idx="11">
                  <c:v>48.1</c:v>
                </c:pt>
                <c:pt idx="12">
                  <c:v>48.1</c:v>
                </c:pt>
                <c:pt idx="13">
                  <c:v>48.4</c:v>
                </c:pt>
                <c:pt idx="14">
                  <c:v>48.5</c:v>
                </c:pt>
                <c:pt idx="15">
                  <c:v>48.1</c:v>
                </c:pt>
                <c:pt idx="16">
                  <c:v>47.7</c:v>
                </c:pt>
                <c:pt idx="17">
                  <c:v>47.5</c:v>
                </c:pt>
                <c:pt idx="18">
                  <c:v>47.3</c:v>
                </c:pt>
                <c:pt idx="19">
                  <c:v>47</c:v>
                </c:pt>
                <c:pt idx="20">
                  <c:v>46.8</c:v>
                </c:pt>
                <c:pt idx="21">
                  <c:v>49.4</c:v>
                </c:pt>
                <c:pt idx="22">
                  <c:v>48.4</c:v>
                </c:pt>
                <c:pt idx="23">
                  <c:v>47.8</c:v>
                </c:pt>
                <c:pt idx="24">
                  <c:v>47.2</c:v>
                </c:pt>
                <c:pt idx="25">
                  <c:v>46.7</c:v>
                </c:pt>
                <c:pt idx="26">
                  <c:v>45.6</c:v>
                </c:pt>
                <c:pt idx="27">
                  <c:v>47.3</c:v>
                </c:pt>
              </c:numCache>
            </c:numRef>
          </c:yVal>
          <c:smooth val="1"/>
          <c:extLst>
            <c:ext xmlns:c16="http://schemas.microsoft.com/office/drawing/2014/chart" uri="{C3380CC4-5D6E-409C-BE32-E72D297353CC}">
              <c16:uniqueId val="{00000003-3599-4E5F-AB24-544FBCAD560F}"/>
            </c:ext>
          </c:extLst>
        </c:ser>
        <c:ser>
          <c:idx val="5"/>
          <c:order val="4"/>
          <c:tx>
            <c:strRef>
              <c:f>'[Показатели (4).xlsx]Занятость'!$AF$49</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[1]Занятость!$AG$43:$BH$43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[1]Занятость!$AG$49:$BH$49</c:f>
              <c:numCache>
                <c:formatCode>General</c:formatCode>
                <c:ptCount val="28"/>
              </c:numCache>
            </c:numRef>
          </c:yVal>
          <c:smooth val="1"/>
          <c:extLst>
            <c:ext xmlns:c16="http://schemas.microsoft.com/office/drawing/2014/chart" uri="{C3380CC4-5D6E-409C-BE32-E72D297353CC}">
              <c16:uniqueId val="{00000004-3599-4E5F-AB24-544FBCAD560F}"/>
            </c:ext>
          </c:extLst>
        </c:ser>
        <c:ser>
          <c:idx val="6"/>
          <c:order val="5"/>
          <c:tx>
            <c:strRef>
              <c:f>'[Показатели (4).xlsx]Занятость'!$AF$50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[1]Занятость!$AG$43:$BH$43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[1]Занятость!$AG$50:$BH$50</c:f>
              <c:numCache>
                <c:formatCode>General</c:formatCode>
                <c:ptCount val="28"/>
                <c:pt idx="3">
                  <c:v>61.1</c:v>
                </c:pt>
                <c:pt idx="4">
                  <c:v>59.1</c:v>
                </c:pt>
                <c:pt idx="5">
                  <c:v>58.3</c:v>
                </c:pt>
                <c:pt idx="6">
                  <c:v>57.3</c:v>
                </c:pt>
                <c:pt idx="7">
                  <c:v>61.5</c:v>
                </c:pt>
                <c:pt idx="8">
                  <c:v>61.1</c:v>
                </c:pt>
                <c:pt idx="9">
                  <c:v>60.4</c:v>
                </c:pt>
                <c:pt idx="10">
                  <c:v>59.5</c:v>
                </c:pt>
                <c:pt idx="11">
                  <c:v>59.7</c:v>
                </c:pt>
                <c:pt idx="12">
                  <c:v>59.6</c:v>
                </c:pt>
                <c:pt idx="13">
                  <c:v>59.1</c:v>
                </c:pt>
                <c:pt idx="14">
                  <c:v>59.2</c:v>
                </c:pt>
                <c:pt idx="15">
                  <c:v>58.6</c:v>
                </c:pt>
                <c:pt idx="16">
                  <c:v>58.4</c:v>
                </c:pt>
                <c:pt idx="17">
                  <c:v>57.9</c:v>
                </c:pt>
                <c:pt idx="18">
                  <c:v>57.6</c:v>
                </c:pt>
                <c:pt idx="19">
                  <c:v>57.4</c:v>
                </c:pt>
                <c:pt idx="20">
                  <c:v>56.9</c:v>
                </c:pt>
                <c:pt idx="21">
                  <c:v>63.8</c:v>
                </c:pt>
                <c:pt idx="22">
                  <c:v>62.3</c:v>
                </c:pt>
                <c:pt idx="23">
                  <c:v>65.099999999999994</c:v>
                </c:pt>
                <c:pt idx="24">
                  <c:v>65.2</c:v>
                </c:pt>
                <c:pt idx="25">
                  <c:v>64.599999999999994</c:v>
                </c:pt>
                <c:pt idx="26">
                  <c:v>63.2</c:v>
                </c:pt>
                <c:pt idx="27">
                  <c:v>64.099999999999994</c:v>
                </c:pt>
              </c:numCache>
            </c:numRef>
          </c:yVal>
          <c:smooth val="1"/>
          <c:extLst>
            <c:ext xmlns:c16="http://schemas.microsoft.com/office/drawing/2014/chart" uri="{C3380CC4-5D6E-409C-BE32-E72D297353CC}">
              <c16:uniqueId val="{00000005-3599-4E5F-AB24-544FBCAD560F}"/>
            </c:ext>
          </c:extLst>
        </c:ser>
        <c:ser>
          <c:idx val="7"/>
          <c:order val="6"/>
          <c:tx>
            <c:strRef>
              <c:f>'[Показатели (4).xlsx]Занятость'!$AF$51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[1]Занятость!$AG$43:$BH$43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[1]Занятость!$AG$51:$BH$51</c:f>
              <c:numCache>
                <c:formatCode>General</c:formatCode>
                <c:ptCount val="28"/>
                <c:pt idx="3">
                  <c:v>68.2</c:v>
                </c:pt>
                <c:pt idx="4">
                  <c:v>63</c:v>
                </c:pt>
                <c:pt idx="5">
                  <c:v>60.7</c:v>
                </c:pt>
                <c:pt idx="6">
                  <c:v>62.8</c:v>
                </c:pt>
                <c:pt idx="7">
                  <c:v>63.4</c:v>
                </c:pt>
                <c:pt idx="8">
                  <c:v>65</c:v>
                </c:pt>
                <c:pt idx="9">
                  <c:v>68.5</c:v>
                </c:pt>
                <c:pt idx="10">
                  <c:v>68.3</c:v>
                </c:pt>
                <c:pt idx="11">
                  <c:v>69.599999999999994</c:v>
                </c:pt>
                <c:pt idx="12">
                  <c:v>68.2</c:v>
                </c:pt>
                <c:pt idx="13">
                  <c:v>68.2</c:v>
                </c:pt>
                <c:pt idx="14">
                  <c:v>70.2</c:v>
                </c:pt>
                <c:pt idx="15">
                  <c:v>69.900000000000006</c:v>
                </c:pt>
                <c:pt idx="16">
                  <c:v>70.099999999999994</c:v>
                </c:pt>
                <c:pt idx="17">
                  <c:v>69</c:v>
                </c:pt>
                <c:pt idx="18">
                  <c:v>69.099999999999994</c:v>
                </c:pt>
                <c:pt idx="19">
                  <c:v>70</c:v>
                </c:pt>
                <c:pt idx="20">
                  <c:v>69.900000000000006</c:v>
                </c:pt>
                <c:pt idx="21">
                  <c:v>73.7</c:v>
                </c:pt>
                <c:pt idx="22">
                  <c:v>75.2</c:v>
                </c:pt>
                <c:pt idx="23">
                  <c:v>78.2</c:v>
                </c:pt>
                <c:pt idx="24">
                  <c:v>77.2</c:v>
                </c:pt>
                <c:pt idx="25">
                  <c:v>77.8</c:v>
                </c:pt>
                <c:pt idx="26">
                  <c:v>76.3</c:v>
                </c:pt>
                <c:pt idx="27">
                  <c:v>77.2</c:v>
                </c:pt>
              </c:numCache>
            </c:numRef>
          </c:yVal>
          <c:smooth val="1"/>
          <c:extLst>
            <c:ext xmlns:c16="http://schemas.microsoft.com/office/drawing/2014/chart" uri="{C3380CC4-5D6E-409C-BE32-E72D297353CC}">
              <c16:uniqueId val="{00000006-3599-4E5F-AB24-544FBCAD560F}"/>
            </c:ext>
          </c:extLst>
        </c:ser>
        <c:ser>
          <c:idx val="8"/>
          <c:order val="7"/>
          <c:tx>
            <c:strRef>
              <c:f>'[Показатели (4).xlsx]Занятость'!$AF$52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[1]Занятость!$AG$43:$BH$43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[1]Занятость!$AG$52:$BH$52</c:f>
              <c:numCache>
                <c:formatCode>General</c:formatCode>
                <c:ptCount val="28"/>
                <c:pt idx="3">
                  <c:v>42.1</c:v>
                </c:pt>
                <c:pt idx="4">
                  <c:v>40.9</c:v>
                </c:pt>
                <c:pt idx="5">
                  <c:v>48.2</c:v>
                </c:pt>
                <c:pt idx="6">
                  <c:v>44.3</c:v>
                </c:pt>
                <c:pt idx="7">
                  <c:v>45.3</c:v>
                </c:pt>
                <c:pt idx="8">
                  <c:v>46.9</c:v>
                </c:pt>
                <c:pt idx="9">
                  <c:v>48</c:v>
                </c:pt>
                <c:pt idx="10">
                  <c:v>48.5</c:v>
                </c:pt>
                <c:pt idx="11">
                  <c:v>49.9</c:v>
                </c:pt>
                <c:pt idx="12">
                  <c:v>49</c:v>
                </c:pt>
                <c:pt idx="13">
                  <c:v>48.9</c:v>
                </c:pt>
                <c:pt idx="14">
                  <c:v>48.5</c:v>
                </c:pt>
                <c:pt idx="15">
                  <c:v>48.3</c:v>
                </c:pt>
                <c:pt idx="16">
                  <c:v>49.4</c:v>
                </c:pt>
                <c:pt idx="17">
                  <c:v>49.1</c:v>
                </c:pt>
                <c:pt idx="18">
                  <c:v>48.8</c:v>
                </c:pt>
                <c:pt idx="19">
                  <c:v>48.4</c:v>
                </c:pt>
                <c:pt idx="20">
                  <c:v>47.9</c:v>
                </c:pt>
                <c:pt idx="21">
                  <c:v>53.5</c:v>
                </c:pt>
                <c:pt idx="22">
                  <c:v>51.6</c:v>
                </c:pt>
                <c:pt idx="23">
                  <c:v>48.6</c:v>
                </c:pt>
                <c:pt idx="24">
                  <c:v>48.1</c:v>
                </c:pt>
                <c:pt idx="25">
                  <c:v>47.3</c:v>
                </c:pt>
                <c:pt idx="26">
                  <c:v>46.2</c:v>
                </c:pt>
                <c:pt idx="27">
                  <c:v>46.9</c:v>
                </c:pt>
              </c:numCache>
            </c:numRef>
          </c:yVal>
          <c:smooth val="1"/>
          <c:extLst>
            <c:ext xmlns:c16="http://schemas.microsoft.com/office/drawing/2014/chart" uri="{C3380CC4-5D6E-409C-BE32-E72D297353CC}">
              <c16:uniqueId val="{00000007-3599-4E5F-AB24-544FBCAD560F}"/>
            </c:ext>
          </c:extLst>
        </c:ser>
        <c:ser>
          <c:idx val="9"/>
          <c:order val="8"/>
          <c:tx>
            <c:strRef>
              <c:f>'[Показатели (4).xlsx]Занятость'!$AF$53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[1]Занятость!$AG$43:$BH$43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[1]Занятость!$AG$53:$BH$53</c:f>
              <c:numCache>
                <c:formatCode>General</c:formatCode>
                <c:ptCount val="28"/>
                <c:pt idx="0">
                  <c:v>48.8</c:v>
                </c:pt>
                <c:pt idx="1">
                  <c:v>42</c:v>
                </c:pt>
                <c:pt idx="2">
                  <c:v>41.8</c:v>
                </c:pt>
                <c:pt idx="3">
                  <c:v>41.7</c:v>
                </c:pt>
                <c:pt idx="4">
                  <c:v>41.2</c:v>
                </c:pt>
                <c:pt idx="5">
                  <c:v>42.8</c:v>
                </c:pt>
                <c:pt idx="6">
                  <c:v>43.4</c:v>
                </c:pt>
                <c:pt idx="7">
                  <c:v>43.3</c:v>
                </c:pt>
                <c:pt idx="8">
                  <c:v>43.7</c:v>
                </c:pt>
                <c:pt idx="9">
                  <c:v>45.7</c:v>
                </c:pt>
                <c:pt idx="10">
                  <c:v>46.8</c:v>
                </c:pt>
                <c:pt idx="11">
                  <c:v>47.4</c:v>
                </c:pt>
                <c:pt idx="12">
                  <c:v>48.2</c:v>
                </c:pt>
                <c:pt idx="13">
                  <c:v>48.3</c:v>
                </c:pt>
                <c:pt idx="14">
                  <c:v>48.7</c:v>
                </c:pt>
                <c:pt idx="15">
                  <c:v>47.2</c:v>
                </c:pt>
                <c:pt idx="16">
                  <c:v>47.7</c:v>
                </c:pt>
                <c:pt idx="17">
                  <c:v>48.2</c:v>
                </c:pt>
                <c:pt idx="18">
                  <c:v>48</c:v>
                </c:pt>
                <c:pt idx="19">
                  <c:v>47.8</c:v>
                </c:pt>
                <c:pt idx="20">
                  <c:v>47.5</c:v>
                </c:pt>
                <c:pt idx="21">
                  <c:v>49.1</c:v>
                </c:pt>
                <c:pt idx="22">
                  <c:v>48.9</c:v>
                </c:pt>
                <c:pt idx="23">
                  <c:v>49.6</c:v>
                </c:pt>
                <c:pt idx="24">
                  <c:v>50.5</c:v>
                </c:pt>
                <c:pt idx="25">
                  <c:v>50.9</c:v>
                </c:pt>
                <c:pt idx="26">
                  <c:v>49.9</c:v>
                </c:pt>
                <c:pt idx="27">
                  <c:v>50.9</c:v>
                </c:pt>
              </c:numCache>
            </c:numRef>
          </c:yVal>
          <c:smooth val="1"/>
          <c:extLst>
            <c:ext xmlns:c16="http://schemas.microsoft.com/office/drawing/2014/chart" uri="{C3380CC4-5D6E-409C-BE32-E72D297353CC}">
              <c16:uniqueId val="{00000008-3599-4E5F-AB24-544FBCAD560F}"/>
            </c:ext>
          </c:extLst>
        </c:ser>
        <c:dLbls>
          <c:showLegendKey val="0"/>
          <c:showVal val="0"/>
          <c:showCatName val="0"/>
          <c:showSerName val="0"/>
          <c:showPercent val="0"/>
          <c:showBubbleSize val="0"/>
        </c:dLbls>
        <c:axId val="566424816"/>
        <c:axId val="566424160"/>
      </c:scatterChart>
      <c:valAx>
        <c:axId val="566424816"/>
        <c:scaling>
          <c:orientation val="minMax"/>
          <c:max val="2021"/>
          <c:min val="199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6424160"/>
        <c:crosses val="autoZero"/>
        <c:crossBetween val="midCat"/>
      </c:valAx>
      <c:valAx>
        <c:axId val="56642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6424816"/>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'[Показатели (4).xlsx]Занятость'!$A$5</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[1]Занятость!$B$4:$AC$4</c:f>
              <c:numCache>
                <c:formatCode>General</c:formatCode>
                <c:ptCount val="28"/>
                <c:pt idx="0">
                  <c:v>1990</c:v>
                </c:pt>
                <c:pt idx="1">
                  <c:v>1993</c:v>
                </c:pt>
                <c:pt idx="2">
                  <c:v>1995</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[1]Занятость!$B$5:$AC$5</c:f>
              <c:numCache>
                <c:formatCode>General</c:formatCode>
                <c:ptCount val="28"/>
                <c:pt idx="1">
                  <c:v>1.1000000000000001</c:v>
                </c:pt>
                <c:pt idx="2">
                  <c:v>3.3</c:v>
                </c:pt>
                <c:pt idx="3">
                  <c:v>2.9</c:v>
                </c:pt>
                <c:pt idx="4">
                  <c:v>2.9</c:v>
                </c:pt>
                <c:pt idx="5">
                  <c:v>1.7</c:v>
                </c:pt>
                <c:pt idx="6">
                  <c:v>1.4</c:v>
                </c:pt>
                <c:pt idx="7">
                  <c:v>1.6</c:v>
                </c:pt>
                <c:pt idx="8">
                  <c:v>1.8</c:v>
                </c:pt>
                <c:pt idx="9">
                  <c:v>2.2999999999999998</c:v>
                </c:pt>
                <c:pt idx="10">
                  <c:v>2.6</c:v>
                </c:pt>
                <c:pt idx="11">
                  <c:v>2.5</c:v>
                </c:pt>
                <c:pt idx="12">
                  <c:v>2.2999999999999998</c:v>
                </c:pt>
                <c:pt idx="13">
                  <c:v>2.1</c:v>
                </c:pt>
                <c:pt idx="14">
                  <c:v>2</c:v>
                </c:pt>
                <c:pt idx="15">
                  <c:v>2.8</c:v>
                </c:pt>
                <c:pt idx="16">
                  <c:v>2.1</c:v>
                </c:pt>
                <c:pt idx="17">
                  <c:v>1.7</c:v>
                </c:pt>
                <c:pt idx="18">
                  <c:v>1.4</c:v>
                </c:pt>
                <c:pt idx="19">
                  <c:v>1.2</c:v>
                </c:pt>
                <c:pt idx="20">
                  <c:v>1.2</c:v>
                </c:pt>
                <c:pt idx="21">
                  <c:v>1.3</c:v>
                </c:pt>
                <c:pt idx="22">
                  <c:v>1.2</c:v>
                </c:pt>
                <c:pt idx="23">
                  <c:v>1</c:v>
                </c:pt>
                <c:pt idx="24">
                  <c:v>0.9</c:v>
                </c:pt>
                <c:pt idx="25">
                  <c:v>0.9</c:v>
                </c:pt>
                <c:pt idx="26">
                  <c:v>3.7</c:v>
                </c:pt>
                <c:pt idx="27">
                  <c:v>1</c:v>
                </c:pt>
              </c:numCache>
            </c:numRef>
          </c:yVal>
          <c:smooth val="1"/>
          <c:extLst>
            <c:ext xmlns:c16="http://schemas.microsoft.com/office/drawing/2014/chart" uri="{C3380CC4-5D6E-409C-BE32-E72D297353CC}">
              <c16:uniqueId val="{00000000-75A9-430B-8690-EB64EDC668F9}"/>
            </c:ext>
          </c:extLst>
        </c:ser>
        <c:ser>
          <c:idx val="1"/>
          <c:order val="1"/>
          <c:tx>
            <c:strRef>
              <c:f>'[Показатели (4).xlsx]Занятость'!$A$6</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[1]Занятость!$B$4:$AC$4</c:f>
              <c:numCache>
                <c:formatCode>General</c:formatCode>
                <c:ptCount val="28"/>
                <c:pt idx="0">
                  <c:v>1990</c:v>
                </c:pt>
                <c:pt idx="1">
                  <c:v>1993</c:v>
                </c:pt>
                <c:pt idx="2">
                  <c:v>1995</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[1]Занятость!$B$6:$AC$6</c:f>
              <c:numCache>
                <c:formatCode>General</c:formatCode>
                <c:ptCount val="28"/>
                <c:pt idx="1">
                  <c:v>1</c:v>
                </c:pt>
                <c:pt idx="2">
                  <c:v>3.1</c:v>
                </c:pt>
                <c:pt idx="3">
                  <c:v>2.7</c:v>
                </c:pt>
                <c:pt idx="4">
                  <c:v>2.8</c:v>
                </c:pt>
                <c:pt idx="5">
                  <c:v>1.6</c:v>
                </c:pt>
                <c:pt idx="6">
                  <c:v>1.4</c:v>
                </c:pt>
                <c:pt idx="7">
                  <c:v>1.5</c:v>
                </c:pt>
                <c:pt idx="8">
                  <c:v>1.8</c:v>
                </c:pt>
                <c:pt idx="9">
                  <c:v>1.8</c:v>
                </c:pt>
                <c:pt idx="10">
                  <c:v>2.4</c:v>
                </c:pt>
                <c:pt idx="11">
                  <c:v>2</c:v>
                </c:pt>
                <c:pt idx="12">
                  <c:v>1.8</c:v>
                </c:pt>
                <c:pt idx="13">
                  <c:v>1.5</c:v>
                </c:pt>
                <c:pt idx="14">
                  <c:v>1.6</c:v>
                </c:pt>
                <c:pt idx="15">
                  <c:v>3.1</c:v>
                </c:pt>
                <c:pt idx="16">
                  <c:v>2</c:v>
                </c:pt>
                <c:pt idx="17">
                  <c:v>1.5</c:v>
                </c:pt>
                <c:pt idx="18">
                  <c:v>1.2</c:v>
                </c:pt>
                <c:pt idx="19">
                  <c:v>1.1000000000000001</c:v>
                </c:pt>
                <c:pt idx="20">
                  <c:v>1.1000000000000001</c:v>
                </c:pt>
                <c:pt idx="21">
                  <c:v>1.4</c:v>
                </c:pt>
                <c:pt idx="22">
                  <c:v>1.3</c:v>
                </c:pt>
                <c:pt idx="23">
                  <c:v>1.1000000000000001</c:v>
                </c:pt>
                <c:pt idx="24">
                  <c:v>0.9</c:v>
                </c:pt>
                <c:pt idx="25">
                  <c:v>0.9</c:v>
                </c:pt>
                <c:pt idx="26">
                  <c:v>4.2</c:v>
                </c:pt>
                <c:pt idx="27">
                  <c:v>1</c:v>
                </c:pt>
              </c:numCache>
            </c:numRef>
          </c:yVal>
          <c:smooth val="1"/>
          <c:extLst>
            <c:ext xmlns:c16="http://schemas.microsoft.com/office/drawing/2014/chart" uri="{C3380CC4-5D6E-409C-BE32-E72D297353CC}">
              <c16:uniqueId val="{00000001-75A9-430B-8690-EB64EDC668F9}"/>
            </c:ext>
          </c:extLst>
        </c:ser>
        <c:ser>
          <c:idx val="2"/>
          <c:order val="2"/>
          <c:tx>
            <c:strRef>
              <c:f>'[Показатели (4).xlsx]Занятость'!$A$7</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[1]Занятость!$B$4:$AC$4</c:f>
              <c:numCache>
                <c:formatCode>General</c:formatCode>
                <c:ptCount val="28"/>
                <c:pt idx="0">
                  <c:v>1990</c:v>
                </c:pt>
                <c:pt idx="1">
                  <c:v>1993</c:v>
                </c:pt>
                <c:pt idx="2">
                  <c:v>1995</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[1]Занятость!$B$7:$AC$7</c:f>
              <c:numCache>
                <c:formatCode>General</c:formatCode>
                <c:ptCount val="28"/>
                <c:pt idx="1">
                  <c:v>1.6</c:v>
                </c:pt>
                <c:pt idx="2">
                  <c:v>6.2</c:v>
                </c:pt>
                <c:pt idx="3">
                  <c:v>4.0999999999999996</c:v>
                </c:pt>
                <c:pt idx="4">
                  <c:v>3.2</c:v>
                </c:pt>
                <c:pt idx="5">
                  <c:v>1.7</c:v>
                </c:pt>
                <c:pt idx="6">
                  <c:v>1.3</c:v>
                </c:pt>
                <c:pt idx="7">
                  <c:v>1.6</c:v>
                </c:pt>
                <c:pt idx="8">
                  <c:v>2.2999999999999998</c:v>
                </c:pt>
                <c:pt idx="9">
                  <c:v>2.1</c:v>
                </c:pt>
                <c:pt idx="10">
                  <c:v>2.8</c:v>
                </c:pt>
                <c:pt idx="11">
                  <c:v>2.5</c:v>
                </c:pt>
                <c:pt idx="12">
                  <c:v>3</c:v>
                </c:pt>
                <c:pt idx="13">
                  <c:v>2.9</c:v>
                </c:pt>
                <c:pt idx="14">
                  <c:v>2.6</c:v>
                </c:pt>
                <c:pt idx="15">
                  <c:v>3.6</c:v>
                </c:pt>
                <c:pt idx="16">
                  <c:v>2.7</c:v>
                </c:pt>
                <c:pt idx="17">
                  <c:v>2.2000000000000002</c:v>
                </c:pt>
                <c:pt idx="18">
                  <c:v>1.7</c:v>
                </c:pt>
                <c:pt idx="19">
                  <c:v>1.6</c:v>
                </c:pt>
                <c:pt idx="20">
                  <c:v>1.6</c:v>
                </c:pt>
                <c:pt idx="21">
                  <c:v>1.9</c:v>
                </c:pt>
                <c:pt idx="22">
                  <c:v>1.9</c:v>
                </c:pt>
                <c:pt idx="23">
                  <c:v>1.7</c:v>
                </c:pt>
                <c:pt idx="24">
                  <c:v>1.5</c:v>
                </c:pt>
                <c:pt idx="25">
                  <c:v>1.6</c:v>
                </c:pt>
                <c:pt idx="26">
                  <c:v>7.5</c:v>
                </c:pt>
                <c:pt idx="27">
                  <c:v>1.9</c:v>
                </c:pt>
              </c:numCache>
            </c:numRef>
          </c:yVal>
          <c:smooth val="1"/>
          <c:extLst>
            <c:ext xmlns:c16="http://schemas.microsoft.com/office/drawing/2014/chart" uri="{C3380CC4-5D6E-409C-BE32-E72D297353CC}">
              <c16:uniqueId val="{00000002-75A9-430B-8690-EB64EDC668F9}"/>
            </c:ext>
          </c:extLst>
        </c:ser>
        <c:ser>
          <c:idx val="3"/>
          <c:order val="3"/>
          <c:tx>
            <c:strRef>
              <c:f>'[Показатели (4).xlsx]Занятость'!$A$8</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[1]Занятость!$B$4:$AC$4</c:f>
              <c:numCache>
                <c:formatCode>General</c:formatCode>
                <c:ptCount val="28"/>
                <c:pt idx="0">
                  <c:v>1990</c:v>
                </c:pt>
                <c:pt idx="1">
                  <c:v>1993</c:v>
                </c:pt>
                <c:pt idx="2">
                  <c:v>1995</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[1]Занятость!$B$8:$AC$8</c:f>
              <c:numCache>
                <c:formatCode>General</c:formatCode>
                <c:ptCount val="28"/>
                <c:pt idx="1">
                  <c:v>1.2</c:v>
                </c:pt>
                <c:pt idx="2">
                  <c:v>3.3</c:v>
                </c:pt>
                <c:pt idx="3">
                  <c:v>2.7</c:v>
                </c:pt>
                <c:pt idx="4">
                  <c:v>2.7</c:v>
                </c:pt>
                <c:pt idx="5">
                  <c:v>1.5</c:v>
                </c:pt>
                <c:pt idx="6">
                  <c:v>1.5</c:v>
                </c:pt>
                <c:pt idx="7">
                  <c:v>1.6</c:v>
                </c:pt>
                <c:pt idx="8">
                  <c:v>1.6</c:v>
                </c:pt>
                <c:pt idx="9">
                  <c:v>1.6</c:v>
                </c:pt>
                <c:pt idx="10">
                  <c:v>2</c:v>
                </c:pt>
                <c:pt idx="11">
                  <c:v>1.7</c:v>
                </c:pt>
                <c:pt idx="12">
                  <c:v>1.5</c:v>
                </c:pt>
                <c:pt idx="13">
                  <c:v>1.2</c:v>
                </c:pt>
                <c:pt idx="14">
                  <c:v>1.6</c:v>
                </c:pt>
                <c:pt idx="15">
                  <c:v>4</c:v>
                </c:pt>
                <c:pt idx="16">
                  <c:v>2.2999999999999998</c:v>
                </c:pt>
                <c:pt idx="17">
                  <c:v>1.7</c:v>
                </c:pt>
                <c:pt idx="18">
                  <c:v>1.3</c:v>
                </c:pt>
                <c:pt idx="19">
                  <c:v>1.2</c:v>
                </c:pt>
                <c:pt idx="20">
                  <c:v>1.2</c:v>
                </c:pt>
                <c:pt idx="21">
                  <c:v>1.5</c:v>
                </c:pt>
                <c:pt idx="22">
                  <c:v>1.4</c:v>
                </c:pt>
                <c:pt idx="23">
                  <c:v>1.2</c:v>
                </c:pt>
                <c:pt idx="24">
                  <c:v>1</c:v>
                </c:pt>
                <c:pt idx="25">
                  <c:v>1</c:v>
                </c:pt>
                <c:pt idx="26">
                  <c:v>5.4</c:v>
                </c:pt>
                <c:pt idx="27">
                  <c:v>1.1000000000000001</c:v>
                </c:pt>
              </c:numCache>
            </c:numRef>
          </c:yVal>
          <c:smooth val="1"/>
          <c:extLst>
            <c:ext xmlns:c16="http://schemas.microsoft.com/office/drawing/2014/chart" uri="{C3380CC4-5D6E-409C-BE32-E72D297353CC}">
              <c16:uniqueId val="{00000003-75A9-430B-8690-EB64EDC668F9}"/>
            </c:ext>
          </c:extLst>
        </c:ser>
        <c:ser>
          <c:idx val="5"/>
          <c:order val="4"/>
          <c:tx>
            <c:strRef>
              <c:f>'[Показатели (4).xlsx]Занятость'!$A$10</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[1]Занятость!$B$4:$AC$4</c:f>
              <c:numCache>
                <c:formatCode>General</c:formatCode>
                <c:ptCount val="28"/>
                <c:pt idx="0">
                  <c:v>1990</c:v>
                </c:pt>
                <c:pt idx="1">
                  <c:v>1993</c:v>
                </c:pt>
                <c:pt idx="2">
                  <c:v>1995</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[1]Занятость!$B$10:$AC$10</c:f>
              <c:numCache>
                <c:formatCode>General</c:formatCode>
                <c:ptCount val="28"/>
              </c:numCache>
            </c:numRef>
          </c:yVal>
          <c:smooth val="1"/>
          <c:extLst>
            <c:ext xmlns:c16="http://schemas.microsoft.com/office/drawing/2014/chart" uri="{C3380CC4-5D6E-409C-BE32-E72D297353CC}">
              <c16:uniqueId val="{00000004-75A9-430B-8690-EB64EDC668F9}"/>
            </c:ext>
          </c:extLst>
        </c:ser>
        <c:ser>
          <c:idx val="6"/>
          <c:order val="5"/>
          <c:tx>
            <c:strRef>
              <c:f>'[Показатели (4).xlsx]Занятость'!$A$11</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[1]Занятость!$B$4:$AC$4</c:f>
              <c:numCache>
                <c:formatCode>General</c:formatCode>
                <c:ptCount val="28"/>
                <c:pt idx="0">
                  <c:v>1990</c:v>
                </c:pt>
                <c:pt idx="1">
                  <c:v>1993</c:v>
                </c:pt>
                <c:pt idx="2">
                  <c:v>1995</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[1]Занятость!$B$11:$AC$11</c:f>
              <c:numCache>
                <c:formatCode>General</c:formatCode>
                <c:ptCount val="28"/>
                <c:pt idx="1">
                  <c:v>0</c:v>
                </c:pt>
                <c:pt idx="2">
                  <c:v>2.2000000000000002</c:v>
                </c:pt>
                <c:pt idx="3">
                  <c:v>3.4</c:v>
                </c:pt>
                <c:pt idx="4">
                  <c:v>5.5</c:v>
                </c:pt>
                <c:pt idx="5">
                  <c:v>3</c:v>
                </c:pt>
                <c:pt idx="6">
                  <c:v>2.2000000000000002</c:v>
                </c:pt>
                <c:pt idx="7">
                  <c:v>1.9</c:v>
                </c:pt>
                <c:pt idx="8">
                  <c:v>2.6</c:v>
                </c:pt>
                <c:pt idx="9">
                  <c:v>2.8</c:v>
                </c:pt>
                <c:pt idx="10">
                  <c:v>2.9</c:v>
                </c:pt>
                <c:pt idx="11">
                  <c:v>2.2999999999999998</c:v>
                </c:pt>
                <c:pt idx="12">
                  <c:v>2</c:v>
                </c:pt>
                <c:pt idx="13">
                  <c:v>1.3</c:v>
                </c:pt>
                <c:pt idx="14">
                  <c:v>1.4</c:v>
                </c:pt>
                <c:pt idx="15">
                  <c:v>1.7</c:v>
                </c:pt>
                <c:pt idx="16">
                  <c:v>1.1000000000000001</c:v>
                </c:pt>
                <c:pt idx="17">
                  <c:v>0.9</c:v>
                </c:pt>
                <c:pt idx="18">
                  <c:v>0.6</c:v>
                </c:pt>
                <c:pt idx="19">
                  <c:v>0.5</c:v>
                </c:pt>
                <c:pt idx="20">
                  <c:v>0.4</c:v>
                </c:pt>
                <c:pt idx="21">
                  <c:v>0.5</c:v>
                </c:pt>
                <c:pt idx="22">
                  <c:v>0.6</c:v>
                </c:pt>
                <c:pt idx="23">
                  <c:v>0.7</c:v>
                </c:pt>
                <c:pt idx="24">
                  <c:v>0.6</c:v>
                </c:pt>
                <c:pt idx="25">
                  <c:v>0.4</c:v>
                </c:pt>
                <c:pt idx="26">
                  <c:v>3</c:v>
                </c:pt>
                <c:pt idx="27">
                  <c:v>0.5</c:v>
                </c:pt>
              </c:numCache>
            </c:numRef>
          </c:yVal>
          <c:smooth val="1"/>
          <c:extLst>
            <c:ext xmlns:c16="http://schemas.microsoft.com/office/drawing/2014/chart" uri="{C3380CC4-5D6E-409C-BE32-E72D297353CC}">
              <c16:uniqueId val="{00000005-75A9-430B-8690-EB64EDC668F9}"/>
            </c:ext>
          </c:extLst>
        </c:ser>
        <c:ser>
          <c:idx val="7"/>
          <c:order val="6"/>
          <c:tx>
            <c:strRef>
              <c:f>'[Показатели (4).xlsx]Занятость'!$A$12</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[1]Занятость!$B$4:$AC$4</c:f>
              <c:numCache>
                <c:formatCode>General</c:formatCode>
                <c:ptCount val="28"/>
                <c:pt idx="0">
                  <c:v>1990</c:v>
                </c:pt>
                <c:pt idx="1">
                  <c:v>1993</c:v>
                </c:pt>
                <c:pt idx="2">
                  <c:v>1995</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[1]Занятость!$B$12:$AC$12</c:f>
              <c:numCache>
                <c:formatCode>General</c:formatCode>
                <c:ptCount val="28"/>
                <c:pt idx="1">
                  <c:v>0</c:v>
                </c:pt>
                <c:pt idx="2">
                  <c:v>2.2999999999999998</c:v>
                </c:pt>
                <c:pt idx="3">
                  <c:v>3.2</c:v>
                </c:pt>
                <c:pt idx="4">
                  <c:v>4.7</c:v>
                </c:pt>
                <c:pt idx="5">
                  <c:v>2.8</c:v>
                </c:pt>
                <c:pt idx="6">
                  <c:v>2.4</c:v>
                </c:pt>
                <c:pt idx="7">
                  <c:v>2.7</c:v>
                </c:pt>
                <c:pt idx="8">
                  <c:v>2.9</c:v>
                </c:pt>
                <c:pt idx="9">
                  <c:v>2.5</c:v>
                </c:pt>
                <c:pt idx="10">
                  <c:v>3</c:v>
                </c:pt>
                <c:pt idx="11">
                  <c:v>2.7</c:v>
                </c:pt>
                <c:pt idx="12">
                  <c:v>2.2000000000000002</c:v>
                </c:pt>
                <c:pt idx="13">
                  <c:v>1.6</c:v>
                </c:pt>
                <c:pt idx="14">
                  <c:v>1.3</c:v>
                </c:pt>
                <c:pt idx="15">
                  <c:v>1.9</c:v>
                </c:pt>
                <c:pt idx="16">
                  <c:v>1.7</c:v>
                </c:pt>
                <c:pt idx="17">
                  <c:v>1.2</c:v>
                </c:pt>
                <c:pt idx="18">
                  <c:v>0.8</c:v>
                </c:pt>
                <c:pt idx="19">
                  <c:v>0.7</c:v>
                </c:pt>
                <c:pt idx="20">
                  <c:v>0.7</c:v>
                </c:pt>
                <c:pt idx="21">
                  <c:v>0.9</c:v>
                </c:pt>
                <c:pt idx="22">
                  <c:v>0.9</c:v>
                </c:pt>
                <c:pt idx="23">
                  <c:v>0.6</c:v>
                </c:pt>
                <c:pt idx="24">
                  <c:v>0.6</c:v>
                </c:pt>
                <c:pt idx="25">
                  <c:v>0.6</c:v>
                </c:pt>
                <c:pt idx="26">
                  <c:v>2</c:v>
                </c:pt>
                <c:pt idx="27">
                  <c:v>0.5</c:v>
                </c:pt>
              </c:numCache>
            </c:numRef>
          </c:yVal>
          <c:smooth val="1"/>
          <c:extLst>
            <c:ext xmlns:c16="http://schemas.microsoft.com/office/drawing/2014/chart" uri="{C3380CC4-5D6E-409C-BE32-E72D297353CC}">
              <c16:uniqueId val="{00000006-75A9-430B-8690-EB64EDC668F9}"/>
            </c:ext>
          </c:extLst>
        </c:ser>
        <c:ser>
          <c:idx val="8"/>
          <c:order val="7"/>
          <c:tx>
            <c:strRef>
              <c:f>'[Показатели (4).xlsx]Занятость'!$A$13</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[1]Занятость!$B$4:$AC$4</c:f>
              <c:numCache>
                <c:formatCode>General</c:formatCode>
                <c:ptCount val="28"/>
                <c:pt idx="0">
                  <c:v>1990</c:v>
                </c:pt>
                <c:pt idx="1">
                  <c:v>1993</c:v>
                </c:pt>
                <c:pt idx="2">
                  <c:v>1995</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[1]Занятость!$B$13:$AC$13</c:f>
              <c:numCache>
                <c:formatCode>General</c:formatCode>
                <c:ptCount val="28"/>
                <c:pt idx="2" formatCode="0.0">
                  <c:v>3.3106060606060606</c:v>
                </c:pt>
                <c:pt idx="3" formatCode="0.0">
                  <c:v>3.0084363636363638</c:v>
                </c:pt>
                <c:pt idx="4" formatCode="0.0">
                  <c:v>2.5118075801749264</c:v>
                </c:pt>
                <c:pt idx="5" formatCode="0.0">
                  <c:v>1.4222222222222218</c:v>
                </c:pt>
                <c:pt idx="6" formatCode="0.0">
                  <c:v>0.94581497797356762</c:v>
                </c:pt>
                <c:pt idx="7" formatCode="0.0">
                  <c:v>0.88847006651884741</c:v>
                </c:pt>
                <c:pt idx="8" formatCode="0.0">
                  <c:v>1.2703592814371258</c:v>
                </c:pt>
                <c:pt idx="9" formatCode="0.0">
                  <c:v>1.6795918367346934</c:v>
                </c:pt>
                <c:pt idx="10" formatCode="0.0">
                  <c:v>1.8624430955993929</c:v>
                </c:pt>
                <c:pt idx="11" formatCode="0.0">
                  <c:v>2.1410334346504554</c:v>
                </c:pt>
                <c:pt idx="12" formatCode="0.0">
                  <c:v>1.9210084033613444</c:v>
                </c:pt>
                <c:pt idx="13" formatCode="0.0">
                  <c:v>1.1804580152671758</c:v>
                </c:pt>
                <c:pt idx="14" formatCode="0.0">
                  <c:v>1.1867021276595746</c:v>
                </c:pt>
                <c:pt idx="15" formatCode="0.0">
                  <c:v>1.1150943396226418</c:v>
                </c:pt>
                <c:pt idx="16">
                  <c:v>0.8</c:v>
                </c:pt>
                <c:pt idx="17" formatCode="0.0">
                  <c:v>0.78272524199553239</c:v>
                </c:pt>
                <c:pt idx="18">
                  <c:v>0.6</c:v>
                </c:pt>
                <c:pt idx="19">
                  <c:v>0.5</c:v>
                </c:pt>
                <c:pt idx="20">
                  <c:v>0.6</c:v>
                </c:pt>
                <c:pt idx="21">
                  <c:v>0.7</c:v>
                </c:pt>
                <c:pt idx="22">
                  <c:v>0.7</c:v>
                </c:pt>
                <c:pt idx="23" formatCode="0.0">
                  <c:v>0.48863328822733443</c:v>
                </c:pt>
                <c:pt idx="24" formatCode="0.0">
                  <c:v>0.3537024683122082</c:v>
                </c:pt>
                <c:pt idx="25">
                  <c:v>0.6</c:v>
                </c:pt>
                <c:pt idx="26">
                  <c:v>2.7</c:v>
                </c:pt>
                <c:pt idx="27">
                  <c:v>0.5</c:v>
                </c:pt>
              </c:numCache>
            </c:numRef>
          </c:yVal>
          <c:smooth val="1"/>
          <c:extLst>
            <c:ext xmlns:c16="http://schemas.microsoft.com/office/drawing/2014/chart" uri="{C3380CC4-5D6E-409C-BE32-E72D297353CC}">
              <c16:uniqueId val="{00000007-75A9-430B-8690-EB64EDC668F9}"/>
            </c:ext>
          </c:extLst>
        </c:ser>
        <c:ser>
          <c:idx val="9"/>
          <c:order val="8"/>
          <c:tx>
            <c:strRef>
              <c:f>'[Показатели (4).xlsx]Занятость'!$A$14</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[1]Занятость!$B$4:$AC$4</c:f>
              <c:numCache>
                <c:formatCode>General</c:formatCode>
                <c:ptCount val="28"/>
                <c:pt idx="0">
                  <c:v>1990</c:v>
                </c:pt>
                <c:pt idx="1">
                  <c:v>1993</c:v>
                </c:pt>
                <c:pt idx="2">
                  <c:v>1995</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[1]Занятость!$B$14:$AC$14</c:f>
              <c:numCache>
                <c:formatCode>General</c:formatCode>
                <c:ptCount val="28"/>
                <c:pt idx="1">
                  <c:v>1</c:v>
                </c:pt>
                <c:pt idx="2">
                  <c:v>2.4</c:v>
                </c:pt>
                <c:pt idx="3">
                  <c:v>1.9</c:v>
                </c:pt>
                <c:pt idx="4">
                  <c:v>2</c:v>
                </c:pt>
                <c:pt idx="5">
                  <c:v>1.1000000000000001</c:v>
                </c:pt>
                <c:pt idx="6">
                  <c:v>0.9</c:v>
                </c:pt>
                <c:pt idx="7">
                  <c:v>1.1000000000000001</c:v>
                </c:pt>
                <c:pt idx="8">
                  <c:v>1.6</c:v>
                </c:pt>
                <c:pt idx="9">
                  <c:v>1.5</c:v>
                </c:pt>
                <c:pt idx="10">
                  <c:v>2.5</c:v>
                </c:pt>
                <c:pt idx="11">
                  <c:v>2</c:v>
                </c:pt>
                <c:pt idx="12">
                  <c:v>1.7</c:v>
                </c:pt>
                <c:pt idx="13">
                  <c:v>1.6</c:v>
                </c:pt>
                <c:pt idx="14">
                  <c:v>1.8</c:v>
                </c:pt>
                <c:pt idx="15">
                  <c:v>3.6</c:v>
                </c:pt>
                <c:pt idx="16">
                  <c:v>2.2999999999999998</c:v>
                </c:pt>
                <c:pt idx="17">
                  <c:v>1.7</c:v>
                </c:pt>
                <c:pt idx="18">
                  <c:v>1.5</c:v>
                </c:pt>
                <c:pt idx="19">
                  <c:v>1.4</c:v>
                </c:pt>
                <c:pt idx="20">
                  <c:v>1.5</c:v>
                </c:pt>
                <c:pt idx="21">
                  <c:v>1.9</c:v>
                </c:pt>
                <c:pt idx="22">
                  <c:v>1.8</c:v>
                </c:pt>
                <c:pt idx="23">
                  <c:v>1.4</c:v>
                </c:pt>
                <c:pt idx="24">
                  <c:v>1.1000000000000001</c:v>
                </c:pt>
                <c:pt idx="25">
                  <c:v>1.1000000000000001</c:v>
                </c:pt>
                <c:pt idx="26">
                  <c:v>3.5</c:v>
                </c:pt>
                <c:pt idx="27">
                  <c:v>1.1000000000000001</c:v>
                </c:pt>
              </c:numCache>
            </c:numRef>
          </c:yVal>
          <c:smooth val="1"/>
          <c:extLst>
            <c:ext xmlns:c16="http://schemas.microsoft.com/office/drawing/2014/chart" uri="{C3380CC4-5D6E-409C-BE32-E72D297353CC}">
              <c16:uniqueId val="{00000008-75A9-430B-8690-EB64EDC668F9}"/>
            </c:ext>
          </c:extLst>
        </c:ser>
        <c:dLbls>
          <c:showLegendKey val="0"/>
          <c:showVal val="0"/>
          <c:showCatName val="0"/>
          <c:showSerName val="0"/>
          <c:showPercent val="0"/>
          <c:showBubbleSize val="0"/>
        </c:dLbls>
        <c:axId val="568009712"/>
        <c:axId val="568008072"/>
      </c:scatterChart>
      <c:valAx>
        <c:axId val="568009712"/>
        <c:scaling>
          <c:orientation val="minMax"/>
          <c:max val="2021"/>
          <c:min val="199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008072"/>
        <c:crosses val="autoZero"/>
        <c:crossBetween val="midCat"/>
      </c:valAx>
      <c:valAx>
        <c:axId val="568008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009712"/>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'распределение дохода'!$A$4</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'распределение дохода'!$B$3:$W$3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'распределение дохода'!$B$4:$W$4</c:f>
              <c:numCache>
                <c:formatCode>General</c:formatCode>
                <c:ptCount val="22"/>
                <c:pt idx="0">
                  <c:v>0.3695</c:v>
                </c:pt>
                <c:pt idx="1">
                  <c:v>0.374</c:v>
                </c:pt>
                <c:pt idx="2">
                  <c:v>0.39800000000000002</c:v>
                </c:pt>
                <c:pt idx="3">
                  <c:v>0.4</c:v>
                </c:pt>
                <c:pt idx="4">
                  <c:v>0.40699999999999997</c:v>
                </c:pt>
                <c:pt idx="5">
                  <c:v>0.40500000000000003</c:v>
                </c:pt>
                <c:pt idx="6">
                  <c:v>0.41</c:v>
                </c:pt>
                <c:pt idx="7">
                  <c:v>0.42199999999999999</c:v>
                </c:pt>
                <c:pt idx="8">
                  <c:v>0.42299999999999999</c:v>
                </c:pt>
                <c:pt idx="9">
                  <c:v>0.42199999999999999</c:v>
                </c:pt>
                <c:pt idx="10">
                  <c:v>0.42099999999999999</c:v>
                </c:pt>
                <c:pt idx="11">
                  <c:v>0.41699999999999998</c:v>
                </c:pt>
                <c:pt idx="12">
                  <c:v>0.42</c:v>
                </c:pt>
                <c:pt idx="13">
                  <c:v>0.41899999999999998</c:v>
                </c:pt>
                <c:pt idx="14">
                  <c:v>0.41599999999999998</c:v>
                </c:pt>
                <c:pt idx="15">
                  <c:v>0.41299999999999998</c:v>
                </c:pt>
                <c:pt idx="16">
                  <c:v>0.41199999999999998</c:v>
                </c:pt>
                <c:pt idx="17">
                  <c:v>0.41</c:v>
                </c:pt>
                <c:pt idx="18">
                  <c:v>0.41299999999999998</c:v>
                </c:pt>
                <c:pt idx="19">
                  <c:v>0.41099999999999998</c:v>
                </c:pt>
                <c:pt idx="20">
                  <c:v>0.40600000000000003</c:v>
                </c:pt>
                <c:pt idx="21">
                  <c:v>0.40899999999999997</c:v>
                </c:pt>
              </c:numCache>
            </c:numRef>
          </c:yVal>
          <c:smooth val="1"/>
          <c:extLst>
            <c:ext xmlns:c16="http://schemas.microsoft.com/office/drawing/2014/chart" uri="{C3380CC4-5D6E-409C-BE32-E72D297353CC}">
              <c16:uniqueId val="{00000000-7F12-44DD-8C9D-F7DA29B7C93A}"/>
            </c:ext>
          </c:extLst>
        </c:ser>
        <c:ser>
          <c:idx val="1"/>
          <c:order val="1"/>
          <c:tx>
            <c:strRef>
              <c:f>'распределение дохода'!$A$5</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'распределение дохода'!$B$3:$W$3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'распределение дохода'!$B$5:$W$5</c:f>
              <c:numCache>
                <c:formatCode>General</c:formatCode>
                <c:ptCount val="22"/>
              </c:numCache>
            </c:numRef>
          </c:yVal>
          <c:smooth val="1"/>
          <c:extLst>
            <c:ext xmlns:c16="http://schemas.microsoft.com/office/drawing/2014/chart" uri="{C3380CC4-5D6E-409C-BE32-E72D297353CC}">
              <c16:uniqueId val="{00000001-7F12-44DD-8C9D-F7DA29B7C93A}"/>
            </c:ext>
          </c:extLst>
        </c:ser>
        <c:ser>
          <c:idx val="2"/>
          <c:order val="2"/>
          <c:tx>
            <c:strRef>
              <c:f>'распределение дохода'!$A$6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'распределение дохода'!$B$3:$W$3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'распределение дохода'!$B$6:$W$6</c:f>
              <c:numCache>
                <c:formatCode>General</c:formatCode>
                <c:ptCount val="22"/>
                <c:pt idx="0">
                  <c:v>0.32300000000000001</c:v>
                </c:pt>
                <c:pt idx="1">
                  <c:v>0.34200000000000003</c:v>
                </c:pt>
                <c:pt idx="2">
                  <c:v>0.375</c:v>
                </c:pt>
                <c:pt idx="3">
                  <c:v>0.38700000000000001</c:v>
                </c:pt>
                <c:pt idx="4">
                  <c:v>0.38200000000000001</c:v>
                </c:pt>
                <c:pt idx="5">
                  <c:v>0.38100000000000001</c:v>
                </c:pt>
                <c:pt idx="6">
                  <c:v>0.39100000000000001</c:v>
                </c:pt>
                <c:pt idx="7">
                  <c:v>0.40400000000000003</c:v>
                </c:pt>
                <c:pt idx="8">
                  <c:v>0.40899999999999997</c:v>
                </c:pt>
                <c:pt idx="9">
                  <c:v>0.41199999999999998</c:v>
                </c:pt>
                <c:pt idx="10">
                  <c:v>0.40200000000000002</c:v>
                </c:pt>
                <c:pt idx="11">
                  <c:v>0.39600000000000002</c:v>
                </c:pt>
                <c:pt idx="12">
                  <c:v>0.39800000000000002</c:v>
                </c:pt>
                <c:pt idx="13">
                  <c:v>0.39400000000000002</c:v>
                </c:pt>
                <c:pt idx="14">
                  <c:v>0.38500000000000001</c:v>
                </c:pt>
                <c:pt idx="15">
                  <c:v>0.36099999999999999</c:v>
                </c:pt>
                <c:pt idx="16">
                  <c:v>0.36299999999999999</c:v>
                </c:pt>
                <c:pt idx="17">
                  <c:v>0.36</c:v>
                </c:pt>
                <c:pt idx="18">
                  <c:v>0.35199999999999998</c:v>
                </c:pt>
                <c:pt idx="19">
                  <c:v>0.35199999999999998</c:v>
                </c:pt>
                <c:pt idx="20">
                  <c:v>0.34699999999999998</c:v>
                </c:pt>
                <c:pt idx="21">
                  <c:v>0.34799999999999998</c:v>
                </c:pt>
              </c:numCache>
            </c:numRef>
          </c:yVal>
          <c:smooth val="1"/>
          <c:extLst>
            <c:ext xmlns:c16="http://schemas.microsoft.com/office/drawing/2014/chart" uri="{C3380CC4-5D6E-409C-BE32-E72D297353CC}">
              <c16:uniqueId val="{00000002-7F12-44DD-8C9D-F7DA29B7C93A}"/>
            </c:ext>
          </c:extLst>
        </c:ser>
        <c:ser>
          <c:idx val="3"/>
          <c:order val="3"/>
          <c:tx>
            <c:strRef>
              <c:f>'распределение дохода'!$A$7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'распределение дохода'!$B$3:$W$3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'распределение дохода'!$B$7:$W$7</c:f>
              <c:numCache>
                <c:formatCode>General</c:formatCode>
                <c:ptCount val="22"/>
                <c:pt idx="0">
                  <c:v>0.27866666666666701</c:v>
                </c:pt>
                <c:pt idx="1">
                  <c:v>0.31</c:v>
                </c:pt>
                <c:pt idx="2">
                  <c:v>0.35599999999999998</c:v>
                </c:pt>
                <c:pt idx="3">
                  <c:v>0.38</c:v>
                </c:pt>
                <c:pt idx="4">
                  <c:v>0.39900000000000002</c:v>
                </c:pt>
                <c:pt idx="5">
                  <c:v>0.40500000000000003</c:v>
                </c:pt>
                <c:pt idx="6">
                  <c:v>0.41499999999999998</c:v>
                </c:pt>
                <c:pt idx="7">
                  <c:v>0.434</c:v>
                </c:pt>
                <c:pt idx="8">
                  <c:v>0.435</c:v>
                </c:pt>
                <c:pt idx="9">
                  <c:v>0.43099999999999999</c:v>
                </c:pt>
                <c:pt idx="10">
                  <c:v>0.432</c:v>
                </c:pt>
                <c:pt idx="11">
                  <c:v>0.42499999999999999</c:v>
                </c:pt>
                <c:pt idx="12">
                  <c:v>0.43</c:v>
                </c:pt>
                <c:pt idx="13">
                  <c:v>0.43099999999999999</c:v>
                </c:pt>
                <c:pt idx="14">
                  <c:v>0.42299999999999999</c:v>
                </c:pt>
                <c:pt idx="15">
                  <c:v>0.41299999999999998</c:v>
                </c:pt>
                <c:pt idx="16">
                  <c:v>0.41</c:v>
                </c:pt>
                <c:pt idx="17">
                  <c:v>0.40500000000000003</c:v>
                </c:pt>
                <c:pt idx="18">
                  <c:v>0.40300000000000002</c:v>
                </c:pt>
                <c:pt idx="19">
                  <c:v>0.40500000000000003</c:v>
                </c:pt>
                <c:pt idx="20">
                  <c:v>0.39400000000000002</c:v>
                </c:pt>
                <c:pt idx="21">
                  <c:v>0.39600000000000002</c:v>
                </c:pt>
              </c:numCache>
            </c:numRef>
          </c:yVal>
          <c:smooth val="1"/>
          <c:extLst>
            <c:ext xmlns:c16="http://schemas.microsoft.com/office/drawing/2014/chart" uri="{C3380CC4-5D6E-409C-BE32-E72D297353CC}">
              <c16:uniqueId val="{00000003-7F12-44DD-8C9D-F7DA29B7C93A}"/>
            </c:ext>
          </c:extLst>
        </c:ser>
        <c:ser>
          <c:idx val="5"/>
          <c:order val="4"/>
          <c:tx>
            <c:strRef>
              <c:f>'распределение дохода'!$A$9</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'распределение дохода'!$B$3:$W$3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'распределение дохода'!$B$9:$W$9</c:f>
              <c:numCache>
                <c:formatCode>General</c:formatCode>
                <c:ptCount val="22"/>
              </c:numCache>
            </c:numRef>
          </c:yVal>
          <c:smooth val="1"/>
          <c:extLst>
            <c:ext xmlns:c16="http://schemas.microsoft.com/office/drawing/2014/chart" uri="{C3380CC4-5D6E-409C-BE32-E72D297353CC}">
              <c16:uniqueId val="{00000004-7F12-44DD-8C9D-F7DA29B7C93A}"/>
            </c:ext>
          </c:extLst>
        </c:ser>
        <c:ser>
          <c:idx val="6"/>
          <c:order val="5"/>
          <c:tx>
            <c:strRef>
              <c:f>'распределение дохода'!$A$10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'распределение дохода'!$B$3:$W$3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'распределение дохода'!$B$10:$W$10</c:f>
              <c:numCache>
                <c:formatCode>General</c:formatCode>
                <c:ptCount val="22"/>
                <c:pt idx="0">
                  <c:v>0.36633333333333301</c:v>
                </c:pt>
                <c:pt idx="1">
                  <c:v>0.38700000000000001</c:v>
                </c:pt>
                <c:pt idx="2">
                  <c:v>0.437</c:v>
                </c:pt>
                <c:pt idx="3">
                  <c:v>0.443</c:v>
                </c:pt>
                <c:pt idx="4">
                  <c:v>0.443</c:v>
                </c:pt>
                <c:pt idx="5">
                  <c:v>0.42799999999999999</c:v>
                </c:pt>
                <c:pt idx="6">
                  <c:v>0.42899999999999999</c:v>
                </c:pt>
                <c:pt idx="7">
                  <c:v>0.437</c:v>
                </c:pt>
                <c:pt idx="8">
                  <c:v>0.437</c:v>
                </c:pt>
                <c:pt idx="9">
                  <c:v>0.42599999999999999</c:v>
                </c:pt>
                <c:pt idx="10">
                  <c:v>0.42399999999999999</c:v>
                </c:pt>
                <c:pt idx="11">
                  <c:v>0.42499999999999999</c:v>
                </c:pt>
                <c:pt idx="12">
                  <c:v>0.42899999999999999</c:v>
                </c:pt>
                <c:pt idx="13">
                  <c:v>0.42499999999999999</c:v>
                </c:pt>
                <c:pt idx="14">
                  <c:v>0.42299999999999999</c:v>
                </c:pt>
                <c:pt idx="15">
                  <c:v>0.40500000000000003</c:v>
                </c:pt>
                <c:pt idx="16">
                  <c:v>0.4</c:v>
                </c:pt>
                <c:pt idx="17">
                  <c:v>0.38800000000000001</c:v>
                </c:pt>
                <c:pt idx="18">
                  <c:v>0.39800000000000002</c:v>
                </c:pt>
                <c:pt idx="19">
                  <c:v>0.39900000000000002</c:v>
                </c:pt>
                <c:pt idx="20">
                  <c:v>0.38500000000000001</c:v>
                </c:pt>
                <c:pt idx="21">
                  <c:v>0.38600000000000001</c:v>
                </c:pt>
              </c:numCache>
            </c:numRef>
          </c:yVal>
          <c:smooth val="1"/>
          <c:extLst>
            <c:ext xmlns:c16="http://schemas.microsoft.com/office/drawing/2014/chart" uri="{C3380CC4-5D6E-409C-BE32-E72D297353CC}">
              <c16:uniqueId val="{00000005-7F12-44DD-8C9D-F7DA29B7C93A}"/>
            </c:ext>
          </c:extLst>
        </c:ser>
        <c:ser>
          <c:idx val="7"/>
          <c:order val="6"/>
          <c:tx>
            <c:strRef>
              <c:f>'распределение дохода'!$A$11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'распределение дохода'!$B$3:$W$3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'распределение дохода'!$B$11:$W$11</c:f>
              <c:numCache>
                <c:formatCode>General</c:formatCode>
                <c:ptCount val="22"/>
                <c:pt idx="0">
                  <c:v>0.295333333333333</c:v>
                </c:pt>
                <c:pt idx="1">
                  <c:v>0.32800000000000001</c:v>
                </c:pt>
                <c:pt idx="2">
                  <c:v>0.434</c:v>
                </c:pt>
                <c:pt idx="3">
                  <c:v>0.43</c:v>
                </c:pt>
                <c:pt idx="4">
                  <c:v>0.442</c:v>
                </c:pt>
                <c:pt idx="5">
                  <c:v>0.43</c:v>
                </c:pt>
                <c:pt idx="6">
                  <c:v>0.436</c:v>
                </c:pt>
                <c:pt idx="7">
                  <c:v>0.44500000000000001</c:v>
                </c:pt>
                <c:pt idx="8">
                  <c:v>0.44500000000000001</c:v>
                </c:pt>
                <c:pt idx="9">
                  <c:v>0.434</c:v>
                </c:pt>
                <c:pt idx="10">
                  <c:v>0.43099999999999999</c:v>
                </c:pt>
                <c:pt idx="11">
                  <c:v>0.432</c:v>
                </c:pt>
                <c:pt idx="12">
                  <c:v>0.44</c:v>
                </c:pt>
                <c:pt idx="13">
                  <c:v>0.439</c:v>
                </c:pt>
                <c:pt idx="14">
                  <c:v>0.42899999999999999</c:v>
                </c:pt>
                <c:pt idx="15">
                  <c:v>0.42199999999999999</c:v>
                </c:pt>
                <c:pt idx="16">
                  <c:v>0.42299999999999999</c:v>
                </c:pt>
                <c:pt idx="17">
                  <c:v>0.42299999999999999</c:v>
                </c:pt>
                <c:pt idx="18">
                  <c:v>0.435</c:v>
                </c:pt>
                <c:pt idx="19">
                  <c:v>0.437</c:v>
                </c:pt>
                <c:pt idx="20">
                  <c:v>0.438</c:v>
                </c:pt>
                <c:pt idx="21">
                  <c:v>0.44</c:v>
                </c:pt>
              </c:numCache>
            </c:numRef>
          </c:yVal>
          <c:smooth val="1"/>
          <c:extLst>
            <c:ext xmlns:c16="http://schemas.microsoft.com/office/drawing/2014/chart" uri="{C3380CC4-5D6E-409C-BE32-E72D297353CC}">
              <c16:uniqueId val="{00000006-7F12-44DD-8C9D-F7DA29B7C93A}"/>
            </c:ext>
          </c:extLst>
        </c:ser>
        <c:ser>
          <c:idx val="8"/>
          <c:order val="7"/>
          <c:tx>
            <c:strRef>
              <c:f>'распределение дохода'!$A$12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'распределение дохода'!$B$3:$W$3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'распределение дохода'!$B$12:$W$12</c:f>
              <c:numCache>
                <c:formatCode>General</c:formatCode>
                <c:ptCount val="22"/>
                <c:pt idx="0" formatCode="0.000">
                  <c:v>0.47699999999999998</c:v>
                </c:pt>
                <c:pt idx="1">
                  <c:v>0.46700000000000003</c:v>
                </c:pt>
                <c:pt idx="2" formatCode="0.000">
                  <c:v>0.46534240362811802</c:v>
                </c:pt>
                <c:pt idx="3" formatCode="0.000">
                  <c:v>0.46555311077389977</c:v>
                </c:pt>
                <c:pt idx="4" formatCode="0.000">
                  <c:v>0.46099316109422506</c:v>
                </c:pt>
                <c:pt idx="5" formatCode="0.000">
                  <c:v>0.48508785332314747</c:v>
                </c:pt>
                <c:pt idx="6" formatCode="0.000">
                  <c:v>0.49184580152671753</c:v>
                </c:pt>
                <c:pt idx="7" formatCode="0.000">
                  <c:v>0.49962462006079034</c:v>
                </c:pt>
                <c:pt idx="8" formatCode="0.000">
                  <c:v>0.50214716981132068</c:v>
                </c:pt>
                <c:pt idx="9" formatCode="0.000">
                  <c:v>0.49884707646176912</c:v>
                </c:pt>
                <c:pt idx="10" formatCode="0.000">
                  <c:v>0.47957706626954588</c:v>
                </c:pt>
                <c:pt idx="11" formatCode="0.000">
                  <c:v>0.46034581497797367</c:v>
                </c:pt>
                <c:pt idx="12" formatCode="0.000">
                  <c:v>0.46779061371841152</c:v>
                </c:pt>
                <c:pt idx="13">
                  <c:v>0.40600000000000003</c:v>
                </c:pt>
                <c:pt idx="14">
                  <c:v>0.40400000000000003</c:v>
                </c:pt>
                <c:pt idx="15">
                  <c:v>0.40200000000000002</c:v>
                </c:pt>
                <c:pt idx="16">
                  <c:v>0.39500000000000002</c:v>
                </c:pt>
                <c:pt idx="17">
                  <c:v>0.38800000000000001</c:v>
                </c:pt>
                <c:pt idx="18">
                  <c:v>0.39</c:v>
                </c:pt>
                <c:pt idx="19">
                  <c:v>0.38900000000000001</c:v>
                </c:pt>
                <c:pt idx="20">
                  <c:v>0.376</c:v>
                </c:pt>
                <c:pt idx="21">
                  <c:v>0.379</c:v>
                </c:pt>
              </c:numCache>
            </c:numRef>
          </c:yVal>
          <c:smooth val="1"/>
          <c:extLst>
            <c:ext xmlns:c16="http://schemas.microsoft.com/office/drawing/2014/chart" uri="{C3380CC4-5D6E-409C-BE32-E72D297353CC}">
              <c16:uniqueId val="{00000007-7F12-44DD-8C9D-F7DA29B7C93A}"/>
            </c:ext>
          </c:extLst>
        </c:ser>
        <c:ser>
          <c:idx val="9"/>
          <c:order val="8"/>
          <c:tx>
            <c:strRef>
              <c:f>'распределение дохода'!$A$13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'распределение дохода'!$B$3:$W$3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'распределение дохода'!$B$13:$W$13</c:f>
              <c:numCache>
                <c:formatCode>General</c:formatCode>
                <c:ptCount val="22"/>
                <c:pt idx="0">
                  <c:v>0.30266666666666697</c:v>
                </c:pt>
                <c:pt idx="1">
                  <c:v>0.32100000000000001</c:v>
                </c:pt>
                <c:pt idx="2">
                  <c:v>0.35</c:v>
                </c:pt>
                <c:pt idx="3">
                  <c:v>0.36299999999999999</c:v>
                </c:pt>
                <c:pt idx="4">
                  <c:v>0.36499999999999999</c:v>
                </c:pt>
                <c:pt idx="5">
                  <c:v>0.371</c:v>
                </c:pt>
                <c:pt idx="6">
                  <c:v>0.38500000000000001</c:v>
                </c:pt>
                <c:pt idx="7">
                  <c:v>0.39600000000000002</c:v>
                </c:pt>
                <c:pt idx="8">
                  <c:v>0.40500000000000003</c:v>
                </c:pt>
                <c:pt idx="9">
                  <c:v>0.4</c:v>
                </c:pt>
                <c:pt idx="10">
                  <c:v>0.40100000000000002</c:v>
                </c:pt>
                <c:pt idx="11">
                  <c:v>0.39600000000000002</c:v>
                </c:pt>
                <c:pt idx="12">
                  <c:v>0.39900000000000002</c:v>
                </c:pt>
                <c:pt idx="13">
                  <c:v>0.38900000000000001</c:v>
                </c:pt>
                <c:pt idx="14">
                  <c:v>0.38400000000000001</c:v>
                </c:pt>
                <c:pt idx="15">
                  <c:v>0.36799999999999999</c:v>
                </c:pt>
                <c:pt idx="16">
                  <c:v>0.36099999999999999</c:v>
                </c:pt>
                <c:pt idx="17">
                  <c:v>0.35099999999999998</c:v>
                </c:pt>
                <c:pt idx="18">
                  <c:v>0.35399999999999998</c:v>
                </c:pt>
                <c:pt idx="19">
                  <c:v>0.34799999999999998</c:v>
                </c:pt>
                <c:pt idx="20">
                  <c:v>0.33400000000000002</c:v>
                </c:pt>
                <c:pt idx="21">
                  <c:v>0.34200000000000003</c:v>
                </c:pt>
              </c:numCache>
            </c:numRef>
          </c:yVal>
          <c:smooth val="1"/>
          <c:extLst>
            <c:ext xmlns:c16="http://schemas.microsoft.com/office/drawing/2014/chart" uri="{C3380CC4-5D6E-409C-BE32-E72D297353CC}">
              <c16:uniqueId val="{00000008-7F12-44DD-8C9D-F7DA29B7C93A}"/>
            </c:ext>
          </c:extLst>
        </c:ser>
        <c:dLbls>
          <c:showLegendKey val="0"/>
          <c:showVal val="0"/>
          <c:showCatName val="0"/>
          <c:showSerName val="0"/>
          <c:showPercent val="0"/>
          <c:showBubbleSize val="0"/>
        </c:dLbls>
        <c:axId val="568045464"/>
        <c:axId val="568041200"/>
      </c:scatterChart>
      <c:valAx>
        <c:axId val="568045464"/>
        <c:scaling>
          <c:orientation val="minMax"/>
          <c:max val="2021"/>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041200"/>
        <c:crosses val="autoZero"/>
        <c:crossBetween val="midCat"/>
      </c:valAx>
      <c:valAx>
        <c:axId val="568041200"/>
        <c:scaling>
          <c:orientation val="minMax"/>
          <c:max val="0.60000000000000009"/>
          <c:min val="0.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045464"/>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907023801116162E-2"/>
          <c:y val="0.10389355742296918"/>
          <c:w val="0.95411695955680942"/>
          <c:h val="0.69141908731996737"/>
        </c:manualLayout>
      </c:layout>
      <c:scatterChart>
        <c:scatterStyle val="lineMarker"/>
        <c:varyColors val="0"/>
        <c:ser>
          <c:idx val="0"/>
          <c:order val="0"/>
          <c:tx>
            <c:strRef>
              <c:f>Здравоохранение!$A$4</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Здравоохранение!$B$3:$AC$3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Здравоохранение!$B$4:$AC$4</c:f>
              <c:numCache>
                <c:formatCode>General</c:formatCode>
                <c:ptCount val="28"/>
                <c:pt idx="0">
                  <c:v>72.7</c:v>
                </c:pt>
                <c:pt idx="1">
                  <c:v>79.3</c:v>
                </c:pt>
                <c:pt idx="2">
                  <c:v>80.7</c:v>
                </c:pt>
                <c:pt idx="3">
                  <c:v>82.6</c:v>
                </c:pt>
                <c:pt idx="4">
                  <c:v>84.8</c:v>
                </c:pt>
                <c:pt idx="5">
                  <c:v>86.6</c:v>
                </c:pt>
                <c:pt idx="6">
                  <c:v>86.3</c:v>
                </c:pt>
                <c:pt idx="7">
                  <c:v>86.7</c:v>
                </c:pt>
                <c:pt idx="8">
                  <c:v>88</c:v>
                </c:pt>
                <c:pt idx="9">
                  <c:v>89.6</c:v>
                </c:pt>
                <c:pt idx="10">
                  <c:v>89</c:v>
                </c:pt>
                <c:pt idx="11">
                  <c:v>89.9</c:v>
                </c:pt>
                <c:pt idx="12">
                  <c:v>91.5</c:v>
                </c:pt>
                <c:pt idx="13">
                  <c:v>93.3</c:v>
                </c:pt>
                <c:pt idx="14">
                  <c:v>101.5</c:v>
                </c:pt>
                <c:pt idx="15">
                  <c:v>103.3</c:v>
                </c:pt>
                <c:pt idx="16">
                  <c:v>106.7</c:v>
                </c:pt>
                <c:pt idx="17">
                  <c:v>106.2</c:v>
                </c:pt>
                <c:pt idx="18">
                  <c:v>107.6</c:v>
                </c:pt>
                <c:pt idx="19">
                  <c:v>110.3</c:v>
                </c:pt>
                <c:pt idx="20">
                  <c:v>115.5</c:v>
                </c:pt>
                <c:pt idx="21">
                  <c:v>119.9</c:v>
                </c:pt>
                <c:pt idx="22">
                  <c:v>122.6</c:v>
                </c:pt>
                <c:pt idx="23">
                  <c:v>124.2</c:v>
                </c:pt>
                <c:pt idx="24">
                  <c:v>125.2</c:v>
                </c:pt>
                <c:pt idx="25">
                  <c:v>125</c:v>
                </c:pt>
                <c:pt idx="26">
                  <c:v>123</c:v>
                </c:pt>
                <c:pt idx="27">
                  <c:v>125.3</c:v>
                </c:pt>
              </c:numCache>
            </c:numRef>
          </c:yVal>
          <c:smooth val="0"/>
          <c:extLst>
            <c:ext xmlns:c16="http://schemas.microsoft.com/office/drawing/2014/chart" uri="{C3380CC4-5D6E-409C-BE32-E72D297353CC}">
              <c16:uniqueId val="{00000000-E948-4CDB-9AD1-AAF492AD93D6}"/>
            </c:ext>
          </c:extLst>
        </c:ser>
        <c:ser>
          <c:idx val="2"/>
          <c:order val="1"/>
          <c:tx>
            <c:strRef>
              <c:f>Здравоохранение!$A$5</c:f>
              <c:strCache>
                <c:ptCount val="1"/>
                <c:pt idx="0">
                  <c:v>Уральский ФО</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Здравоохранение!$B$3:$AC$3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Здравоохранение!$B$5:$AC$5</c:f>
              <c:numCache>
                <c:formatCode>General</c:formatCode>
                <c:ptCount val="28"/>
                <c:pt idx="0">
                  <c:v>74.2</c:v>
                </c:pt>
                <c:pt idx="1">
                  <c:v>78.599999999999994</c:v>
                </c:pt>
                <c:pt idx="2">
                  <c:v>80.599999999999994</c:v>
                </c:pt>
                <c:pt idx="3">
                  <c:v>82.5</c:v>
                </c:pt>
                <c:pt idx="4">
                  <c:v>84.1</c:v>
                </c:pt>
                <c:pt idx="5">
                  <c:v>87.5</c:v>
                </c:pt>
                <c:pt idx="6">
                  <c:v>87.6</c:v>
                </c:pt>
                <c:pt idx="7">
                  <c:v>87.8</c:v>
                </c:pt>
                <c:pt idx="8">
                  <c:v>89.3</c:v>
                </c:pt>
                <c:pt idx="9">
                  <c:v>90.3</c:v>
                </c:pt>
                <c:pt idx="10">
                  <c:v>89.3</c:v>
                </c:pt>
                <c:pt idx="11">
                  <c:v>91.7</c:v>
                </c:pt>
                <c:pt idx="12">
                  <c:v>92.8</c:v>
                </c:pt>
                <c:pt idx="13">
                  <c:v>94.3</c:v>
                </c:pt>
                <c:pt idx="14">
                  <c:v>102.1</c:v>
                </c:pt>
                <c:pt idx="15">
                  <c:v>106.1</c:v>
                </c:pt>
                <c:pt idx="16">
                  <c:v>106.4</c:v>
                </c:pt>
                <c:pt idx="17">
                  <c:v>106.1</c:v>
                </c:pt>
                <c:pt idx="18">
                  <c:v>108.6</c:v>
                </c:pt>
                <c:pt idx="19">
                  <c:v>111.6</c:v>
                </c:pt>
                <c:pt idx="20">
                  <c:v>117.9</c:v>
                </c:pt>
                <c:pt idx="21">
                  <c:v>121.2</c:v>
                </c:pt>
                <c:pt idx="22">
                  <c:v>123.9</c:v>
                </c:pt>
                <c:pt idx="23">
                  <c:v>126.9</c:v>
                </c:pt>
                <c:pt idx="24">
                  <c:v>127.7</c:v>
                </c:pt>
                <c:pt idx="25">
                  <c:v>128.19999999999999</c:v>
                </c:pt>
                <c:pt idx="26">
                  <c:v>124</c:v>
                </c:pt>
                <c:pt idx="27">
                  <c:v>120.7</c:v>
                </c:pt>
              </c:numCache>
            </c:numRef>
          </c:yVal>
          <c:smooth val="0"/>
          <c:extLst>
            <c:ext xmlns:c16="http://schemas.microsoft.com/office/drawing/2014/chart" uri="{C3380CC4-5D6E-409C-BE32-E72D297353CC}">
              <c16:uniqueId val="{00000001-E948-4CDB-9AD1-AAF492AD93D6}"/>
            </c:ext>
          </c:extLst>
        </c:ser>
        <c:ser>
          <c:idx val="3"/>
          <c:order val="2"/>
          <c:tx>
            <c:strRef>
              <c:f>Здравоохранение!$A$6</c:f>
              <c:strCache>
                <c:ptCount val="1"/>
                <c:pt idx="0">
                  <c:v>Курганская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Здравоохранение!$B$3:$AC$3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Здравоохранение!$B$6:$AC$6</c:f>
              <c:numCache>
                <c:formatCode>General</c:formatCode>
                <c:ptCount val="28"/>
                <c:pt idx="0">
                  <c:v>69.900000000000006</c:v>
                </c:pt>
                <c:pt idx="1">
                  <c:v>79.3</c:v>
                </c:pt>
                <c:pt idx="2">
                  <c:v>79.3</c:v>
                </c:pt>
                <c:pt idx="3">
                  <c:v>81.2</c:v>
                </c:pt>
                <c:pt idx="4">
                  <c:v>84.2</c:v>
                </c:pt>
                <c:pt idx="5">
                  <c:v>84.8</c:v>
                </c:pt>
                <c:pt idx="6">
                  <c:v>86.5</c:v>
                </c:pt>
                <c:pt idx="7">
                  <c:v>87.8</c:v>
                </c:pt>
                <c:pt idx="8">
                  <c:v>88.7</c:v>
                </c:pt>
                <c:pt idx="9">
                  <c:v>85.1</c:v>
                </c:pt>
                <c:pt idx="10">
                  <c:v>82.7</c:v>
                </c:pt>
                <c:pt idx="11">
                  <c:v>88.4</c:v>
                </c:pt>
                <c:pt idx="12">
                  <c:v>95.2</c:v>
                </c:pt>
                <c:pt idx="13">
                  <c:v>95.2</c:v>
                </c:pt>
                <c:pt idx="14">
                  <c:v>106.7</c:v>
                </c:pt>
                <c:pt idx="15">
                  <c:v>106.4</c:v>
                </c:pt>
                <c:pt idx="16">
                  <c:v>102.3</c:v>
                </c:pt>
                <c:pt idx="17">
                  <c:v>99.9</c:v>
                </c:pt>
                <c:pt idx="18">
                  <c:v>99.3</c:v>
                </c:pt>
                <c:pt idx="19">
                  <c:v>101.3</c:v>
                </c:pt>
                <c:pt idx="20">
                  <c:v>103.9</c:v>
                </c:pt>
                <c:pt idx="21">
                  <c:v>106</c:v>
                </c:pt>
                <c:pt idx="22">
                  <c:v>110.8</c:v>
                </c:pt>
                <c:pt idx="23">
                  <c:v>114.9</c:v>
                </c:pt>
                <c:pt idx="24">
                  <c:v>115.4</c:v>
                </c:pt>
                <c:pt idx="25">
                  <c:v>115.1</c:v>
                </c:pt>
                <c:pt idx="26">
                  <c:v>114.4</c:v>
                </c:pt>
                <c:pt idx="27">
                  <c:v>102</c:v>
                </c:pt>
              </c:numCache>
            </c:numRef>
          </c:yVal>
          <c:smooth val="0"/>
          <c:extLst>
            <c:ext xmlns:c16="http://schemas.microsoft.com/office/drawing/2014/chart" uri="{C3380CC4-5D6E-409C-BE32-E72D297353CC}">
              <c16:uniqueId val="{00000002-E948-4CDB-9AD1-AAF492AD93D6}"/>
            </c:ext>
          </c:extLst>
        </c:ser>
        <c:ser>
          <c:idx val="4"/>
          <c:order val="3"/>
          <c:tx>
            <c:strRef>
              <c:f>Здравоохранение!$A$7</c:f>
              <c:strCache>
                <c:ptCount val="1"/>
                <c:pt idx="0">
                  <c:v>Свердловская область</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Здравоохранение!$B$3:$AC$3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Здравоохранение!$B$7:$AC$7</c:f>
              <c:numCache>
                <c:formatCode>General</c:formatCode>
                <c:ptCount val="28"/>
                <c:pt idx="0">
                  <c:v>70</c:v>
                </c:pt>
                <c:pt idx="1">
                  <c:v>73.2</c:v>
                </c:pt>
                <c:pt idx="2">
                  <c:v>75.3</c:v>
                </c:pt>
                <c:pt idx="3">
                  <c:v>78.599999999999994</c:v>
                </c:pt>
                <c:pt idx="4">
                  <c:v>81.3</c:v>
                </c:pt>
                <c:pt idx="5">
                  <c:v>87.1</c:v>
                </c:pt>
                <c:pt idx="6">
                  <c:v>87.7</c:v>
                </c:pt>
                <c:pt idx="7">
                  <c:v>89.1</c:v>
                </c:pt>
                <c:pt idx="8">
                  <c:v>91.3</c:v>
                </c:pt>
                <c:pt idx="9">
                  <c:v>92.2</c:v>
                </c:pt>
                <c:pt idx="10">
                  <c:v>91.7</c:v>
                </c:pt>
                <c:pt idx="11">
                  <c:v>92.8</c:v>
                </c:pt>
                <c:pt idx="12">
                  <c:v>92.1</c:v>
                </c:pt>
                <c:pt idx="13">
                  <c:v>94</c:v>
                </c:pt>
                <c:pt idx="14">
                  <c:v>93.8</c:v>
                </c:pt>
                <c:pt idx="15">
                  <c:v>97.4</c:v>
                </c:pt>
                <c:pt idx="16">
                  <c:v>98.4</c:v>
                </c:pt>
                <c:pt idx="17">
                  <c:v>99.9</c:v>
                </c:pt>
                <c:pt idx="18">
                  <c:v>100.3</c:v>
                </c:pt>
                <c:pt idx="19">
                  <c:v>102.1</c:v>
                </c:pt>
                <c:pt idx="20">
                  <c:v>106.9</c:v>
                </c:pt>
                <c:pt idx="21">
                  <c:v>110.1</c:v>
                </c:pt>
                <c:pt idx="22">
                  <c:v>114</c:v>
                </c:pt>
                <c:pt idx="23">
                  <c:v>117.4</c:v>
                </c:pt>
                <c:pt idx="24">
                  <c:v>117.8</c:v>
                </c:pt>
                <c:pt idx="25">
                  <c:v>117.7</c:v>
                </c:pt>
                <c:pt idx="26">
                  <c:v>114.6</c:v>
                </c:pt>
                <c:pt idx="27">
                  <c:v>111.6</c:v>
                </c:pt>
              </c:numCache>
            </c:numRef>
          </c:yVal>
          <c:smooth val="0"/>
          <c:extLst>
            <c:ext xmlns:c16="http://schemas.microsoft.com/office/drawing/2014/chart" uri="{C3380CC4-5D6E-409C-BE32-E72D297353CC}">
              <c16:uniqueId val="{00000003-E948-4CDB-9AD1-AAF492AD93D6}"/>
            </c:ext>
          </c:extLst>
        </c:ser>
        <c:ser>
          <c:idx val="6"/>
          <c:order val="4"/>
          <c:tx>
            <c:strRef>
              <c:f>Здравоохранение!$A$9</c:f>
              <c:strCache>
                <c:ptCount val="1"/>
                <c:pt idx="0">
                  <c:v>в том числе:</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Здравоохранение!$B$3:$AC$3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Здравоохранение!$B$9:$AC$9</c:f>
              <c:numCache>
                <c:formatCode>General</c:formatCode>
                <c:ptCount val="28"/>
              </c:numCache>
            </c:numRef>
          </c:yVal>
          <c:smooth val="0"/>
          <c:extLst>
            <c:ext xmlns:c16="http://schemas.microsoft.com/office/drawing/2014/chart" uri="{C3380CC4-5D6E-409C-BE32-E72D297353CC}">
              <c16:uniqueId val="{00000004-E948-4CDB-9AD1-AAF492AD93D6}"/>
            </c:ext>
          </c:extLst>
        </c:ser>
        <c:ser>
          <c:idx val="7"/>
          <c:order val="5"/>
          <c:tx>
            <c:strRef>
              <c:f>Здравоохранение!$A$10</c:f>
              <c:strCache>
                <c:ptCount val="1"/>
                <c:pt idx="0">
                  <c:v>Ханты-Мансийский автономный округ - Югра</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Здравоохранение!$B$3:$AC$3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Здравоохранение!$B$10:$AC$10</c:f>
              <c:numCache>
                <c:formatCode>General</c:formatCode>
                <c:ptCount val="28"/>
                <c:pt idx="0">
                  <c:v>93.8</c:v>
                </c:pt>
                <c:pt idx="1">
                  <c:v>99.2</c:v>
                </c:pt>
                <c:pt idx="2">
                  <c:v>100.1</c:v>
                </c:pt>
                <c:pt idx="3">
                  <c:v>100.3</c:v>
                </c:pt>
                <c:pt idx="4">
                  <c:v>99.2</c:v>
                </c:pt>
                <c:pt idx="5">
                  <c:v>97.7</c:v>
                </c:pt>
                <c:pt idx="6">
                  <c:v>99.6</c:v>
                </c:pt>
                <c:pt idx="7">
                  <c:v>99.6</c:v>
                </c:pt>
                <c:pt idx="8">
                  <c:v>99.8</c:v>
                </c:pt>
                <c:pt idx="9">
                  <c:v>102.7</c:v>
                </c:pt>
                <c:pt idx="10">
                  <c:v>99.5</c:v>
                </c:pt>
                <c:pt idx="11">
                  <c:v>100.8</c:v>
                </c:pt>
                <c:pt idx="12">
                  <c:v>103.2</c:v>
                </c:pt>
                <c:pt idx="13">
                  <c:v>100.8</c:v>
                </c:pt>
                <c:pt idx="14">
                  <c:v>111.9</c:v>
                </c:pt>
                <c:pt idx="15">
                  <c:v>120.1</c:v>
                </c:pt>
                <c:pt idx="16">
                  <c:v>119.3</c:v>
                </c:pt>
                <c:pt idx="17">
                  <c:v>122.1</c:v>
                </c:pt>
                <c:pt idx="18">
                  <c:v>125.1</c:v>
                </c:pt>
                <c:pt idx="19">
                  <c:v>126.6</c:v>
                </c:pt>
                <c:pt idx="20">
                  <c:v>129.4</c:v>
                </c:pt>
                <c:pt idx="21">
                  <c:v>127.5</c:v>
                </c:pt>
                <c:pt idx="22">
                  <c:v>129.80000000000001</c:v>
                </c:pt>
                <c:pt idx="23">
                  <c:v>131.9</c:v>
                </c:pt>
                <c:pt idx="24">
                  <c:v>132.9</c:v>
                </c:pt>
                <c:pt idx="25">
                  <c:v>135.6</c:v>
                </c:pt>
                <c:pt idx="26">
                  <c:v>137.5</c:v>
                </c:pt>
                <c:pt idx="27">
                  <c:v>134.80000000000001</c:v>
                </c:pt>
              </c:numCache>
            </c:numRef>
          </c:yVal>
          <c:smooth val="0"/>
          <c:extLst>
            <c:ext xmlns:c16="http://schemas.microsoft.com/office/drawing/2014/chart" uri="{C3380CC4-5D6E-409C-BE32-E72D297353CC}">
              <c16:uniqueId val="{00000005-E948-4CDB-9AD1-AAF492AD93D6}"/>
            </c:ext>
          </c:extLst>
        </c:ser>
        <c:ser>
          <c:idx val="8"/>
          <c:order val="6"/>
          <c:tx>
            <c:strRef>
              <c:f>Здравоохранение!$A$11</c:f>
              <c:strCache>
                <c:ptCount val="1"/>
                <c:pt idx="0">
                  <c:v>Ямало-Ненецкий автономный округ</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Здравоохранение!$B$3:$AC$3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Здравоохранение!$B$11:$AC$11</c:f>
              <c:numCache>
                <c:formatCode>General</c:formatCode>
                <c:ptCount val="28"/>
                <c:pt idx="0">
                  <c:v>86.7</c:v>
                </c:pt>
                <c:pt idx="1">
                  <c:v>88.2</c:v>
                </c:pt>
                <c:pt idx="2">
                  <c:v>89.2</c:v>
                </c:pt>
                <c:pt idx="3">
                  <c:v>89.1</c:v>
                </c:pt>
                <c:pt idx="4">
                  <c:v>87.4</c:v>
                </c:pt>
                <c:pt idx="5">
                  <c:v>87</c:v>
                </c:pt>
                <c:pt idx="6">
                  <c:v>87.2</c:v>
                </c:pt>
                <c:pt idx="7">
                  <c:v>84.3</c:v>
                </c:pt>
                <c:pt idx="8">
                  <c:v>84.3</c:v>
                </c:pt>
                <c:pt idx="9">
                  <c:v>84.9</c:v>
                </c:pt>
                <c:pt idx="10">
                  <c:v>86.3</c:v>
                </c:pt>
                <c:pt idx="11">
                  <c:v>88.4</c:v>
                </c:pt>
                <c:pt idx="12">
                  <c:v>91.5</c:v>
                </c:pt>
                <c:pt idx="13">
                  <c:v>88.4</c:v>
                </c:pt>
                <c:pt idx="14">
                  <c:v>98</c:v>
                </c:pt>
                <c:pt idx="15">
                  <c:v>104.2</c:v>
                </c:pt>
                <c:pt idx="16">
                  <c:v>100.4</c:v>
                </c:pt>
                <c:pt idx="17">
                  <c:v>104.1</c:v>
                </c:pt>
                <c:pt idx="18">
                  <c:v>106.6</c:v>
                </c:pt>
                <c:pt idx="19">
                  <c:v>111</c:v>
                </c:pt>
                <c:pt idx="20">
                  <c:v>117.2</c:v>
                </c:pt>
                <c:pt idx="21">
                  <c:v>115.9</c:v>
                </c:pt>
                <c:pt idx="22">
                  <c:v>121.9</c:v>
                </c:pt>
                <c:pt idx="23">
                  <c:v>128.19999999999999</c:v>
                </c:pt>
                <c:pt idx="24">
                  <c:v>129.1</c:v>
                </c:pt>
                <c:pt idx="25">
                  <c:v>131.80000000000001</c:v>
                </c:pt>
                <c:pt idx="26">
                  <c:v>131.80000000000001</c:v>
                </c:pt>
                <c:pt idx="27">
                  <c:v>130.19999999999999</c:v>
                </c:pt>
              </c:numCache>
            </c:numRef>
          </c:yVal>
          <c:smooth val="0"/>
          <c:extLst>
            <c:ext xmlns:c16="http://schemas.microsoft.com/office/drawing/2014/chart" uri="{C3380CC4-5D6E-409C-BE32-E72D297353CC}">
              <c16:uniqueId val="{00000006-E948-4CDB-9AD1-AAF492AD93D6}"/>
            </c:ext>
          </c:extLst>
        </c:ser>
        <c:ser>
          <c:idx val="9"/>
          <c:order val="7"/>
          <c:tx>
            <c:strRef>
              <c:f>Здравоохранение!$A$12</c:f>
              <c:strCache>
                <c:ptCount val="1"/>
                <c:pt idx="0">
                  <c:v>Тюменская область без ХМАО и ЯНАО</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Здравоохранение!$B$3:$AC$3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Здравоохранение!$B$12:$AC$12</c:f>
              <c:numCache>
                <c:formatCode>0.0</c:formatCode>
                <c:ptCount val="28"/>
                <c:pt idx="0">
                  <c:v>71.841327623126332</c:v>
                </c:pt>
                <c:pt idx="1">
                  <c:v>81.066810966810948</c:v>
                </c:pt>
                <c:pt idx="2">
                  <c:v>82.696363636363685</c:v>
                </c:pt>
                <c:pt idx="3">
                  <c:v>84.459693877551004</c:v>
                </c:pt>
                <c:pt idx="4">
                  <c:v>86.28947368421052</c:v>
                </c:pt>
                <c:pt idx="5">
                  <c:v>90.49192364170338</c:v>
                </c:pt>
                <c:pt idx="6">
                  <c:v>90.061640798226165</c:v>
                </c:pt>
                <c:pt idx="7">
                  <c:v>89.056736526946139</c:v>
                </c:pt>
                <c:pt idx="8">
                  <c:v>88.956084656084656</c:v>
                </c:pt>
                <c:pt idx="9">
                  <c:v>95.426858877086502</c:v>
                </c:pt>
                <c:pt idx="10">
                  <c:v>96.199392097264436</c:v>
                </c:pt>
                <c:pt idx="11">
                  <c:v>108.21390374331551</c:v>
                </c:pt>
                <c:pt idx="12">
                  <c:v>112.91099236641223</c:v>
                </c:pt>
                <c:pt idx="13">
                  <c:v>119.91185410334349</c:v>
                </c:pt>
                <c:pt idx="14">
                  <c:v>123.20513207547171</c:v>
                </c:pt>
                <c:pt idx="15">
                  <c:v>125.07908545727132</c:v>
                </c:pt>
                <c:pt idx="16" formatCode="General">
                  <c:v>130.19999999999999</c:v>
                </c:pt>
                <c:pt idx="17" formatCode="General">
                  <c:v>130.69999999999999</c:v>
                </c:pt>
                <c:pt idx="18" formatCode="General">
                  <c:v>135.30000000000001</c:v>
                </c:pt>
                <c:pt idx="19" formatCode="General">
                  <c:v>135.1</c:v>
                </c:pt>
                <c:pt idx="20" formatCode="General">
                  <c:v>138.6</c:v>
                </c:pt>
                <c:pt idx="21" formatCode="General">
                  <c:v>144.19999999999999</c:v>
                </c:pt>
                <c:pt idx="22" formatCode="General">
                  <c:v>145.19999999999999</c:v>
                </c:pt>
                <c:pt idx="23" formatCode="General">
                  <c:v>146.80000000000001</c:v>
                </c:pt>
                <c:pt idx="24" formatCode="General">
                  <c:v>147.1</c:v>
                </c:pt>
                <c:pt idx="25" formatCode="General">
                  <c:v>146.9</c:v>
                </c:pt>
                <c:pt idx="26" formatCode="General">
                  <c:v>141.80000000000001</c:v>
                </c:pt>
                <c:pt idx="27" formatCode="General">
                  <c:v>132.5</c:v>
                </c:pt>
              </c:numCache>
            </c:numRef>
          </c:yVal>
          <c:smooth val="0"/>
          <c:extLst>
            <c:ext xmlns:c16="http://schemas.microsoft.com/office/drawing/2014/chart" uri="{C3380CC4-5D6E-409C-BE32-E72D297353CC}">
              <c16:uniqueId val="{00000007-E948-4CDB-9AD1-AAF492AD93D6}"/>
            </c:ext>
          </c:extLst>
        </c:ser>
        <c:ser>
          <c:idx val="1"/>
          <c:order val="8"/>
          <c:tx>
            <c:strRef>
              <c:f>Здравоохранение!$A$13</c:f>
              <c:strCache>
                <c:ptCount val="1"/>
                <c:pt idx="0">
                  <c:v>Челябинская область</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Здравоохранение!$B$3:$AC$3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Здравоохранение!$B$13:$AC$13</c:f>
              <c:numCache>
                <c:formatCode>General</c:formatCode>
                <c:ptCount val="28"/>
                <c:pt idx="0">
                  <c:v>71.900000000000006</c:v>
                </c:pt>
                <c:pt idx="1">
                  <c:v>77.3</c:v>
                </c:pt>
                <c:pt idx="2">
                  <c:v>80.3</c:v>
                </c:pt>
                <c:pt idx="3">
                  <c:v>80.8</c:v>
                </c:pt>
                <c:pt idx="4">
                  <c:v>81.7</c:v>
                </c:pt>
                <c:pt idx="5">
                  <c:v>84.4</c:v>
                </c:pt>
                <c:pt idx="6">
                  <c:v>82.8</c:v>
                </c:pt>
                <c:pt idx="7">
                  <c:v>82.2</c:v>
                </c:pt>
                <c:pt idx="8">
                  <c:v>84.2</c:v>
                </c:pt>
                <c:pt idx="9">
                  <c:v>84.1</c:v>
                </c:pt>
                <c:pt idx="10">
                  <c:v>82.9</c:v>
                </c:pt>
                <c:pt idx="11">
                  <c:v>83.6</c:v>
                </c:pt>
                <c:pt idx="12">
                  <c:v>83.5</c:v>
                </c:pt>
                <c:pt idx="13">
                  <c:v>85.2</c:v>
                </c:pt>
                <c:pt idx="14">
                  <c:v>101.7</c:v>
                </c:pt>
                <c:pt idx="15">
                  <c:v>106</c:v>
                </c:pt>
                <c:pt idx="16">
                  <c:v>106.4</c:v>
                </c:pt>
                <c:pt idx="17">
                  <c:v>102.3</c:v>
                </c:pt>
                <c:pt idx="18">
                  <c:v>107.5</c:v>
                </c:pt>
                <c:pt idx="19">
                  <c:v>113.7</c:v>
                </c:pt>
                <c:pt idx="20">
                  <c:v>125.6</c:v>
                </c:pt>
                <c:pt idx="21">
                  <c:v>131.19999999999999</c:v>
                </c:pt>
                <c:pt idx="22">
                  <c:v>131.4</c:v>
                </c:pt>
                <c:pt idx="23">
                  <c:v>133.5</c:v>
                </c:pt>
                <c:pt idx="24">
                  <c:v>134.9</c:v>
                </c:pt>
                <c:pt idx="25">
                  <c:v>135.30000000000001</c:v>
                </c:pt>
                <c:pt idx="26">
                  <c:v>125.1</c:v>
                </c:pt>
                <c:pt idx="27">
                  <c:v>125.9</c:v>
                </c:pt>
              </c:numCache>
            </c:numRef>
          </c:yVal>
          <c:smooth val="0"/>
          <c:extLst>
            <c:ext xmlns:c16="http://schemas.microsoft.com/office/drawing/2014/chart" uri="{C3380CC4-5D6E-409C-BE32-E72D297353CC}">
              <c16:uniqueId val="{00000008-E948-4CDB-9AD1-AAF492AD93D6}"/>
            </c:ext>
          </c:extLst>
        </c:ser>
        <c:dLbls>
          <c:showLegendKey val="0"/>
          <c:showVal val="0"/>
          <c:showCatName val="0"/>
          <c:showSerName val="0"/>
          <c:showPercent val="0"/>
          <c:showBubbleSize val="0"/>
        </c:dLbls>
        <c:axId val="472766328"/>
        <c:axId val="472765016"/>
      </c:scatterChart>
      <c:valAx>
        <c:axId val="472766328"/>
        <c:scaling>
          <c:orientation val="minMax"/>
          <c:max val="2021"/>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765016"/>
        <c:crosses val="autoZero"/>
        <c:crossBetween val="midCat"/>
      </c:valAx>
      <c:valAx>
        <c:axId val="472765016"/>
        <c:scaling>
          <c:orientation val="minMax"/>
          <c:max val="150"/>
          <c:min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766328"/>
        <c:crosses val="autoZero"/>
        <c:crossBetween val="midCat"/>
      </c:valAx>
      <c:spPr>
        <a:noFill/>
        <a:ln>
          <a:noFill/>
        </a:ln>
        <a:effectLst/>
      </c:spPr>
    </c:plotArea>
    <c:legend>
      <c:legendPos val="b"/>
      <c:legendEntry>
        <c:idx val="4"/>
        <c:delete val="1"/>
      </c:legendEntry>
      <c:layout>
        <c:manualLayout>
          <c:xMode val="edge"/>
          <c:yMode val="edge"/>
          <c:x val="2.9306020535691264E-2"/>
          <c:y val="0.83741185886687508"/>
          <c:w val="0.94610359456658133"/>
          <c:h val="0.147773276636842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Здравоохранение!$AE$4</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Здравоохранение!$AF$3:$BG$3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Здравоохранение!$AF$4:$BG$4</c:f>
              <c:numCache>
                <c:formatCode>General</c:formatCode>
                <c:ptCount val="28"/>
                <c:pt idx="0">
                  <c:v>80.400000000000006</c:v>
                </c:pt>
                <c:pt idx="1">
                  <c:v>90.3</c:v>
                </c:pt>
                <c:pt idx="2">
                  <c:v>88.7</c:v>
                </c:pt>
                <c:pt idx="3">
                  <c:v>89.7</c:v>
                </c:pt>
                <c:pt idx="4">
                  <c:v>89.8</c:v>
                </c:pt>
                <c:pt idx="5">
                  <c:v>89.8</c:v>
                </c:pt>
                <c:pt idx="6">
                  <c:v>92.9</c:v>
                </c:pt>
                <c:pt idx="7">
                  <c:v>93.6</c:v>
                </c:pt>
                <c:pt idx="8">
                  <c:v>92.4</c:v>
                </c:pt>
                <c:pt idx="9">
                  <c:v>92.2</c:v>
                </c:pt>
                <c:pt idx="10">
                  <c:v>92.3</c:v>
                </c:pt>
                <c:pt idx="11">
                  <c:v>92.6</c:v>
                </c:pt>
                <c:pt idx="12">
                  <c:v>92.1</c:v>
                </c:pt>
                <c:pt idx="13">
                  <c:v>92.1</c:v>
                </c:pt>
                <c:pt idx="14">
                  <c:v>93.9</c:v>
                </c:pt>
                <c:pt idx="15">
                  <c:v>93.5</c:v>
                </c:pt>
                <c:pt idx="16">
                  <c:v>94.7</c:v>
                </c:pt>
                <c:pt idx="17">
                  <c:v>93.5</c:v>
                </c:pt>
                <c:pt idx="18">
                  <c:v>94.3</c:v>
                </c:pt>
                <c:pt idx="19">
                  <c:v>94.6</c:v>
                </c:pt>
                <c:pt idx="20">
                  <c:v>95.9</c:v>
                </c:pt>
                <c:pt idx="21">
                  <c:v>94.6</c:v>
                </c:pt>
                <c:pt idx="22">
                  <c:v>95.5</c:v>
                </c:pt>
                <c:pt idx="23">
                  <c:v>96.3</c:v>
                </c:pt>
                <c:pt idx="24">
                  <c:v>98.4</c:v>
                </c:pt>
                <c:pt idx="25">
                  <c:v>98.4</c:v>
                </c:pt>
                <c:pt idx="26">
                  <c:v>98.1</c:v>
                </c:pt>
                <c:pt idx="27">
                  <c:v>99.2</c:v>
                </c:pt>
              </c:numCache>
            </c:numRef>
          </c:yVal>
          <c:smooth val="1"/>
          <c:extLst>
            <c:ext xmlns:c16="http://schemas.microsoft.com/office/drawing/2014/chart" uri="{C3380CC4-5D6E-409C-BE32-E72D297353CC}">
              <c16:uniqueId val="{00000000-EAEE-45BD-9C59-196D2282AA93}"/>
            </c:ext>
          </c:extLst>
        </c:ser>
        <c:ser>
          <c:idx val="1"/>
          <c:order val="1"/>
          <c:tx>
            <c:strRef>
              <c:f>Здравоохранение!$AE$5</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Здравоохранение!$AF$3:$BG$3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Здравоохранение!$AF$5:$BG$5</c:f>
              <c:numCache>
                <c:formatCode>General</c:formatCode>
                <c:ptCount val="28"/>
                <c:pt idx="0">
                  <c:v>82</c:v>
                </c:pt>
                <c:pt idx="1">
                  <c:v>86.4</c:v>
                </c:pt>
                <c:pt idx="2">
                  <c:v>86.9</c:v>
                </c:pt>
                <c:pt idx="3">
                  <c:v>88.3</c:v>
                </c:pt>
                <c:pt idx="4">
                  <c:v>87.7</c:v>
                </c:pt>
                <c:pt idx="5">
                  <c:v>87.7</c:v>
                </c:pt>
                <c:pt idx="6">
                  <c:v>90.4</c:v>
                </c:pt>
                <c:pt idx="7">
                  <c:v>90.3</c:v>
                </c:pt>
                <c:pt idx="8">
                  <c:v>88.6</c:v>
                </c:pt>
                <c:pt idx="9">
                  <c:v>87.9</c:v>
                </c:pt>
                <c:pt idx="10">
                  <c:v>87.8</c:v>
                </c:pt>
                <c:pt idx="11">
                  <c:v>87.6</c:v>
                </c:pt>
                <c:pt idx="12">
                  <c:v>87</c:v>
                </c:pt>
                <c:pt idx="13">
                  <c:v>86.7</c:v>
                </c:pt>
                <c:pt idx="14">
                  <c:v>88</c:v>
                </c:pt>
                <c:pt idx="15">
                  <c:v>88.2</c:v>
                </c:pt>
                <c:pt idx="16">
                  <c:v>86</c:v>
                </c:pt>
                <c:pt idx="17">
                  <c:v>86.5</c:v>
                </c:pt>
                <c:pt idx="18">
                  <c:v>86.6</c:v>
                </c:pt>
                <c:pt idx="19">
                  <c:v>87</c:v>
                </c:pt>
                <c:pt idx="20">
                  <c:v>87.5</c:v>
                </c:pt>
                <c:pt idx="21">
                  <c:v>86.1</c:v>
                </c:pt>
                <c:pt idx="22">
                  <c:v>86.8</c:v>
                </c:pt>
                <c:pt idx="23">
                  <c:v>87.3</c:v>
                </c:pt>
                <c:pt idx="24">
                  <c:v>88.7</c:v>
                </c:pt>
                <c:pt idx="25">
                  <c:v>88.7</c:v>
                </c:pt>
                <c:pt idx="26">
                  <c:v>88.3</c:v>
                </c:pt>
                <c:pt idx="27">
                  <c:v>89.7</c:v>
                </c:pt>
              </c:numCache>
            </c:numRef>
          </c:yVal>
          <c:smooth val="1"/>
          <c:extLst>
            <c:ext xmlns:c16="http://schemas.microsoft.com/office/drawing/2014/chart" uri="{C3380CC4-5D6E-409C-BE32-E72D297353CC}">
              <c16:uniqueId val="{00000001-EAEE-45BD-9C59-196D2282AA93}"/>
            </c:ext>
          </c:extLst>
        </c:ser>
        <c:ser>
          <c:idx val="2"/>
          <c:order val="2"/>
          <c:tx>
            <c:strRef>
              <c:f>Здравоохранение!$AE$6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Здравоохранение!$AF$3:$BG$3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Здравоохранение!$AF$6:$BG$6</c:f>
              <c:numCache>
                <c:formatCode>General</c:formatCode>
                <c:ptCount val="28"/>
                <c:pt idx="0">
                  <c:v>75.7</c:v>
                </c:pt>
                <c:pt idx="1">
                  <c:v>91</c:v>
                </c:pt>
                <c:pt idx="2">
                  <c:v>91.8</c:v>
                </c:pt>
                <c:pt idx="3">
                  <c:v>91.5</c:v>
                </c:pt>
                <c:pt idx="4">
                  <c:v>90.8</c:v>
                </c:pt>
                <c:pt idx="5">
                  <c:v>90.7</c:v>
                </c:pt>
                <c:pt idx="6">
                  <c:v>88.4</c:v>
                </c:pt>
                <c:pt idx="7">
                  <c:v>88</c:v>
                </c:pt>
                <c:pt idx="8">
                  <c:v>85.3</c:v>
                </c:pt>
                <c:pt idx="9">
                  <c:v>83.4</c:v>
                </c:pt>
                <c:pt idx="10">
                  <c:v>83.1</c:v>
                </c:pt>
                <c:pt idx="11">
                  <c:v>83.2</c:v>
                </c:pt>
                <c:pt idx="12">
                  <c:v>82.9</c:v>
                </c:pt>
                <c:pt idx="13">
                  <c:v>84</c:v>
                </c:pt>
                <c:pt idx="14">
                  <c:v>84.2</c:v>
                </c:pt>
                <c:pt idx="15">
                  <c:v>83.4</c:v>
                </c:pt>
                <c:pt idx="16">
                  <c:v>80.900000000000006</c:v>
                </c:pt>
                <c:pt idx="17">
                  <c:v>80.900000000000006</c:v>
                </c:pt>
                <c:pt idx="18">
                  <c:v>79.2</c:v>
                </c:pt>
                <c:pt idx="19">
                  <c:v>81.900000000000006</c:v>
                </c:pt>
                <c:pt idx="20">
                  <c:v>82.4</c:v>
                </c:pt>
                <c:pt idx="21">
                  <c:v>84.8</c:v>
                </c:pt>
                <c:pt idx="22">
                  <c:v>86</c:v>
                </c:pt>
                <c:pt idx="23">
                  <c:v>86.5</c:v>
                </c:pt>
                <c:pt idx="24">
                  <c:v>87.3</c:v>
                </c:pt>
                <c:pt idx="25">
                  <c:v>88.1</c:v>
                </c:pt>
                <c:pt idx="26">
                  <c:v>89</c:v>
                </c:pt>
                <c:pt idx="27">
                  <c:v>90.9</c:v>
                </c:pt>
              </c:numCache>
            </c:numRef>
          </c:yVal>
          <c:smooth val="1"/>
          <c:extLst>
            <c:ext xmlns:c16="http://schemas.microsoft.com/office/drawing/2014/chart" uri="{C3380CC4-5D6E-409C-BE32-E72D297353CC}">
              <c16:uniqueId val="{00000002-EAEE-45BD-9C59-196D2282AA93}"/>
            </c:ext>
          </c:extLst>
        </c:ser>
        <c:ser>
          <c:idx val="3"/>
          <c:order val="3"/>
          <c:tx>
            <c:strRef>
              <c:f>Здравоохранение!$AE$7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Здравоохранение!$AF$3:$BG$3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Здравоохранение!$AF$7:$BG$7</c:f>
              <c:numCache>
                <c:formatCode>General</c:formatCode>
                <c:ptCount val="28"/>
                <c:pt idx="0">
                  <c:v>77.599999999999994</c:v>
                </c:pt>
                <c:pt idx="1">
                  <c:v>86</c:v>
                </c:pt>
                <c:pt idx="2">
                  <c:v>90.2</c:v>
                </c:pt>
                <c:pt idx="3">
                  <c:v>90.7</c:v>
                </c:pt>
                <c:pt idx="4">
                  <c:v>89.1</c:v>
                </c:pt>
                <c:pt idx="5">
                  <c:v>89.8</c:v>
                </c:pt>
                <c:pt idx="6">
                  <c:v>91.2</c:v>
                </c:pt>
                <c:pt idx="7">
                  <c:v>92.2</c:v>
                </c:pt>
                <c:pt idx="8">
                  <c:v>90.6</c:v>
                </c:pt>
                <c:pt idx="9">
                  <c:v>90.1</c:v>
                </c:pt>
                <c:pt idx="10">
                  <c:v>91.6</c:v>
                </c:pt>
                <c:pt idx="11">
                  <c:v>90.8</c:v>
                </c:pt>
                <c:pt idx="12">
                  <c:v>90</c:v>
                </c:pt>
                <c:pt idx="13">
                  <c:v>89.2</c:v>
                </c:pt>
                <c:pt idx="14">
                  <c:v>90.1</c:v>
                </c:pt>
                <c:pt idx="15">
                  <c:v>92.2</c:v>
                </c:pt>
                <c:pt idx="16">
                  <c:v>89.2</c:v>
                </c:pt>
                <c:pt idx="17">
                  <c:v>89.6</c:v>
                </c:pt>
                <c:pt idx="18">
                  <c:v>89.9</c:v>
                </c:pt>
                <c:pt idx="19">
                  <c:v>89.2</c:v>
                </c:pt>
                <c:pt idx="20">
                  <c:v>90</c:v>
                </c:pt>
                <c:pt idx="21">
                  <c:v>90.4</c:v>
                </c:pt>
                <c:pt idx="22">
                  <c:v>90.7</c:v>
                </c:pt>
                <c:pt idx="23">
                  <c:v>92.5</c:v>
                </c:pt>
                <c:pt idx="24">
                  <c:v>92.1</c:v>
                </c:pt>
                <c:pt idx="25">
                  <c:v>91.5</c:v>
                </c:pt>
                <c:pt idx="26">
                  <c:v>89.6</c:v>
                </c:pt>
                <c:pt idx="27">
                  <c:v>93.3</c:v>
                </c:pt>
              </c:numCache>
            </c:numRef>
          </c:yVal>
          <c:smooth val="1"/>
          <c:extLst>
            <c:ext xmlns:c16="http://schemas.microsoft.com/office/drawing/2014/chart" uri="{C3380CC4-5D6E-409C-BE32-E72D297353CC}">
              <c16:uniqueId val="{00000003-EAEE-45BD-9C59-196D2282AA93}"/>
            </c:ext>
          </c:extLst>
        </c:ser>
        <c:ser>
          <c:idx val="5"/>
          <c:order val="4"/>
          <c:tx>
            <c:strRef>
              <c:f>Здравоохранение!$AE$9</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Здравоохранение!$AF$3:$BG$3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Здравоохранение!$AF$9:$BG$9</c:f>
              <c:numCache>
                <c:formatCode>General</c:formatCode>
                <c:ptCount val="28"/>
              </c:numCache>
            </c:numRef>
          </c:yVal>
          <c:smooth val="1"/>
          <c:extLst>
            <c:ext xmlns:c16="http://schemas.microsoft.com/office/drawing/2014/chart" uri="{C3380CC4-5D6E-409C-BE32-E72D297353CC}">
              <c16:uniqueId val="{00000004-EAEE-45BD-9C59-196D2282AA93}"/>
            </c:ext>
          </c:extLst>
        </c:ser>
        <c:ser>
          <c:idx val="6"/>
          <c:order val="5"/>
          <c:tx>
            <c:strRef>
              <c:f>Здравоохранение!$AE$10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Здравоохранение!$AF$3:$BG$3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Здравоохранение!$AF$10:$BG$10</c:f>
              <c:numCache>
                <c:formatCode>General</c:formatCode>
                <c:ptCount val="28"/>
                <c:pt idx="0">
                  <c:v>88.3</c:v>
                </c:pt>
                <c:pt idx="1">
                  <c:v>81.3</c:v>
                </c:pt>
                <c:pt idx="2">
                  <c:v>83.1</c:v>
                </c:pt>
                <c:pt idx="3">
                  <c:v>81.5</c:v>
                </c:pt>
                <c:pt idx="4">
                  <c:v>79.400000000000006</c:v>
                </c:pt>
                <c:pt idx="5">
                  <c:v>78.599999999999994</c:v>
                </c:pt>
                <c:pt idx="6">
                  <c:v>81.099999999999994</c:v>
                </c:pt>
                <c:pt idx="7">
                  <c:v>79.7</c:v>
                </c:pt>
                <c:pt idx="8">
                  <c:v>77.599999999999994</c:v>
                </c:pt>
                <c:pt idx="9">
                  <c:v>75.3</c:v>
                </c:pt>
                <c:pt idx="10">
                  <c:v>74.3</c:v>
                </c:pt>
                <c:pt idx="11">
                  <c:v>73.599999999999994</c:v>
                </c:pt>
                <c:pt idx="12">
                  <c:v>71.5</c:v>
                </c:pt>
                <c:pt idx="13">
                  <c:v>69.2</c:v>
                </c:pt>
                <c:pt idx="14">
                  <c:v>68.599999999999994</c:v>
                </c:pt>
                <c:pt idx="15">
                  <c:v>67.900000000000006</c:v>
                </c:pt>
                <c:pt idx="16">
                  <c:v>66.900000000000006</c:v>
                </c:pt>
                <c:pt idx="17">
                  <c:v>67.900000000000006</c:v>
                </c:pt>
                <c:pt idx="18">
                  <c:v>68.7</c:v>
                </c:pt>
                <c:pt idx="19">
                  <c:v>69.3</c:v>
                </c:pt>
                <c:pt idx="20">
                  <c:v>68.900000000000006</c:v>
                </c:pt>
                <c:pt idx="21">
                  <c:v>64.7</c:v>
                </c:pt>
                <c:pt idx="22">
                  <c:v>65.900000000000006</c:v>
                </c:pt>
                <c:pt idx="23">
                  <c:v>65</c:v>
                </c:pt>
                <c:pt idx="24">
                  <c:v>68.900000000000006</c:v>
                </c:pt>
                <c:pt idx="25">
                  <c:v>69.900000000000006</c:v>
                </c:pt>
                <c:pt idx="26">
                  <c:v>70.599999999999994</c:v>
                </c:pt>
                <c:pt idx="27">
                  <c:v>70.400000000000006</c:v>
                </c:pt>
              </c:numCache>
            </c:numRef>
          </c:yVal>
          <c:smooth val="1"/>
          <c:extLst>
            <c:ext xmlns:c16="http://schemas.microsoft.com/office/drawing/2014/chart" uri="{C3380CC4-5D6E-409C-BE32-E72D297353CC}">
              <c16:uniqueId val="{00000005-EAEE-45BD-9C59-196D2282AA93}"/>
            </c:ext>
          </c:extLst>
        </c:ser>
        <c:ser>
          <c:idx val="7"/>
          <c:order val="6"/>
          <c:tx>
            <c:strRef>
              <c:f>Здравоохранение!$AE$11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Здравоохранение!$AF$3:$BG$3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Здравоохранение!$AF$11:$BG$11</c:f>
              <c:numCache>
                <c:formatCode>General</c:formatCode>
                <c:ptCount val="28"/>
                <c:pt idx="0">
                  <c:v>82.8</c:v>
                </c:pt>
                <c:pt idx="1">
                  <c:v>77.2</c:v>
                </c:pt>
                <c:pt idx="2">
                  <c:v>79.8</c:v>
                </c:pt>
                <c:pt idx="3">
                  <c:v>78.900000000000006</c:v>
                </c:pt>
                <c:pt idx="4">
                  <c:v>77.599999999999994</c:v>
                </c:pt>
                <c:pt idx="5">
                  <c:v>77.2</c:v>
                </c:pt>
                <c:pt idx="6">
                  <c:v>76.900000000000006</c:v>
                </c:pt>
                <c:pt idx="7">
                  <c:v>76</c:v>
                </c:pt>
                <c:pt idx="8">
                  <c:v>75.900000000000006</c:v>
                </c:pt>
                <c:pt idx="9">
                  <c:v>74.5</c:v>
                </c:pt>
                <c:pt idx="10">
                  <c:v>73.2</c:v>
                </c:pt>
                <c:pt idx="11">
                  <c:v>72.5</c:v>
                </c:pt>
                <c:pt idx="12">
                  <c:v>74.3</c:v>
                </c:pt>
                <c:pt idx="13">
                  <c:v>74</c:v>
                </c:pt>
                <c:pt idx="14">
                  <c:v>75.599999999999994</c:v>
                </c:pt>
                <c:pt idx="15">
                  <c:v>74.3</c:v>
                </c:pt>
                <c:pt idx="16">
                  <c:v>71.7</c:v>
                </c:pt>
                <c:pt idx="17">
                  <c:v>74.5</c:v>
                </c:pt>
                <c:pt idx="18">
                  <c:v>76.400000000000006</c:v>
                </c:pt>
                <c:pt idx="19">
                  <c:v>76.3</c:v>
                </c:pt>
                <c:pt idx="20">
                  <c:v>77.099999999999994</c:v>
                </c:pt>
                <c:pt idx="21">
                  <c:v>71.099999999999994</c:v>
                </c:pt>
                <c:pt idx="22">
                  <c:v>71.5</c:v>
                </c:pt>
                <c:pt idx="23">
                  <c:v>67.5</c:v>
                </c:pt>
                <c:pt idx="24">
                  <c:v>69.2</c:v>
                </c:pt>
                <c:pt idx="25">
                  <c:v>69.099999999999994</c:v>
                </c:pt>
                <c:pt idx="26">
                  <c:v>67.2</c:v>
                </c:pt>
                <c:pt idx="27">
                  <c:v>66.2</c:v>
                </c:pt>
              </c:numCache>
            </c:numRef>
          </c:yVal>
          <c:smooth val="1"/>
          <c:extLst>
            <c:ext xmlns:c16="http://schemas.microsoft.com/office/drawing/2014/chart" uri="{C3380CC4-5D6E-409C-BE32-E72D297353CC}">
              <c16:uniqueId val="{00000006-EAEE-45BD-9C59-196D2282AA93}"/>
            </c:ext>
          </c:extLst>
        </c:ser>
        <c:ser>
          <c:idx val="8"/>
          <c:order val="7"/>
          <c:tx>
            <c:strRef>
              <c:f>Здравоохранение!$AE$12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Здравоохранение!$AF$3:$BG$3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Здравоохранение!$AF$12:$BG$12</c:f>
              <c:numCache>
                <c:formatCode>0.0</c:formatCode>
                <c:ptCount val="28"/>
                <c:pt idx="0">
                  <c:v>89.76716630977873</c:v>
                </c:pt>
                <c:pt idx="1">
                  <c:v>88.698484848484867</c:v>
                </c:pt>
                <c:pt idx="2">
                  <c:v>85.901745454545448</c:v>
                </c:pt>
                <c:pt idx="3">
                  <c:v>86.190670553935846</c:v>
                </c:pt>
                <c:pt idx="4">
                  <c:v>85.716228070175433</c:v>
                </c:pt>
                <c:pt idx="5">
                  <c:v>83.83524229074888</c:v>
                </c:pt>
                <c:pt idx="6">
                  <c:v>90.29467849223947</c:v>
                </c:pt>
                <c:pt idx="7">
                  <c:v>88.393188622754479</c:v>
                </c:pt>
                <c:pt idx="8">
                  <c:v>86.657671957671965</c:v>
                </c:pt>
                <c:pt idx="9">
                  <c:v>85.847040971168454</c:v>
                </c:pt>
                <c:pt idx="10">
                  <c:v>87.305547112461966</c:v>
                </c:pt>
                <c:pt idx="11">
                  <c:v>89.636287242169615</c:v>
                </c:pt>
                <c:pt idx="12">
                  <c:v>88.812595419847312</c:v>
                </c:pt>
                <c:pt idx="13">
                  <c:v>89.309802431610947</c:v>
                </c:pt>
                <c:pt idx="14">
                  <c:v>91.894037735849111</c:v>
                </c:pt>
                <c:pt idx="15">
                  <c:v>91.475787106446759</c:v>
                </c:pt>
                <c:pt idx="16" formatCode="General">
                  <c:v>97.3</c:v>
                </c:pt>
                <c:pt idx="17" formatCode="General">
                  <c:v>97.6</c:v>
                </c:pt>
                <c:pt idx="18" formatCode="General">
                  <c:v>98.7</c:v>
                </c:pt>
                <c:pt idx="19" formatCode="General">
                  <c:v>96.2</c:v>
                </c:pt>
                <c:pt idx="20" formatCode="General">
                  <c:v>96.5</c:v>
                </c:pt>
                <c:pt idx="21" formatCode="General">
                  <c:v>94.8</c:v>
                </c:pt>
                <c:pt idx="22" formatCode="General">
                  <c:v>95.3</c:v>
                </c:pt>
                <c:pt idx="23" formatCode="General">
                  <c:v>94.1</c:v>
                </c:pt>
                <c:pt idx="24" formatCode="General">
                  <c:v>92.4</c:v>
                </c:pt>
                <c:pt idx="25" formatCode="General">
                  <c:v>91.2</c:v>
                </c:pt>
                <c:pt idx="26" formatCode="General">
                  <c:v>90.3</c:v>
                </c:pt>
                <c:pt idx="27" formatCode="General">
                  <c:v>91</c:v>
                </c:pt>
              </c:numCache>
            </c:numRef>
          </c:yVal>
          <c:smooth val="1"/>
          <c:extLst>
            <c:ext xmlns:c16="http://schemas.microsoft.com/office/drawing/2014/chart" uri="{C3380CC4-5D6E-409C-BE32-E72D297353CC}">
              <c16:uniqueId val="{00000007-EAEE-45BD-9C59-196D2282AA93}"/>
            </c:ext>
          </c:extLst>
        </c:ser>
        <c:ser>
          <c:idx val="9"/>
          <c:order val="8"/>
          <c:tx>
            <c:strRef>
              <c:f>Здравоохранение!$AE$13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Здравоохранение!$AF$3:$BG$3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Здравоохранение!$AF$13:$BG$13</c:f>
              <c:numCache>
                <c:formatCode>General</c:formatCode>
                <c:ptCount val="28"/>
                <c:pt idx="0">
                  <c:v>85.2</c:v>
                </c:pt>
                <c:pt idx="1">
                  <c:v>88.1</c:v>
                </c:pt>
                <c:pt idx="2">
                  <c:v>84.5</c:v>
                </c:pt>
                <c:pt idx="3">
                  <c:v>89.4</c:v>
                </c:pt>
                <c:pt idx="4">
                  <c:v>90.5</c:v>
                </c:pt>
                <c:pt idx="5">
                  <c:v>91.1</c:v>
                </c:pt>
                <c:pt idx="6">
                  <c:v>96.2</c:v>
                </c:pt>
                <c:pt idx="7">
                  <c:v>96.7</c:v>
                </c:pt>
                <c:pt idx="8">
                  <c:v>95.1</c:v>
                </c:pt>
                <c:pt idx="9">
                  <c:v>95.6</c:v>
                </c:pt>
                <c:pt idx="10">
                  <c:v>93.5</c:v>
                </c:pt>
                <c:pt idx="11">
                  <c:v>93.3</c:v>
                </c:pt>
                <c:pt idx="12">
                  <c:v>93.4</c:v>
                </c:pt>
                <c:pt idx="13">
                  <c:v>94.3</c:v>
                </c:pt>
                <c:pt idx="14">
                  <c:v>97.1</c:v>
                </c:pt>
                <c:pt idx="15">
                  <c:v>96.3</c:v>
                </c:pt>
                <c:pt idx="16">
                  <c:v>93.7</c:v>
                </c:pt>
                <c:pt idx="17">
                  <c:v>94</c:v>
                </c:pt>
                <c:pt idx="18">
                  <c:v>93</c:v>
                </c:pt>
                <c:pt idx="19">
                  <c:v>95</c:v>
                </c:pt>
                <c:pt idx="20">
                  <c:v>96</c:v>
                </c:pt>
                <c:pt idx="21">
                  <c:v>94.6</c:v>
                </c:pt>
                <c:pt idx="22">
                  <c:v>95.9</c:v>
                </c:pt>
                <c:pt idx="23">
                  <c:v>98</c:v>
                </c:pt>
                <c:pt idx="24">
                  <c:v>100.9</c:v>
                </c:pt>
                <c:pt idx="25">
                  <c:v>101.7</c:v>
                </c:pt>
                <c:pt idx="26">
                  <c:v>103.2</c:v>
                </c:pt>
                <c:pt idx="27">
                  <c:v>103.6</c:v>
                </c:pt>
              </c:numCache>
            </c:numRef>
          </c:yVal>
          <c:smooth val="1"/>
          <c:extLst>
            <c:ext xmlns:c16="http://schemas.microsoft.com/office/drawing/2014/chart" uri="{C3380CC4-5D6E-409C-BE32-E72D297353CC}">
              <c16:uniqueId val="{00000008-EAEE-45BD-9C59-196D2282AA93}"/>
            </c:ext>
          </c:extLst>
        </c:ser>
        <c:dLbls>
          <c:showLegendKey val="0"/>
          <c:showVal val="0"/>
          <c:showCatName val="0"/>
          <c:showSerName val="0"/>
          <c:showPercent val="0"/>
          <c:showBubbleSize val="0"/>
        </c:dLbls>
        <c:axId val="466903584"/>
        <c:axId val="466902600"/>
      </c:scatterChart>
      <c:valAx>
        <c:axId val="46690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902600"/>
        <c:crosses val="autoZero"/>
        <c:crossBetween val="midCat"/>
      </c:valAx>
      <c:valAx>
        <c:axId val="466902600"/>
        <c:scaling>
          <c:orientation val="minMax"/>
          <c:max val="105"/>
          <c:min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903584"/>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Вместе!$DT$3</c:f>
              <c:strCache>
                <c:ptCount val="1"/>
                <c:pt idx="0">
                  <c:v>Изменение численности населения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Вместе!$DU$2:$EP$2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Вместе!$DU$3:$EP$3</c:f>
              <c:numCache>
                <c:formatCode>General</c:formatCode>
                <c:ptCount val="22"/>
                <c:pt idx="0">
                  <c:v>2.6171390231828848</c:v>
                </c:pt>
                <c:pt idx="1">
                  <c:v>3.1466462648428379</c:v>
                </c:pt>
                <c:pt idx="2">
                  <c:v>2.8227048362209124</c:v>
                </c:pt>
                <c:pt idx="3">
                  <c:v>1.9143189598104615</c:v>
                </c:pt>
                <c:pt idx="4">
                  <c:v>2.1140821108216912</c:v>
                </c:pt>
                <c:pt idx="5">
                  <c:v>6.2395102283170703</c:v>
                </c:pt>
                <c:pt idx="6">
                  <c:v>3.737121211666854</c:v>
                </c:pt>
                <c:pt idx="7">
                  <c:v>10.071437542211472</c:v>
                </c:pt>
                <c:pt idx="8">
                  <c:v>66.407077936015227</c:v>
                </c:pt>
                <c:pt idx="9">
                  <c:v>9.4990511520422718</c:v>
                </c:pt>
                <c:pt idx="10">
                  <c:v>36.07446003291895</c:v>
                </c:pt>
                <c:pt idx="11">
                  <c:v>10.243158105215491</c:v>
                </c:pt>
                <c:pt idx="12">
                  <c:v>5.1782880053804137</c:v>
                </c:pt>
                <c:pt idx="13">
                  <c:v>4.3315741290276577</c:v>
                </c:pt>
                <c:pt idx="14">
                  <c:v>0.42736035748096862</c:v>
                </c:pt>
                <c:pt idx="15">
                  <c:v>5.7888675918789652</c:v>
                </c:pt>
                <c:pt idx="16">
                  <c:v>5.0681365639111062</c:v>
                </c:pt>
                <c:pt idx="17">
                  <c:v>16.078183977054124</c:v>
                </c:pt>
                <c:pt idx="18">
                  <c:v>13.045420391742034</c:v>
                </c:pt>
                <c:pt idx="19">
                  <c:v>40.474271663201876</c:v>
                </c:pt>
                <c:pt idx="20">
                  <c:v>1.8494035975004244</c:v>
                </c:pt>
                <c:pt idx="21">
                  <c:v>1.2691540799324648</c:v>
                </c:pt>
              </c:numCache>
            </c:numRef>
          </c:yVal>
          <c:smooth val="1"/>
          <c:extLst>
            <c:ext xmlns:c16="http://schemas.microsoft.com/office/drawing/2014/chart" uri="{C3380CC4-5D6E-409C-BE32-E72D297353CC}">
              <c16:uniqueId val="{00000000-3540-466C-B646-4C366B1DF549}"/>
            </c:ext>
          </c:extLst>
        </c:ser>
        <c:dLbls>
          <c:showLegendKey val="0"/>
          <c:showVal val="0"/>
          <c:showCatName val="0"/>
          <c:showSerName val="0"/>
          <c:showPercent val="0"/>
          <c:showBubbleSize val="0"/>
        </c:dLbls>
        <c:axId val="781527080"/>
        <c:axId val="781529704"/>
      </c:scatterChart>
      <c:valAx>
        <c:axId val="781527080"/>
        <c:scaling>
          <c:orientation val="minMax"/>
          <c:max val="2021"/>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1529704"/>
        <c:crosses val="autoZero"/>
        <c:crossBetween val="midCat"/>
      </c:valAx>
      <c:valAx>
        <c:axId val="7815297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1527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'Земельная площадь по видам угод'!$E$41</c:f>
              <c:strCache>
                <c:ptCount val="1"/>
                <c:pt idx="0">
                  <c:v>Поверхностные воды, включая болота</c:v>
                </c:pt>
              </c:strCache>
            </c:strRef>
          </c:tx>
          <c:spPr>
            <a:solidFill>
              <a:schemeClr val="accent1"/>
            </a:solidFill>
            <a:ln>
              <a:noFill/>
            </a:ln>
            <a:effectLst/>
          </c:spPr>
          <c:invertIfNegative val="0"/>
          <c:cat>
            <c:strRef>
              <c:f>'Земельная площадь по видам угод'!$A$42:$A$49</c:f>
              <c:strCache>
                <c:ptCount val="8"/>
                <c:pt idx="0">
                  <c:v>Российская Федерация,млн га</c:v>
                </c:pt>
                <c:pt idx="1">
                  <c:v>Уральский ФО</c:v>
                </c:pt>
                <c:pt idx="2">
                  <c:v>Курганская область</c:v>
                </c:pt>
                <c:pt idx="3">
                  <c:v>Свердловская область</c:v>
                </c:pt>
                <c:pt idx="4">
                  <c:v>ХМАО</c:v>
                </c:pt>
                <c:pt idx="5">
                  <c:v>ЯНАО</c:v>
                </c:pt>
                <c:pt idx="6">
                  <c:v>Тюменская область без АО</c:v>
                </c:pt>
                <c:pt idx="7">
                  <c:v>Челябинская область</c:v>
                </c:pt>
              </c:strCache>
            </c:strRef>
          </c:cat>
          <c:val>
            <c:numRef>
              <c:f>'Земельная площадь по видам угод'!$E$42:$E$49</c:f>
              <c:numCache>
                <c:formatCode>General</c:formatCode>
                <c:ptCount val="8"/>
                <c:pt idx="0">
                  <c:v>13.2</c:v>
                </c:pt>
                <c:pt idx="1">
                  <c:v>32.9</c:v>
                </c:pt>
                <c:pt idx="2">
                  <c:v>9.8000000000000007</c:v>
                </c:pt>
                <c:pt idx="3">
                  <c:v>11.9</c:v>
                </c:pt>
                <c:pt idx="4">
                  <c:v>43.2</c:v>
                </c:pt>
                <c:pt idx="5">
                  <c:v>36.6</c:v>
                </c:pt>
                <c:pt idx="6">
                  <c:v>32</c:v>
                </c:pt>
                <c:pt idx="7">
                  <c:v>5.3</c:v>
                </c:pt>
              </c:numCache>
            </c:numRef>
          </c:val>
          <c:extLst>
            <c:ext xmlns:c16="http://schemas.microsoft.com/office/drawing/2014/chart" uri="{C3380CC4-5D6E-409C-BE32-E72D297353CC}">
              <c16:uniqueId val="{00000000-972C-449E-8C02-B821D33F3A53}"/>
            </c:ext>
          </c:extLst>
        </c:ser>
        <c:ser>
          <c:idx val="1"/>
          <c:order val="1"/>
          <c:tx>
            <c:strRef>
              <c:f>'Земельная площадь по видам угод'!$F$41</c:f>
              <c:strCache>
                <c:ptCount val="1"/>
                <c:pt idx="0">
                  <c:v>Лесные земли</c:v>
                </c:pt>
              </c:strCache>
            </c:strRef>
          </c:tx>
          <c:spPr>
            <a:solidFill>
              <a:schemeClr val="accent2"/>
            </a:solidFill>
            <a:ln>
              <a:noFill/>
            </a:ln>
            <a:effectLst/>
          </c:spPr>
          <c:invertIfNegative val="0"/>
          <c:cat>
            <c:strRef>
              <c:f>'Земельная площадь по видам угод'!$A$42:$A$49</c:f>
              <c:strCache>
                <c:ptCount val="8"/>
                <c:pt idx="0">
                  <c:v>Российская Федерация,млн га</c:v>
                </c:pt>
                <c:pt idx="1">
                  <c:v>Уральский ФО</c:v>
                </c:pt>
                <c:pt idx="2">
                  <c:v>Курганская область</c:v>
                </c:pt>
                <c:pt idx="3">
                  <c:v>Свердловская область</c:v>
                </c:pt>
                <c:pt idx="4">
                  <c:v>ХМАО</c:v>
                </c:pt>
                <c:pt idx="5">
                  <c:v>ЯНАО</c:v>
                </c:pt>
                <c:pt idx="6">
                  <c:v>Тюменская область без АО</c:v>
                </c:pt>
                <c:pt idx="7">
                  <c:v>Челябинская область</c:v>
                </c:pt>
              </c:strCache>
            </c:strRef>
          </c:cat>
          <c:val>
            <c:numRef>
              <c:f>'Земельная площадь по видам угод'!$F$42:$F$49</c:f>
              <c:numCache>
                <c:formatCode>General</c:formatCode>
                <c:ptCount val="8"/>
                <c:pt idx="0">
                  <c:v>50.8</c:v>
                </c:pt>
                <c:pt idx="1">
                  <c:v>40</c:v>
                </c:pt>
                <c:pt idx="2">
                  <c:v>24.6</c:v>
                </c:pt>
                <c:pt idx="3">
                  <c:v>70.2</c:v>
                </c:pt>
                <c:pt idx="4">
                  <c:v>53.7</c:v>
                </c:pt>
                <c:pt idx="5">
                  <c:v>24.4</c:v>
                </c:pt>
                <c:pt idx="6">
                  <c:v>44.4</c:v>
                </c:pt>
                <c:pt idx="7">
                  <c:v>30.6</c:v>
                </c:pt>
              </c:numCache>
            </c:numRef>
          </c:val>
          <c:extLst>
            <c:ext xmlns:c16="http://schemas.microsoft.com/office/drawing/2014/chart" uri="{C3380CC4-5D6E-409C-BE32-E72D297353CC}">
              <c16:uniqueId val="{00000001-972C-449E-8C02-B821D33F3A53}"/>
            </c:ext>
          </c:extLst>
        </c:ser>
        <c:ser>
          <c:idx val="2"/>
          <c:order val="2"/>
          <c:tx>
            <c:strRef>
              <c:f>'Земельная площадь по видам угод'!$G$41</c:f>
              <c:strCache>
                <c:ptCount val="1"/>
                <c:pt idx="0">
                  <c:v>Сельскохозяйственные угодья</c:v>
                </c:pt>
              </c:strCache>
            </c:strRef>
          </c:tx>
          <c:spPr>
            <a:solidFill>
              <a:schemeClr val="accent3"/>
            </a:solidFill>
            <a:ln>
              <a:noFill/>
            </a:ln>
            <a:effectLst/>
          </c:spPr>
          <c:invertIfNegative val="0"/>
          <c:cat>
            <c:strRef>
              <c:f>'Земельная площадь по видам угод'!$A$42:$A$49</c:f>
              <c:strCache>
                <c:ptCount val="8"/>
                <c:pt idx="0">
                  <c:v>Российская Федерация,млн га</c:v>
                </c:pt>
                <c:pt idx="1">
                  <c:v>Уральский ФО</c:v>
                </c:pt>
                <c:pt idx="2">
                  <c:v>Курганская область</c:v>
                </c:pt>
                <c:pt idx="3">
                  <c:v>Свердловская область</c:v>
                </c:pt>
                <c:pt idx="4">
                  <c:v>ХМАО</c:v>
                </c:pt>
                <c:pt idx="5">
                  <c:v>ЯНАО</c:v>
                </c:pt>
                <c:pt idx="6">
                  <c:v>Тюменская область без АО</c:v>
                </c:pt>
                <c:pt idx="7">
                  <c:v>Челябинская область</c:v>
                </c:pt>
              </c:strCache>
            </c:strRef>
          </c:cat>
          <c:val>
            <c:numRef>
              <c:f>'Земельная площадь по видам угод'!$G$42:$G$49</c:f>
              <c:numCache>
                <c:formatCode>General</c:formatCode>
                <c:ptCount val="8"/>
                <c:pt idx="0">
                  <c:v>13</c:v>
                </c:pt>
                <c:pt idx="1">
                  <c:v>9</c:v>
                </c:pt>
                <c:pt idx="2">
                  <c:v>62.4</c:v>
                </c:pt>
                <c:pt idx="3">
                  <c:v>13.2</c:v>
                </c:pt>
                <c:pt idx="4">
                  <c:v>1.2</c:v>
                </c:pt>
                <c:pt idx="5">
                  <c:v>0.3</c:v>
                </c:pt>
                <c:pt idx="6">
                  <c:v>21.1</c:v>
                </c:pt>
                <c:pt idx="7">
                  <c:v>57.5</c:v>
                </c:pt>
              </c:numCache>
            </c:numRef>
          </c:val>
          <c:extLst>
            <c:ext xmlns:c16="http://schemas.microsoft.com/office/drawing/2014/chart" uri="{C3380CC4-5D6E-409C-BE32-E72D297353CC}">
              <c16:uniqueId val="{00000002-972C-449E-8C02-B821D33F3A53}"/>
            </c:ext>
          </c:extLst>
        </c:ser>
        <c:ser>
          <c:idx val="3"/>
          <c:order val="3"/>
          <c:tx>
            <c:strRef>
              <c:f>'Земельная площадь по видам угод'!$H$41</c:f>
              <c:strCache>
                <c:ptCount val="1"/>
                <c:pt idx="0">
                  <c:v>Остальное</c:v>
                </c:pt>
              </c:strCache>
            </c:strRef>
          </c:tx>
          <c:spPr>
            <a:solidFill>
              <a:schemeClr val="accent4"/>
            </a:solidFill>
            <a:ln>
              <a:noFill/>
            </a:ln>
            <a:effectLst/>
          </c:spPr>
          <c:invertIfNegative val="0"/>
          <c:cat>
            <c:strRef>
              <c:f>'Земельная площадь по видам угод'!$A$42:$A$49</c:f>
              <c:strCache>
                <c:ptCount val="8"/>
                <c:pt idx="0">
                  <c:v>Российская Федерация,млн га</c:v>
                </c:pt>
                <c:pt idx="1">
                  <c:v>Уральский ФО</c:v>
                </c:pt>
                <c:pt idx="2">
                  <c:v>Курганская область</c:v>
                </c:pt>
                <c:pt idx="3">
                  <c:v>Свердловская область</c:v>
                </c:pt>
                <c:pt idx="4">
                  <c:v>ХМАО</c:v>
                </c:pt>
                <c:pt idx="5">
                  <c:v>ЯНАО</c:v>
                </c:pt>
                <c:pt idx="6">
                  <c:v>Тюменская область без АО</c:v>
                </c:pt>
                <c:pt idx="7">
                  <c:v>Челябинская область</c:v>
                </c:pt>
              </c:strCache>
            </c:strRef>
          </c:cat>
          <c:val>
            <c:numRef>
              <c:f>'Земельная площадь по видам угод'!$H$42:$H$49</c:f>
              <c:numCache>
                <c:formatCode>General</c:formatCode>
                <c:ptCount val="8"/>
                <c:pt idx="0">
                  <c:v>23</c:v>
                </c:pt>
                <c:pt idx="1">
                  <c:v>18.099999999999994</c:v>
                </c:pt>
                <c:pt idx="2">
                  <c:v>3.1999999999999886</c:v>
                </c:pt>
                <c:pt idx="3">
                  <c:v>4.6999999999999886</c:v>
                </c:pt>
                <c:pt idx="4">
                  <c:v>1.8999999999999915</c:v>
                </c:pt>
                <c:pt idx="5">
                  <c:v>38.700000000000003</c:v>
                </c:pt>
                <c:pt idx="6">
                  <c:v>2.5</c:v>
                </c:pt>
                <c:pt idx="7">
                  <c:v>6.5999999999999943</c:v>
                </c:pt>
              </c:numCache>
            </c:numRef>
          </c:val>
          <c:extLst>
            <c:ext xmlns:c16="http://schemas.microsoft.com/office/drawing/2014/chart" uri="{C3380CC4-5D6E-409C-BE32-E72D297353CC}">
              <c16:uniqueId val="{00000003-972C-449E-8C02-B821D33F3A53}"/>
            </c:ext>
          </c:extLst>
        </c:ser>
        <c:dLbls>
          <c:showLegendKey val="0"/>
          <c:showVal val="0"/>
          <c:showCatName val="0"/>
          <c:showSerName val="0"/>
          <c:showPercent val="0"/>
          <c:showBubbleSize val="0"/>
        </c:dLbls>
        <c:gapWidth val="219"/>
        <c:overlap val="100"/>
        <c:axId val="305999872"/>
        <c:axId val="306001408"/>
      </c:barChart>
      <c:catAx>
        <c:axId val="30599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001408"/>
        <c:crosses val="autoZero"/>
        <c:auto val="1"/>
        <c:lblAlgn val="ctr"/>
        <c:lblOffset val="100"/>
        <c:noMultiLvlLbl val="0"/>
      </c:catAx>
      <c:valAx>
        <c:axId val="3060014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99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07364175324737E-2"/>
          <c:y val="4.793028322440087E-2"/>
          <c:w val="0.86472809908346127"/>
          <c:h val="0.5679021494862162"/>
        </c:manualLayout>
      </c:layout>
      <c:scatterChart>
        <c:scatterStyle val="smoothMarker"/>
        <c:varyColors val="0"/>
        <c:ser>
          <c:idx val="2"/>
          <c:order val="0"/>
          <c:tx>
            <c:strRef>
              <c:f>Вместе!$BE$6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Вместе!$BM$3:$CH$3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Вместе!$BM$6:$CH$6</c:f>
              <c:numCache>
                <c:formatCode>General</c:formatCode>
                <c:ptCount val="22"/>
                <c:pt idx="0">
                  <c:v>-207.5</c:v>
                </c:pt>
                <c:pt idx="1">
                  <c:v>-240</c:v>
                </c:pt>
                <c:pt idx="2">
                  <c:v>-208.51</c:v>
                </c:pt>
                <c:pt idx="3">
                  <c:v>-114.55</c:v>
                </c:pt>
                <c:pt idx="4">
                  <c:v>-150</c:v>
                </c:pt>
                <c:pt idx="5">
                  <c:v>-1676.47</c:v>
                </c:pt>
                <c:pt idx="6">
                  <c:v>-538.46</c:v>
                </c:pt>
                <c:pt idx="7">
                  <c:v>-1487.5</c:v>
                </c:pt>
                <c:pt idx="8">
                  <c:v>-9500</c:v>
                </c:pt>
                <c:pt idx="9">
                  <c:v>-1185.71</c:v>
                </c:pt>
                <c:pt idx="10">
                  <c:v>-5000</c:v>
                </c:pt>
                <c:pt idx="11">
                  <c:v>-1200</c:v>
                </c:pt>
                <c:pt idx="12">
                  <c:v>-660</c:v>
                </c:pt>
                <c:pt idx="13">
                  <c:v>-563.64</c:v>
                </c:pt>
                <c:pt idx="14">
                  <c:v>-144.19999999999999</c:v>
                </c:pt>
                <c:pt idx="15">
                  <c:v>-584.21</c:v>
                </c:pt>
                <c:pt idx="16">
                  <c:v>-616.66999999999996</c:v>
                </c:pt>
                <c:pt idx="17">
                  <c:v>-1980</c:v>
                </c:pt>
                <c:pt idx="18">
                  <c:v>-1757.14</c:v>
                </c:pt>
                <c:pt idx="19">
                  <c:v>-4700</c:v>
                </c:pt>
                <c:pt idx="20">
                  <c:v>-148.72</c:v>
                </c:pt>
                <c:pt idx="21">
                  <c:v>-102.38</c:v>
                </c:pt>
              </c:numCache>
            </c:numRef>
          </c:yVal>
          <c:smooth val="1"/>
          <c:extLst>
            <c:ext xmlns:c16="http://schemas.microsoft.com/office/drawing/2014/chart" uri="{C3380CC4-5D6E-409C-BE32-E72D297353CC}">
              <c16:uniqueId val="{00000000-843E-434B-95D3-ADADDBEC6118}"/>
            </c:ext>
          </c:extLst>
        </c:ser>
        <c:ser>
          <c:idx val="3"/>
          <c:order val="1"/>
          <c:tx>
            <c:strRef>
              <c:f>Вместе!$BE$7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Вместе!$BM$3:$CH$3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Вместе!$BM$7:$CH$7</c:f>
              <c:numCache>
                <c:formatCode>General</c:formatCode>
                <c:ptCount val="22"/>
                <c:pt idx="0">
                  <c:v>-70</c:v>
                </c:pt>
                <c:pt idx="1">
                  <c:v>-55.56</c:v>
                </c:pt>
                <c:pt idx="2">
                  <c:v>-70.209999999999994</c:v>
                </c:pt>
                <c:pt idx="3">
                  <c:v>-21.82</c:v>
                </c:pt>
                <c:pt idx="4">
                  <c:v>6.25</c:v>
                </c:pt>
                <c:pt idx="5">
                  <c:v>-858.82</c:v>
                </c:pt>
                <c:pt idx="6">
                  <c:v>-119.23</c:v>
                </c:pt>
                <c:pt idx="7">
                  <c:v>-212.5</c:v>
                </c:pt>
                <c:pt idx="8">
                  <c:v>-1300</c:v>
                </c:pt>
                <c:pt idx="9">
                  <c:v>-300</c:v>
                </c:pt>
                <c:pt idx="10">
                  <c:v>-1400</c:v>
                </c:pt>
                <c:pt idx="11">
                  <c:v>76.92</c:v>
                </c:pt>
                <c:pt idx="12">
                  <c:v>5</c:v>
                </c:pt>
                <c:pt idx="13">
                  <c:v>-45.45</c:v>
                </c:pt>
                <c:pt idx="14">
                  <c:v>-92.27</c:v>
                </c:pt>
                <c:pt idx="15">
                  <c:v>-63.16</c:v>
                </c:pt>
                <c:pt idx="16">
                  <c:v>-111.11</c:v>
                </c:pt>
                <c:pt idx="17">
                  <c:v>-280</c:v>
                </c:pt>
                <c:pt idx="18">
                  <c:v>-200</c:v>
                </c:pt>
                <c:pt idx="19">
                  <c:v>-500</c:v>
                </c:pt>
                <c:pt idx="20">
                  <c:v>-25.64</c:v>
                </c:pt>
                <c:pt idx="21">
                  <c:v>28.57</c:v>
                </c:pt>
              </c:numCache>
            </c:numRef>
          </c:yVal>
          <c:smooth val="1"/>
          <c:extLst>
            <c:ext xmlns:c16="http://schemas.microsoft.com/office/drawing/2014/chart" uri="{C3380CC4-5D6E-409C-BE32-E72D297353CC}">
              <c16:uniqueId val="{00000001-843E-434B-95D3-ADADDBEC6118}"/>
            </c:ext>
          </c:extLst>
        </c:ser>
        <c:ser>
          <c:idx val="6"/>
          <c:order val="2"/>
          <c:tx>
            <c:strRef>
              <c:f>Вместе!$BE$10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Вместе!$BM$3:$CH$3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Вместе!$BM$10:$CH$10</c:f>
              <c:numCache>
                <c:formatCode>General</c:formatCode>
                <c:ptCount val="22"/>
                <c:pt idx="0">
                  <c:v>522.5</c:v>
                </c:pt>
                <c:pt idx="1">
                  <c:v>566.66999999999996</c:v>
                </c:pt>
                <c:pt idx="2">
                  <c:v>491.49</c:v>
                </c:pt>
                <c:pt idx="3">
                  <c:v>340</c:v>
                </c:pt>
                <c:pt idx="4">
                  <c:v>270.83</c:v>
                </c:pt>
                <c:pt idx="5">
                  <c:v>58.82</c:v>
                </c:pt>
                <c:pt idx="6">
                  <c:v>284.62</c:v>
                </c:pt>
                <c:pt idx="7">
                  <c:v>1450</c:v>
                </c:pt>
                <c:pt idx="8">
                  <c:v>8800</c:v>
                </c:pt>
                <c:pt idx="9">
                  <c:v>1514.29</c:v>
                </c:pt>
                <c:pt idx="10">
                  <c:v>5150</c:v>
                </c:pt>
                <c:pt idx="11">
                  <c:v>1100</c:v>
                </c:pt>
                <c:pt idx="12">
                  <c:v>635</c:v>
                </c:pt>
                <c:pt idx="13">
                  <c:v>272.73</c:v>
                </c:pt>
                <c:pt idx="14">
                  <c:v>-48.07</c:v>
                </c:pt>
                <c:pt idx="15">
                  <c:v>357.89</c:v>
                </c:pt>
                <c:pt idx="16">
                  <c:v>583.33000000000004</c:v>
                </c:pt>
                <c:pt idx="17">
                  <c:v>1000</c:v>
                </c:pt>
                <c:pt idx="18">
                  <c:v>871.43</c:v>
                </c:pt>
                <c:pt idx="19">
                  <c:v>3400</c:v>
                </c:pt>
                <c:pt idx="20">
                  <c:v>300</c:v>
                </c:pt>
                <c:pt idx="21">
                  <c:v>197.62</c:v>
                </c:pt>
              </c:numCache>
            </c:numRef>
          </c:yVal>
          <c:smooth val="1"/>
          <c:extLst>
            <c:ext xmlns:c16="http://schemas.microsoft.com/office/drawing/2014/chart" uri="{C3380CC4-5D6E-409C-BE32-E72D297353CC}">
              <c16:uniqueId val="{00000002-843E-434B-95D3-ADADDBEC6118}"/>
            </c:ext>
          </c:extLst>
        </c:ser>
        <c:ser>
          <c:idx val="7"/>
          <c:order val="3"/>
          <c:tx>
            <c:strRef>
              <c:f>Вместе!$BE$11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Вместе!$BM$3:$CH$3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Вместе!$BM$11:$CH$11</c:f>
              <c:numCache>
                <c:formatCode>General</c:formatCode>
                <c:ptCount val="22"/>
                <c:pt idx="0">
                  <c:v>200</c:v>
                </c:pt>
                <c:pt idx="1">
                  <c:v>322.22000000000003</c:v>
                </c:pt>
                <c:pt idx="2">
                  <c:v>353.19</c:v>
                </c:pt>
                <c:pt idx="3">
                  <c:v>314.55</c:v>
                </c:pt>
                <c:pt idx="4">
                  <c:v>422.92</c:v>
                </c:pt>
                <c:pt idx="5">
                  <c:v>-576.47</c:v>
                </c:pt>
                <c:pt idx="6">
                  <c:v>473.08</c:v>
                </c:pt>
                <c:pt idx="7">
                  <c:v>575</c:v>
                </c:pt>
                <c:pt idx="8">
                  <c:v>-1800</c:v>
                </c:pt>
                <c:pt idx="9">
                  <c:v>171.43</c:v>
                </c:pt>
                <c:pt idx="10">
                  <c:v>850</c:v>
                </c:pt>
                <c:pt idx="11">
                  <c:v>1661.54</c:v>
                </c:pt>
                <c:pt idx="12">
                  <c:v>365</c:v>
                </c:pt>
                <c:pt idx="13">
                  <c:v>-268.18</c:v>
                </c:pt>
                <c:pt idx="14">
                  <c:v>-100</c:v>
                </c:pt>
                <c:pt idx="15">
                  <c:v>-684.21</c:v>
                </c:pt>
                <c:pt idx="16">
                  <c:v>105.56</c:v>
                </c:pt>
                <c:pt idx="17">
                  <c:v>640</c:v>
                </c:pt>
                <c:pt idx="18">
                  <c:v>900</c:v>
                </c:pt>
                <c:pt idx="19">
                  <c:v>2850</c:v>
                </c:pt>
                <c:pt idx="20">
                  <c:v>241.03</c:v>
                </c:pt>
                <c:pt idx="21">
                  <c:v>214.29</c:v>
                </c:pt>
              </c:numCache>
            </c:numRef>
          </c:yVal>
          <c:smooth val="1"/>
          <c:extLst>
            <c:ext xmlns:c16="http://schemas.microsoft.com/office/drawing/2014/chart" uri="{C3380CC4-5D6E-409C-BE32-E72D297353CC}">
              <c16:uniqueId val="{00000003-843E-434B-95D3-ADADDBEC6118}"/>
            </c:ext>
          </c:extLst>
        </c:ser>
        <c:ser>
          <c:idx val="8"/>
          <c:order val="4"/>
          <c:tx>
            <c:strRef>
              <c:f>Вместе!$BE$12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Вместе!$BM$3:$CH$3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Вместе!$BM$12:$CH$12</c:f>
              <c:numCache>
                <c:formatCode>General</c:formatCode>
                <c:ptCount val="22"/>
                <c:pt idx="0">
                  <c:v>-65</c:v>
                </c:pt>
                <c:pt idx="1">
                  <c:v>-180</c:v>
                </c:pt>
                <c:pt idx="2">
                  <c:v>-106.38</c:v>
                </c:pt>
                <c:pt idx="3">
                  <c:v>30.91</c:v>
                </c:pt>
                <c:pt idx="4">
                  <c:v>68.75</c:v>
                </c:pt>
                <c:pt idx="5">
                  <c:v>-211.76</c:v>
                </c:pt>
                <c:pt idx="6">
                  <c:v>130.77000000000001</c:v>
                </c:pt>
                <c:pt idx="7">
                  <c:v>675</c:v>
                </c:pt>
                <c:pt idx="8">
                  <c:v>6900</c:v>
                </c:pt>
                <c:pt idx="9">
                  <c:v>871.43</c:v>
                </c:pt>
                <c:pt idx="10">
                  <c:v>3250</c:v>
                </c:pt>
                <c:pt idx="11">
                  <c:v>984.62</c:v>
                </c:pt>
                <c:pt idx="12">
                  <c:v>745</c:v>
                </c:pt>
                <c:pt idx="13">
                  <c:v>686.36</c:v>
                </c:pt>
                <c:pt idx="14">
                  <c:v>-21.55</c:v>
                </c:pt>
                <c:pt idx="15">
                  <c:v>857.89</c:v>
                </c:pt>
                <c:pt idx="16">
                  <c:v>777.78</c:v>
                </c:pt>
                <c:pt idx="17">
                  <c:v>2740</c:v>
                </c:pt>
                <c:pt idx="18">
                  <c:v>1914.29</c:v>
                </c:pt>
                <c:pt idx="19">
                  <c:v>6700</c:v>
                </c:pt>
                <c:pt idx="20">
                  <c:v>184.62</c:v>
                </c:pt>
                <c:pt idx="21">
                  <c:v>173.81</c:v>
                </c:pt>
              </c:numCache>
            </c:numRef>
          </c:yVal>
          <c:smooth val="1"/>
          <c:extLst>
            <c:ext xmlns:c16="http://schemas.microsoft.com/office/drawing/2014/chart" uri="{C3380CC4-5D6E-409C-BE32-E72D297353CC}">
              <c16:uniqueId val="{00000004-843E-434B-95D3-ADADDBEC6118}"/>
            </c:ext>
          </c:extLst>
        </c:ser>
        <c:ser>
          <c:idx val="9"/>
          <c:order val="5"/>
          <c:tx>
            <c:strRef>
              <c:f>Вместе!$BE$13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Вместе!$BM$3:$CH$3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Вместе!$BM$13:$CH$13</c:f>
              <c:numCache>
                <c:formatCode>General</c:formatCode>
                <c:ptCount val="22"/>
                <c:pt idx="0">
                  <c:v>-10</c:v>
                </c:pt>
                <c:pt idx="1">
                  <c:v>-33.33</c:v>
                </c:pt>
                <c:pt idx="2">
                  <c:v>-40.43</c:v>
                </c:pt>
                <c:pt idx="3">
                  <c:v>-21.82</c:v>
                </c:pt>
                <c:pt idx="4">
                  <c:v>-33.33</c:v>
                </c:pt>
                <c:pt idx="5">
                  <c:v>-229.41</c:v>
                </c:pt>
                <c:pt idx="6">
                  <c:v>-269.23</c:v>
                </c:pt>
                <c:pt idx="7">
                  <c:v>-187.5</c:v>
                </c:pt>
                <c:pt idx="8">
                  <c:v>-1000</c:v>
                </c:pt>
                <c:pt idx="9">
                  <c:v>-228.57</c:v>
                </c:pt>
                <c:pt idx="10">
                  <c:v>-950</c:v>
                </c:pt>
                <c:pt idx="11">
                  <c:v>-7.69</c:v>
                </c:pt>
                <c:pt idx="12">
                  <c:v>-30</c:v>
                </c:pt>
                <c:pt idx="13">
                  <c:v>-36.36</c:v>
                </c:pt>
                <c:pt idx="14">
                  <c:v>-87.29</c:v>
                </c:pt>
                <c:pt idx="15">
                  <c:v>-52.63</c:v>
                </c:pt>
                <c:pt idx="16">
                  <c:v>-83.33</c:v>
                </c:pt>
                <c:pt idx="17">
                  <c:v>-620</c:v>
                </c:pt>
                <c:pt idx="18">
                  <c:v>-600</c:v>
                </c:pt>
                <c:pt idx="19">
                  <c:v>-1350</c:v>
                </c:pt>
                <c:pt idx="20">
                  <c:v>-69.23</c:v>
                </c:pt>
                <c:pt idx="21">
                  <c:v>14.29</c:v>
                </c:pt>
              </c:numCache>
            </c:numRef>
          </c:yVal>
          <c:smooth val="1"/>
          <c:extLst>
            <c:ext xmlns:c16="http://schemas.microsoft.com/office/drawing/2014/chart" uri="{C3380CC4-5D6E-409C-BE32-E72D297353CC}">
              <c16:uniqueId val="{00000005-843E-434B-95D3-ADADDBEC6118}"/>
            </c:ext>
          </c:extLst>
        </c:ser>
        <c:dLbls>
          <c:showLegendKey val="0"/>
          <c:showVal val="0"/>
          <c:showCatName val="0"/>
          <c:showSerName val="0"/>
          <c:showPercent val="0"/>
          <c:showBubbleSize val="0"/>
        </c:dLbls>
        <c:axId val="794113368"/>
        <c:axId val="794116320"/>
      </c:scatterChart>
      <c:valAx>
        <c:axId val="794113368"/>
        <c:scaling>
          <c:orientation val="minMax"/>
          <c:max val="2021"/>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4116320"/>
        <c:crosses val="autoZero"/>
        <c:crossBetween val="midCat"/>
      </c:valAx>
      <c:valAx>
        <c:axId val="79411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41133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Вместе!$DT$4</c:f>
              <c:strCache>
                <c:ptCount val="1"/>
                <c:pt idx="0">
                  <c:v>Коэффициент демографической нагрузки</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Вместе!$DU$2:$EP$2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Вместе!$DU$4:$EP$4</c:f>
              <c:numCache>
                <c:formatCode>General</c:formatCode>
                <c:ptCount val="22"/>
                <c:pt idx="0">
                  <c:v>0.1836920326339323</c:v>
                </c:pt>
                <c:pt idx="1">
                  <c:v>0.17928007048473857</c:v>
                </c:pt>
                <c:pt idx="2">
                  <c:v>0.17967575249283871</c:v>
                </c:pt>
                <c:pt idx="3">
                  <c:v>0.20664592903213497</c:v>
                </c:pt>
                <c:pt idx="4">
                  <c:v>0.17511844878597926</c:v>
                </c:pt>
                <c:pt idx="5">
                  <c:v>0.17268438152133558</c:v>
                </c:pt>
                <c:pt idx="6">
                  <c:v>0.17309051718858129</c:v>
                </c:pt>
                <c:pt idx="7">
                  <c:v>0.17003135004329933</c:v>
                </c:pt>
                <c:pt idx="8">
                  <c:v>0.16519790836252324</c:v>
                </c:pt>
                <c:pt idx="9">
                  <c:v>0.17663279469975637</c:v>
                </c:pt>
                <c:pt idx="10">
                  <c:v>0.17741101193730205</c:v>
                </c:pt>
                <c:pt idx="11">
                  <c:v>0.18778390078949572</c:v>
                </c:pt>
                <c:pt idx="12">
                  <c:v>0.19328730454187365</c:v>
                </c:pt>
                <c:pt idx="13">
                  <c:v>0.1924416489123178</c:v>
                </c:pt>
                <c:pt idx="14">
                  <c:v>0.19084592159389555</c:v>
                </c:pt>
                <c:pt idx="15">
                  <c:v>0.18578288078374142</c:v>
                </c:pt>
                <c:pt idx="16">
                  <c:v>0.18221929361292813</c:v>
                </c:pt>
                <c:pt idx="17">
                  <c:v>0.17977888008506637</c:v>
                </c:pt>
                <c:pt idx="18">
                  <c:v>0.17780067177653194</c:v>
                </c:pt>
                <c:pt idx="19">
                  <c:v>0.17416391623709734</c:v>
                </c:pt>
                <c:pt idx="20">
                  <c:v>0.1678663195765944</c:v>
                </c:pt>
                <c:pt idx="21">
                  <c:v>0.16419616240877469</c:v>
                </c:pt>
              </c:numCache>
            </c:numRef>
          </c:yVal>
          <c:smooth val="1"/>
          <c:extLst>
            <c:ext xmlns:c16="http://schemas.microsoft.com/office/drawing/2014/chart" uri="{C3380CC4-5D6E-409C-BE32-E72D297353CC}">
              <c16:uniqueId val="{00000000-7D53-423E-90F7-5B9DB5BF20E2}"/>
            </c:ext>
          </c:extLst>
        </c:ser>
        <c:dLbls>
          <c:showLegendKey val="0"/>
          <c:showVal val="0"/>
          <c:showCatName val="0"/>
          <c:showSerName val="0"/>
          <c:showPercent val="0"/>
          <c:showBubbleSize val="0"/>
        </c:dLbls>
        <c:axId val="781527080"/>
        <c:axId val="781529704"/>
      </c:scatterChart>
      <c:valAx>
        <c:axId val="781527080"/>
        <c:scaling>
          <c:orientation val="minMax"/>
          <c:max val="2021"/>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1529704"/>
        <c:crosses val="autoZero"/>
        <c:crossBetween val="midCat"/>
      </c:valAx>
      <c:valAx>
        <c:axId val="7815297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1527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Вместе!$CL$34</c:f>
              <c:strCache>
                <c:ptCount val="1"/>
                <c:pt idx="0">
                  <c:v>Коэффициент вариации</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Вместе!$CM$33:$DO$33</c:f>
              <c:numCache>
                <c:formatCode>General</c:formatCode>
                <c:ptCount val="29"/>
                <c:pt idx="1">
                  <c:v>1990</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numCache>
            </c:numRef>
          </c:xVal>
          <c:yVal>
            <c:numRef>
              <c:f>Вместе!$CM$34:$DO$34</c:f>
              <c:numCache>
                <c:formatCode>General</c:formatCode>
                <c:ptCount val="29"/>
                <c:pt idx="1">
                  <c:v>2.3603711782941565</c:v>
                </c:pt>
                <c:pt idx="2">
                  <c:v>0.99188090501791526</c:v>
                </c:pt>
                <c:pt idx="3">
                  <c:v>1.027530148278887</c:v>
                </c:pt>
                <c:pt idx="4">
                  <c:v>1.0761939870573993</c:v>
                </c:pt>
                <c:pt idx="5">
                  <c:v>1.169822900840245</c:v>
                </c:pt>
                <c:pt idx="6">
                  <c:v>0.94173286586802241</c:v>
                </c:pt>
                <c:pt idx="7">
                  <c:v>0.9190462050994892</c:v>
                </c:pt>
                <c:pt idx="8">
                  <c:v>0.95387673170737686</c:v>
                </c:pt>
                <c:pt idx="9">
                  <c:v>1.0545969660862868</c:v>
                </c:pt>
                <c:pt idx="10">
                  <c:v>1.1515125988037336</c:v>
                </c:pt>
                <c:pt idx="11">
                  <c:v>1.265525174638408</c:v>
                </c:pt>
                <c:pt idx="12">
                  <c:v>1.1514784055436733</c:v>
                </c:pt>
                <c:pt idx="13">
                  <c:v>1.2784130414373489</c:v>
                </c:pt>
                <c:pt idx="14">
                  <c:v>1.8119938441436769</c:v>
                </c:pt>
                <c:pt idx="15">
                  <c:v>2.350165359619</c:v>
                </c:pt>
                <c:pt idx="16">
                  <c:v>3.1832132930773915</c:v>
                </c:pt>
                <c:pt idx="17">
                  <c:v>3.3819522354288263</c:v>
                </c:pt>
                <c:pt idx="18">
                  <c:v>6.2908909259321382</c:v>
                </c:pt>
                <c:pt idx="19">
                  <c:v>10.253377098439545</c:v>
                </c:pt>
                <c:pt idx="20">
                  <c:v>14.215863270946951</c:v>
                </c:pt>
                <c:pt idx="21">
                  <c:v>14.395010914552611</c:v>
                </c:pt>
                <c:pt idx="22">
                  <c:v>14.30659069966638</c:v>
                </c:pt>
                <c:pt idx="23">
                  <c:v>10.148438881229065</c:v>
                </c:pt>
                <c:pt idx="24">
                  <c:v>5.9902870627917499</c:v>
                </c:pt>
                <c:pt idx="25">
                  <c:v>3.5224170501233947</c:v>
                </c:pt>
                <c:pt idx="26">
                  <c:v>2.5491315433583166</c:v>
                </c:pt>
                <c:pt idx="27">
                  <c:v>1.314823780616275</c:v>
                </c:pt>
                <c:pt idx="28">
                  <c:v>0.37515233080523763</c:v>
                </c:pt>
              </c:numCache>
            </c:numRef>
          </c:yVal>
          <c:smooth val="1"/>
          <c:extLst>
            <c:ext xmlns:c16="http://schemas.microsoft.com/office/drawing/2014/chart" uri="{C3380CC4-5D6E-409C-BE32-E72D297353CC}">
              <c16:uniqueId val="{00000000-E421-4AB8-A82D-168100529548}"/>
            </c:ext>
          </c:extLst>
        </c:ser>
        <c:dLbls>
          <c:showLegendKey val="0"/>
          <c:showVal val="0"/>
          <c:showCatName val="0"/>
          <c:showSerName val="0"/>
          <c:showPercent val="0"/>
          <c:showBubbleSize val="0"/>
        </c:dLbls>
        <c:axId val="676579960"/>
        <c:axId val="676581272"/>
      </c:scatterChart>
      <c:valAx>
        <c:axId val="676579960"/>
        <c:scaling>
          <c:orientation val="minMax"/>
          <c:max val="2021"/>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581272"/>
        <c:crosses val="autoZero"/>
        <c:crossBetween val="midCat"/>
      </c:valAx>
      <c:valAx>
        <c:axId val="676581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6579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'Интегральная оценка'!$A$13</c:f>
              <c:strCache>
                <c:ptCount val="1"/>
                <c:pt idx="0">
                  <c:v>Курганская область</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'Интегральная оценка'!$B$2:$AC$2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'Интегральная оценка'!$B$13:$AC$13</c:f>
              <c:numCache>
                <c:formatCode>General</c:formatCode>
                <c:ptCount val="28"/>
                <c:pt idx="0">
                  <c:v>0.54</c:v>
                </c:pt>
                <c:pt idx="1">
                  <c:v>0.31666666666666665</c:v>
                </c:pt>
                <c:pt idx="2">
                  <c:v>0.32727272727272727</c:v>
                </c:pt>
                <c:pt idx="3">
                  <c:v>0.27692307692307694</c:v>
                </c:pt>
                <c:pt idx="4">
                  <c:v>0.27777777777777779</c:v>
                </c:pt>
                <c:pt idx="5">
                  <c:v>0.32222222222222224</c:v>
                </c:pt>
                <c:pt idx="6">
                  <c:v>0.26666666666666666</c:v>
                </c:pt>
                <c:pt idx="7">
                  <c:v>0.2857142857142857</c:v>
                </c:pt>
                <c:pt idx="8">
                  <c:v>0.24761904761904763</c:v>
                </c:pt>
                <c:pt idx="9">
                  <c:v>0.2857142857142857</c:v>
                </c:pt>
                <c:pt idx="10">
                  <c:v>0.27619047619047621</c:v>
                </c:pt>
                <c:pt idx="11">
                  <c:v>0.24761904761904763</c:v>
                </c:pt>
                <c:pt idx="12">
                  <c:v>0.25714285714285712</c:v>
                </c:pt>
                <c:pt idx="13">
                  <c:v>0.22857142857142856</c:v>
                </c:pt>
                <c:pt idx="14">
                  <c:v>0.23809523809523808</c:v>
                </c:pt>
                <c:pt idx="15">
                  <c:v>0.27619047619047621</c:v>
                </c:pt>
                <c:pt idx="16">
                  <c:v>0.25714285714285712</c:v>
                </c:pt>
                <c:pt idx="17">
                  <c:v>0.27619047619047621</c:v>
                </c:pt>
                <c:pt idx="18">
                  <c:v>0.27619047619047621</c:v>
                </c:pt>
                <c:pt idx="19">
                  <c:v>0.27619047619047621</c:v>
                </c:pt>
                <c:pt idx="20">
                  <c:v>0.30476190476190479</c:v>
                </c:pt>
                <c:pt idx="21">
                  <c:v>0.31428571428571428</c:v>
                </c:pt>
                <c:pt idx="22">
                  <c:v>0.29523809523809524</c:v>
                </c:pt>
                <c:pt idx="23">
                  <c:v>0.23809523809523808</c:v>
                </c:pt>
                <c:pt idx="24">
                  <c:v>0.2857142857142857</c:v>
                </c:pt>
                <c:pt idx="25">
                  <c:v>0.26666666666666666</c:v>
                </c:pt>
                <c:pt idx="26">
                  <c:v>0.26666666666666666</c:v>
                </c:pt>
                <c:pt idx="27">
                  <c:v>0.3</c:v>
                </c:pt>
              </c:numCache>
            </c:numRef>
          </c:yVal>
          <c:smooth val="1"/>
          <c:extLst>
            <c:ext xmlns:c16="http://schemas.microsoft.com/office/drawing/2014/chart" uri="{C3380CC4-5D6E-409C-BE32-E72D297353CC}">
              <c16:uniqueId val="{00000000-7DDE-430C-B729-DBA7A6366269}"/>
            </c:ext>
          </c:extLst>
        </c:ser>
        <c:ser>
          <c:idx val="1"/>
          <c:order val="1"/>
          <c:tx>
            <c:strRef>
              <c:f>'Интегральная оценка'!$A$14</c:f>
              <c:strCache>
                <c:ptCount val="1"/>
                <c:pt idx="0">
                  <c:v>Свердловская область</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'Интегральная оценка'!$B$2:$AC$2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'Интегральная оценка'!$B$14:$AC$14</c:f>
              <c:numCache>
                <c:formatCode>General</c:formatCode>
                <c:ptCount val="28"/>
                <c:pt idx="0">
                  <c:v>0.68</c:v>
                </c:pt>
                <c:pt idx="1">
                  <c:v>0.56666666666666665</c:v>
                </c:pt>
                <c:pt idx="2">
                  <c:v>0.6</c:v>
                </c:pt>
                <c:pt idx="3">
                  <c:v>0.53846153846153844</c:v>
                </c:pt>
                <c:pt idx="4">
                  <c:v>0.52222222222222225</c:v>
                </c:pt>
                <c:pt idx="5">
                  <c:v>0.44444444444444442</c:v>
                </c:pt>
                <c:pt idx="6">
                  <c:v>0.49523809523809526</c:v>
                </c:pt>
                <c:pt idx="7">
                  <c:v>0.44761904761904764</c:v>
                </c:pt>
                <c:pt idx="8">
                  <c:v>0.47619047619047616</c:v>
                </c:pt>
                <c:pt idx="9">
                  <c:v>0.45714285714285713</c:v>
                </c:pt>
                <c:pt idx="10">
                  <c:v>0.46666666666666667</c:v>
                </c:pt>
                <c:pt idx="11">
                  <c:v>0.49523809523809526</c:v>
                </c:pt>
                <c:pt idx="12">
                  <c:v>0.50476190476190474</c:v>
                </c:pt>
                <c:pt idx="13">
                  <c:v>0.54285714285714282</c:v>
                </c:pt>
                <c:pt idx="14">
                  <c:v>0.49523809523809526</c:v>
                </c:pt>
                <c:pt idx="15">
                  <c:v>0.47619047619047616</c:v>
                </c:pt>
                <c:pt idx="16">
                  <c:v>0.54285714285714282</c:v>
                </c:pt>
                <c:pt idx="17">
                  <c:v>0.49523809523809526</c:v>
                </c:pt>
                <c:pt idx="18">
                  <c:v>0.55238095238095242</c:v>
                </c:pt>
                <c:pt idx="19">
                  <c:v>0.52380952380952384</c:v>
                </c:pt>
                <c:pt idx="20">
                  <c:v>0.51428571428571423</c:v>
                </c:pt>
                <c:pt idx="21">
                  <c:v>0.51428571428571423</c:v>
                </c:pt>
                <c:pt idx="22">
                  <c:v>0.52380952380952384</c:v>
                </c:pt>
                <c:pt idx="23">
                  <c:v>0.53333333333333333</c:v>
                </c:pt>
                <c:pt idx="24">
                  <c:v>0.49523809523809526</c:v>
                </c:pt>
                <c:pt idx="25">
                  <c:v>0.53333333333333333</c:v>
                </c:pt>
                <c:pt idx="26">
                  <c:v>0.49523809523809526</c:v>
                </c:pt>
                <c:pt idx="27">
                  <c:v>0.48</c:v>
                </c:pt>
              </c:numCache>
            </c:numRef>
          </c:yVal>
          <c:smooth val="1"/>
          <c:extLst>
            <c:ext xmlns:c16="http://schemas.microsoft.com/office/drawing/2014/chart" uri="{C3380CC4-5D6E-409C-BE32-E72D297353CC}">
              <c16:uniqueId val="{00000001-7DDE-430C-B729-DBA7A6366269}"/>
            </c:ext>
          </c:extLst>
        </c:ser>
        <c:ser>
          <c:idx val="2"/>
          <c:order val="2"/>
          <c:tx>
            <c:strRef>
              <c:f>'Интегральная оценка'!$A$15</c:f>
              <c:strCache>
                <c:ptCount val="1"/>
                <c:pt idx="0">
                  <c:v>Ханты-Мансийский автономный округ - Югра</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'Интегральная оценка'!$B$2:$AC$2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'Интегральная оценка'!$B$15:$AC$15</c:f>
              <c:numCache>
                <c:formatCode>General</c:formatCode>
                <c:ptCount val="28"/>
                <c:pt idx="0">
                  <c:v>0.32</c:v>
                </c:pt>
                <c:pt idx="1">
                  <c:v>0.48333333333333334</c:v>
                </c:pt>
                <c:pt idx="2">
                  <c:v>0.43636363636363634</c:v>
                </c:pt>
                <c:pt idx="3">
                  <c:v>0.53846153846153844</c:v>
                </c:pt>
                <c:pt idx="4">
                  <c:v>0.55555555555555558</c:v>
                </c:pt>
                <c:pt idx="5">
                  <c:v>0.53333333333333333</c:v>
                </c:pt>
                <c:pt idx="6">
                  <c:v>0.580952380952381</c:v>
                </c:pt>
                <c:pt idx="7">
                  <c:v>0.5714285714285714</c:v>
                </c:pt>
                <c:pt idx="8">
                  <c:v>0.61904761904761907</c:v>
                </c:pt>
                <c:pt idx="9">
                  <c:v>0.59047619047619049</c:v>
                </c:pt>
                <c:pt idx="10">
                  <c:v>0.61904761904761907</c:v>
                </c:pt>
                <c:pt idx="11">
                  <c:v>0.61904761904761907</c:v>
                </c:pt>
                <c:pt idx="12">
                  <c:v>0.61904761904761907</c:v>
                </c:pt>
                <c:pt idx="13">
                  <c:v>0.61904761904761907</c:v>
                </c:pt>
                <c:pt idx="14">
                  <c:v>0.60952380952380958</c:v>
                </c:pt>
                <c:pt idx="15">
                  <c:v>0.63809523809523805</c:v>
                </c:pt>
                <c:pt idx="16">
                  <c:v>0.60952380952380958</c:v>
                </c:pt>
                <c:pt idx="17">
                  <c:v>0.6</c:v>
                </c:pt>
                <c:pt idx="18">
                  <c:v>0.62857142857142856</c:v>
                </c:pt>
                <c:pt idx="19">
                  <c:v>0.580952380952381</c:v>
                </c:pt>
                <c:pt idx="20">
                  <c:v>0.56190476190476191</c:v>
                </c:pt>
                <c:pt idx="21">
                  <c:v>0.59047619047619049</c:v>
                </c:pt>
                <c:pt idx="22">
                  <c:v>0.60952380952380958</c:v>
                </c:pt>
                <c:pt idx="23">
                  <c:v>0.580952380952381</c:v>
                </c:pt>
                <c:pt idx="24">
                  <c:v>0.580952380952381</c:v>
                </c:pt>
                <c:pt idx="25">
                  <c:v>0.6</c:v>
                </c:pt>
                <c:pt idx="26">
                  <c:v>0.59047619047619049</c:v>
                </c:pt>
                <c:pt idx="27">
                  <c:v>0.56000000000000005</c:v>
                </c:pt>
              </c:numCache>
            </c:numRef>
          </c:yVal>
          <c:smooth val="1"/>
          <c:extLst>
            <c:ext xmlns:c16="http://schemas.microsoft.com/office/drawing/2014/chart" uri="{C3380CC4-5D6E-409C-BE32-E72D297353CC}">
              <c16:uniqueId val="{00000002-7DDE-430C-B729-DBA7A6366269}"/>
            </c:ext>
          </c:extLst>
        </c:ser>
        <c:ser>
          <c:idx val="3"/>
          <c:order val="3"/>
          <c:tx>
            <c:strRef>
              <c:f>'Интегральная оценка'!$A$16</c:f>
              <c:strCache>
                <c:ptCount val="1"/>
                <c:pt idx="0">
                  <c:v>Ямало-Ненецкий автономный округ</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'Интегральная оценка'!$B$2:$AC$2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'Интегральная оценка'!$B$16:$AC$16</c:f>
              <c:numCache>
                <c:formatCode>General</c:formatCode>
                <c:ptCount val="28"/>
                <c:pt idx="0">
                  <c:v>0.42</c:v>
                </c:pt>
                <c:pt idx="1">
                  <c:v>0.56666666666666665</c:v>
                </c:pt>
                <c:pt idx="2">
                  <c:v>0.47272727272727272</c:v>
                </c:pt>
                <c:pt idx="3">
                  <c:v>0.49230769230769234</c:v>
                </c:pt>
                <c:pt idx="4">
                  <c:v>0.53333333333333333</c:v>
                </c:pt>
                <c:pt idx="5">
                  <c:v>0.56666666666666665</c:v>
                </c:pt>
                <c:pt idx="6">
                  <c:v>0.60952380952380958</c:v>
                </c:pt>
                <c:pt idx="7">
                  <c:v>0.66666666666666663</c:v>
                </c:pt>
                <c:pt idx="8">
                  <c:v>0.63809523809523805</c:v>
                </c:pt>
                <c:pt idx="9">
                  <c:v>0.61904761904761907</c:v>
                </c:pt>
                <c:pt idx="10">
                  <c:v>0.64761904761904765</c:v>
                </c:pt>
                <c:pt idx="11">
                  <c:v>0.59047619047619049</c:v>
                </c:pt>
                <c:pt idx="12">
                  <c:v>0.60952380952380958</c:v>
                </c:pt>
                <c:pt idx="13">
                  <c:v>0.56190476190476191</c:v>
                </c:pt>
                <c:pt idx="14">
                  <c:v>0.61904761904761907</c:v>
                </c:pt>
                <c:pt idx="15">
                  <c:v>0.6</c:v>
                </c:pt>
                <c:pt idx="16">
                  <c:v>0.5714285714285714</c:v>
                </c:pt>
                <c:pt idx="17">
                  <c:v>0.59047619047619049</c:v>
                </c:pt>
                <c:pt idx="18">
                  <c:v>0.53333333333333333</c:v>
                </c:pt>
                <c:pt idx="19">
                  <c:v>0.52380952380952384</c:v>
                </c:pt>
                <c:pt idx="20">
                  <c:v>0.55238095238095242</c:v>
                </c:pt>
                <c:pt idx="21">
                  <c:v>0.53333333333333333</c:v>
                </c:pt>
                <c:pt idx="22">
                  <c:v>0.55238095238095242</c:v>
                </c:pt>
                <c:pt idx="23">
                  <c:v>0.6</c:v>
                </c:pt>
                <c:pt idx="24">
                  <c:v>0.55238095238095242</c:v>
                </c:pt>
                <c:pt idx="25">
                  <c:v>0.5714285714285714</c:v>
                </c:pt>
                <c:pt idx="26">
                  <c:v>0.56190476190476191</c:v>
                </c:pt>
                <c:pt idx="27">
                  <c:v>0.55000000000000004</c:v>
                </c:pt>
              </c:numCache>
            </c:numRef>
          </c:yVal>
          <c:smooth val="1"/>
          <c:extLst>
            <c:ext xmlns:c16="http://schemas.microsoft.com/office/drawing/2014/chart" uri="{C3380CC4-5D6E-409C-BE32-E72D297353CC}">
              <c16:uniqueId val="{00000003-7DDE-430C-B729-DBA7A6366269}"/>
            </c:ext>
          </c:extLst>
        </c:ser>
        <c:ser>
          <c:idx val="4"/>
          <c:order val="4"/>
          <c:tx>
            <c:strRef>
              <c:f>'Интегральная оценка'!$A$17</c:f>
              <c:strCache>
                <c:ptCount val="1"/>
                <c:pt idx="0">
                  <c:v>Тюменская область без ХМАО и ЯНАО</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'Интегральная оценка'!$B$2:$AC$2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'Интегральная оценка'!$B$17:$AC$17</c:f>
              <c:numCache>
                <c:formatCode>General</c:formatCode>
                <c:ptCount val="28"/>
                <c:pt idx="0">
                  <c:v>0.57999999999999996</c:v>
                </c:pt>
                <c:pt idx="1">
                  <c:v>0.53333333333333333</c:v>
                </c:pt>
                <c:pt idx="2">
                  <c:v>0.6</c:v>
                </c:pt>
                <c:pt idx="3">
                  <c:v>0.58461538461538465</c:v>
                </c:pt>
                <c:pt idx="4">
                  <c:v>0.5444444444444444</c:v>
                </c:pt>
                <c:pt idx="5">
                  <c:v>0.58888888888888891</c:v>
                </c:pt>
                <c:pt idx="6">
                  <c:v>0.56999999999999995</c:v>
                </c:pt>
                <c:pt idx="7">
                  <c:v>0.54</c:v>
                </c:pt>
                <c:pt idx="8">
                  <c:v>0.57999999999999996</c:v>
                </c:pt>
                <c:pt idx="9">
                  <c:v>0.6</c:v>
                </c:pt>
                <c:pt idx="10">
                  <c:v>0.56000000000000005</c:v>
                </c:pt>
                <c:pt idx="11">
                  <c:v>0.61</c:v>
                </c:pt>
                <c:pt idx="12">
                  <c:v>0.59</c:v>
                </c:pt>
                <c:pt idx="13">
                  <c:v>0.61</c:v>
                </c:pt>
                <c:pt idx="14">
                  <c:v>0.6</c:v>
                </c:pt>
                <c:pt idx="15">
                  <c:v>0.61</c:v>
                </c:pt>
                <c:pt idx="16">
                  <c:v>0.62</c:v>
                </c:pt>
                <c:pt idx="17">
                  <c:v>0.6</c:v>
                </c:pt>
                <c:pt idx="18">
                  <c:v>0.62</c:v>
                </c:pt>
                <c:pt idx="19">
                  <c:v>0.67</c:v>
                </c:pt>
                <c:pt idx="20">
                  <c:v>0.64</c:v>
                </c:pt>
                <c:pt idx="21">
                  <c:v>0.66</c:v>
                </c:pt>
                <c:pt idx="22">
                  <c:v>0.65</c:v>
                </c:pt>
                <c:pt idx="23">
                  <c:v>0.68</c:v>
                </c:pt>
                <c:pt idx="24">
                  <c:v>0.66</c:v>
                </c:pt>
                <c:pt idx="25">
                  <c:v>0.61</c:v>
                </c:pt>
                <c:pt idx="26">
                  <c:v>0.64</c:v>
                </c:pt>
                <c:pt idx="27">
                  <c:v>0.57894736842105265</c:v>
                </c:pt>
              </c:numCache>
            </c:numRef>
          </c:yVal>
          <c:smooth val="1"/>
          <c:extLst>
            <c:ext xmlns:c16="http://schemas.microsoft.com/office/drawing/2014/chart" uri="{C3380CC4-5D6E-409C-BE32-E72D297353CC}">
              <c16:uniqueId val="{00000004-7DDE-430C-B729-DBA7A6366269}"/>
            </c:ext>
          </c:extLst>
        </c:ser>
        <c:ser>
          <c:idx val="5"/>
          <c:order val="5"/>
          <c:tx>
            <c:strRef>
              <c:f>'Интегральная оценка'!$A$18</c:f>
              <c:strCache>
                <c:ptCount val="1"/>
                <c:pt idx="0">
                  <c:v>Челябинская область</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'Интегральная оценка'!$B$2:$AC$2</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'Интегральная оценка'!$B$18:$AC$18</c:f>
              <c:numCache>
                <c:formatCode>General</c:formatCode>
                <c:ptCount val="28"/>
                <c:pt idx="0">
                  <c:v>0.46</c:v>
                </c:pt>
                <c:pt idx="1">
                  <c:v>0.53333333333333333</c:v>
                </c:pt>
                <c:pt idx="2">
                  <c:v>0.5636363636363636</c:v>
                </c:pt>
                <c:pt idx="3">
                  <c:v>0.56923076923076921</c:v>
                </c:pt>
                <c:pt idx="4">
                  <c:v>0.56666666666666665</c:v>
                </c:pt>
                <c:pt idx="5">
                  <c:v>0.5444444444444444</c:v>
                </c:pt>
                <c:pt idx="6">
                  <c:v>0.50476190476190474</c:v>
                </c:pt>
                <c:pt idx="7">
                  <c:v>0.49523809523809526</c:v>
                </c:pt>
                <c:pt idx="8">
                  <c:v>0.44761904761904764</c:v>
                </c:pt>
                <c:pt idx="9">
                  <c:v>0.46666666666666667</c:v>
                </c:pt>
                <c:pt idx="10">
                  <c:v>0.45714285714285713</c:v>
                </c:pt>
                <c:pt idx="11">
                  <c:v>0.45714285714285713</c:v>
                </c:pt>
                <c:pt idx="12">
                  <c:v>0.44761904761904764</c:v>
                </c:pt>
                <c:pt idx="13">
                  <c:v>0.44761904761904764</c:v>
                </c:pt>
                <c:pt idx="14">
                  <c:v>0.45714285714285713</c:v>
                </c:pt>
                <c:pt idx="15">
                  <c:v>0.41904761904761906</c:v>
                </c:pt>
                <c:pt idx="16">
                  <c:v>0.40952380952380951</c:v>
                </c:pt>
                <c:pt idx="17">
                  <c:v>0.4</c:v>
                </c:pt>
                <c:pt idx="18">
                  <c:v>0.39047619047619048</c:v>
                </c:pt>
                <c:pt idx="19">
                  <c:v>0.44761904761904764</c:v>
                </c:pt>
                <c:pt idx="20">
                  <c:v>0.44761904761904764</c:v>
                </c:pt>
                <c:pt idx="21">
                  <c:v>0.4</c:v>
                </c:pt>
                <c:pt idx="22">
                  <c:v>0.4</c:v>
                </c:pt>
                <c:pt idx="23">
                  <c:v>0.39047619047619048</c:v>
                </c:pt>
                <c:pt idx="24">
                  <c:v>0.44761904761904764</c:v>
                </c:pt>
                <c:pt idx="25">
                  <c:v>0.43809523809523809</c:v>
                </c:pt>
                <c:pt idx="26">
                  <c:v>0.47619047619047616</c:v>
                </c:pt>
                <c:pt idx="27">
                  <c:v>0.51</c:v>
                </c:pt>
              </c:numCache>
            </c:numRef>
          </c:yVal>
          <c:smooth val="1"/>
          <c:extLst>
            <c:ext xmlns:c16="http://schemas.microsoft.com/office/drawing/2014/chart" uri="{C3380CC4-5D6E-409C-BE32-E72D297353CC}">
              <c16:uniqueId val="{00000005-7DDE-430C-B729-DBA7A6366269}"/>
            </c:ext>
          </c:extLst>
        </c:ser>
        <c:dLbls>
          <c:showLegendKey val="0"/>
          <c:showVal val="0"/>
          <c:showCatName val="0"/>
          <c:showSerName val="0"/>
          <c:showPercent val="0"/>
          <c:showBubbleSize val="0"/>
        </c:dLbls>
        <c:axId val="859253784"/>
        <c:axId val="859257064"/>
      </c:scatterChart>
      <c:valAx>
        <c:axId val="859253784"/>
        <c:scaling>
          <c:orientation val="minMax"/>
          <c:max val="2021"/>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9257064"/>
        <c:crosses val="autoZero"/>
        <c:crossBetween val="midCat"/>
      </c:valAx>
      <c:valAx>
        <c:axId val="859257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92537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'Интегральная оценка'!$G$23</c:f>
              <c:strCache>
                <c:ptCount val="1"/>
                <c:pt idx="0">
                  <c:v>Курганская область</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'Интегральная оценка'!$H$22:$AC$22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'Интегральная оценка'!$H$23:$AC$23</c:f>
              <c:numCache>
                <c:formatCode>General</c:formatCode>
                <c:ptCount val="22"/>
                <c:pt idx="0">
                  <c:v>0.80775566937500987</c:v>
                </c:pt>
                <c:pt idx="1">
                  <c:v>1.0177791532836933</c:v>
                </c:pt>
                <c:pt idx="2">
                  <c:v>1.0240405989069057</c:v>
                </c:pt>
                <c:pt idx="3">
                  <c:v>0.68138945043213495</c:v>
                </c:pt>
                <c:pt idx="4">
                  <c:v>2.662514069766031</c:v>
                </c:pt>
                <c:pt idx="5">
                  <c:v>3.2951202342075714</c:v>
                </c:pt>
                <c:pt idx="6">
                  <c:v>2.7026586293977695</c:v>
                </c:pt>
                <c:pt idx="7">
                  <c:v>4.4251384515613168</c:v>
                </c:pt>
                <c:pt idx="8">
                  <c:v>3.6901707567073894</c:v>
                </c:pt>
                <c:pt idx="9">
                  <c:v>2.4582188190503396</c:v>
                </c:pt>
                <c:pt idx="10">
                  <c:v>1.7393485852739698</c:v>
                </c:pt>
                <c:pt idx="11">
                  <c:v>1.819516225887885</c:v>
                </c:pt>
                <c:pt idx="12">
                  <c:v>1.8902669431585029</c:v>
                </c:pt>
                <c:pt idx="13">
                  <c:v>1.1736922669347782</c:v>
                </c:pt>
                <c:pt idx="14">
                  <c:v>1.2326327929202296</c:v>
                </c:pt>
                <c:pt idx="15">
                  <c:v>2.2308046989602537</c:v>
                </c:pt>
                <c:pt idx="16">
                  <c:v>1.8538718235305063</c:v>
                </c:pt>
                <c:pt idx="17">
                  <c:v>2.2762816214302872</c:v>
                </c:pt>
                <c:pt idx="18">
                  <c:v>3.2037468839090533</c:v>
                </c:pt>
                <c:pt idx="19">
                  <c:v>2.1272319480664992</c:v>
                </c:pt>
                <c:pt idx="20">
                  <c:v>1.5170472151969983</c:v>
                </c:pt>
                <c:pt idx="21">
                  <c:v>1.4373220770236284E-2</c:v>
                </c:pt>
              </c:numCache>
            </c:numRef>
          </c:yVal>
          <c:smooth val="1"/>
          <c:extLst>
            <c:ext xmlns:c16="http://schemas.microsoft.com/office/drawing/2014/chart" uri="{C3380CC4-5D6E-409C-BE32-E72D297353CC}">
              <c16:uniqueId val="{00000000-3B54-41D1-8900-1E7B2172906C}"/>
            </c:ext>
          </c:extLst>
        </c:ser>
        <c:ser>
          <c:idx val="1"/>
          <c:order val="1"/>
          <c:tx>
            <c:strRef>
              <c:f>'Интегральная оценка'!$G$24</c:f>
              <c:strCache>
                <c:ptCount val="1"/>
                <c:pt idx="0">
                  <c:v>Свердловская область</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'Интегральная оценка'!$H$22:$AC$22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'Интегральная оценка'!$H$24:$AC$24</c:f>
              <c:numCache>
                <c:formatCode>General</c:formatCode>
                <c:ptCount val="22"/>
                <c:pt idx="0">
                  <c:v>5.7783025472268879E-2</c:v>
                </c:pt>
                <c:pt idx="1">
                  <c:v>0.1171697876015898</c:v>
                </c:pt>
                <c:pt idx="2">
                  <c:v>0.10514918671480356</c:v>
                </c:pt>
                <c:pt idx="3">
                  <c:v>0.25444493911714883</c:v>
                </c:pt>
                <c:pt idx="4">
                  <c:v>0.53476298780910092</c:v>
                </c:pt>
                <c:pt idx="5">
                  <c:v>0.7205920637372909</c:v>
                </c:pt>
                <c:pt idx="6">
                  <c:v>0.31052085751859249</c:v>
                </c:pt>
                <c:pt idx="7">
                  <c:v>0.4647124955888593</c:v>
                </c:pt>
                <c:pt idx="8">
                  <c:v>1.1414607282062894</c:v>
                </c:pt>
                <c:pt idx="9">
                  <c:v>2.1456364025492447</c:v>
                </c:pt>
                <c:pt idx="10">
                  <c:v>1.3945022791871708</c:v>
                </c:pt>
                <c:pt idx="11">
                  <c:v>1.2518998568499362</c:v>
                </c:pt>
                <c:pt idx="12">
                  <c:v>0.75206698433392116</c:v>
                </c:pt>
                <c:pt idx="13">
                  <c:v>1.203444642773388</c:v>
                </c:pt>
                <c:pt idx="14">
                  <c:v>0.98047930998874655</c:v>
                </c:pt>
                <c:pt idx="15">
                  <c:v>1.3567943007079419</c:v>
                </c:pt>
                <c:pt idx="16">
                  <c:v>1.0100133081031082</c:v>
                </c:pt>
                <c:pt idx="17">
                  <c:v>0.99623191557722812</c:v>
                </c:pt>
                <c:pt idx="18">
                  <c:v>1.2262850065546727</c:v>
                </c:pt>
                <c:pt idx="19">
                  <c:v>1.2373905843550692</c:v>
                </c:pt>
                <c:pt idx="20">
                  <c:v>0.5214444611435054</c:v>
                </c:pt>
                <c:pt idx="21">
                  <c:v>0.14881259139706282</c:v>
                </c:pt>
              </c:numCache>
            </c:numRef>
          </c:yVal>
          <c:smooth val="1"/>
          <c:extLst>
            <c:ext xmlns:c16="http://schemas.microsoft.com/office/drawing/2014/chart" uri="{C3380CC4-5D6E-409C-BE32-E72D297353CC}">
              <c16:uniqueId val="{00000001-3B54-41D1-8900-1E7B2172906C}"/>
            </c:ext>
          </c:extLst>
        </c:ser>
        <c:ser>
          <c:idx val="2"/>
          <c:order val="2"/>
          <c:tx>
            <c:strRef>
              <c:f>'Интегральная оценка'!$G$25</c:f>
              <c:strCache>
                <c:ptCount val="1"/>
                <c:pt idx="0">
                  <c:v>ХМАО</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'Интегральная оценка'!$H$22:$AC$22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'Интегральная оценка'!$H$25:$AC$25</c:f>
              <c:numCache>
                <c:formatCode>General</c:formatCode>
                <c:ptCount val="22"/>
                <c:pt idx="0">
                  <c:v>8.3080298069627254</c:v>
                </c:pt>
                <c:pt idx="1">
                  <c:v>8.7791732011768815</c:v>
                </c:pt>
                <c:pt idx="2">
                  <c:v>9.6223889703745176</c:v>
                </c:pt>
                <c:pt idx="3">
                  <c:v>9.1004857777086556</c:v>
                </c:pt>
                <c:pt idx="4">
                  <c:v>8.3615083746824919</c:v>
                </c:pt>
                <c:pt idx="5">
                  <c:v>9.3953004338560788</c:v>
                </c:pt>
                <c:pt idx="6">
                  <c:v>7.7301081101523224</c:v>
                </c:pt>
                <c:pt idx="7">
                  <c:v>5.7601845202834738</c:v>
                </c:pt>
                <c:pt idx="8">
                  <c:v>4.1730587718707524</c:v>
                </c:pt>
                <c:pt idx="9">
                  <c:v>4.4553661545320589</c:v>
                </c:pt>
                <c:pt idx="10">
                  <c:v>4.3846158402744866</c:v>
                </c:pt>
                <c:pt idx="11">
                  <c:v>5.1682710477985232</c:v>
                </c:pt>
                <c:pt idx="12">
                  <c:v>5.683830159127778</c:v>
                </c:pt>
                <c:pt idx="13">
                  <c:v>3.4023700800795642</c:v>
                </c:pt>
                <c:pt idx="14">
                  <c:v>3.2558295847971319</c:v>
                </c:pt>
                <c:pt idx="15">
                  <c:v>2.6337593834849127</c:v>
                </c:pt>
                <c:pt idx="16">
                  <c:v>0.2489395203923217</c:v>
                </c:pt>
                <c:pt idx="17">
                  <c:v>1.8458424188258049</c:v>
                </c:pt>
                <c:pt idx="18">
                  <c:v>4.5096674626396771</c:v>
                </c:pt>
                <c:pt idx="19">
                  <c:v>3.7927236216521942</c:v>
                </c:pt>
                <c:pt idx="20">
                  <c:v>2.3233794778901471</c:v>
                </c:pt>
                <c:pt idx="21">
                  <c:v>0.8540353341281004</c:v>
                </c:pt>
              </c:numCache>
            </c:numRef>
          </c:yVal>
          <c:smooth val="1"/>
          <c:extLst>
            <c:ext xmlns:c16="http://schemas.microsoft.com/office/drawing/2014/chart" uri="{C3380CC4-5D6E-409C-BE32-E72D297353CC}">
              <c16:uniqueId val="{00000002-3B54-41D1-8900-1E7B2172906C}"/>
            </c:ext>
          </c:extLst>
        </c:ser>
        <c:ser>
          <c:idx val="4"/>
          <c:order val="4"/>
          <c:tx>
            <c:strRef>
              <c:f>'Интегральная оценка'!$G$27</c:f>
              <c:strCache>
                <c:ptCount val="1"/>
                <c:pt idx="0">
                  <c:v>Тюменская область (без АО)</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'Интегральная оценка'!$H$22:$AC$22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'Интегральная оценка'!$H$27:$AC$27</c:f>
              <c:numCache>
                <c:formatCode>General</c:formatCode>
                <c:ptCount val="22"/>
                <c:pt idx="0">
                  <c:v>0.68740920246673776</c:v>
                </c:pt>
                <c:pt idx="1">
                  <c:v>0.43131736444405044</c:v>
                </c:pt>
                <c:pt idx="2">
                  <c:v>0.16608566612660303</c:v>
                </c:pt>
                <c:pt idx="3">
                  <c:v>8.1814692459347693E-2</c:v>
                </c:pt>
                <c:pt idx="4">
                  <c:v>1.845673034452977</c:v>
                </c:pt>
                <c:pt idx="5">
                  <c:v>3.6668365331072983</c:v>
                </c:pt>
                <c:pt idx="6">
                  <c:v>2.1007688395429436</c:v>
                </c:pt>
                <c:pt idx="7">
                  <c:v>0.86321570190109886</c:v>
                </c:pt>
                <c:pt idx="8">
                  <c:v>0.5084081768831239</c:v>
                </c:pt>
                <c:pt idx="9">
                  <c:v>1.4830112856107691</c:v>
                </c:pt>
                <c:pt idx="10">
                  <c:v>2.9453612776358273</c:v>
                </c:pt>
                <c:pt idx="11">
                  <c:v>3.2965322563210719</c:v>
                </c:pt>
                <c:pt idx="12">
                  <c:v>2.4836223362746712</c:v>
                </c:pt>
                <c:pt idx="13">
                  <c:v>3.1445291881145754</c:v>
                </c:pt>
                <c:pt idx="14">
                  <c:v>2.4488210627236495</c:v>
                </c:pt>
                <c:pt idx="15">
                  <c:v>2.1214750910151015</c:v>
                </c:pt>
                <c:pt idx="16">
                  <c:v>1.8230963977208581</c:v>
                </c:pt>
                <c:pt idx="17">
                  <c:v>2.3957047945060261</c:v>
                </c:pt>
                <c:pt idx="18">
                  <c:v>2.7826106878024226</c:v>
                </c:pt>
                <c:pt idx="19">
                  <c:v>1.2380559535511315</c:v>
                </c:pt>
                <c:pt idx="20">
                  <c:v>0.91894101471049483</c:v>
                </c:pt>
                <c:pt idx="21">
                  <c:v>0.31680701100637032</c:v>
                </c:pt>
              </c:numCache>
            </c:numRef>
          </c:yVal>
          <c:smooth val="1"/>
          <c:extLst>
            <c:ext xmlns:c16="http://schemas.microsoft.com/office/drawing/2014/chart" uri="{C3380CC4-5D6E-409C-BE32-E72D297353CC}">
              <c16:uniqueId val="{00000003-3B54-41D1-8900-1E7B2172906C}"/>
            </c:ext>
          </c:extLst>
        </c:ser>
        <c:ser>
          <c:idx val="5"/>
          <c:order val="5"/>
          <c:tx>
            <c:strRef>
              <c:f>'Интегральная оценка'!$G$28</c:f>
              <c:strCache>
                <c:ptCount val="1"/>
                <c:pt idx="0">
                  <c:v>Челябинская область</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'Интегральная оценка'!$H$22:$AC$22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'Интегральная оценка'!$H$28:$AC$28</c:f>
              <c:numCache>
                <c:formatCode>General</c:formatCode>
                <c:ptCount val="22"/>
                <c:pt idx="0">
                  <c:v>0.15911241614995353</c:v>
                </c:pt>
                <c:pt idx="1">
                  <c:v>3.3667070526566256E-2</c:v>
                </c:pt>
                <c:pt idx="2">
                  <c:v>4.7978353665378837E-2</c:v>
                </c:pt>
                <c:pt idx="3">
                  <c:v>0.17167981202244054</c:v>
                </c:pt>
                <c:pt idx="4">
                  <c:v>0.13689003195122007</c:v>
                </c:pt>
                <c:pt idx="5">
                  <c:v>0.10557497146820305</c:v>
                </c:pt>
                <c:pt idx="6">
                  <c:v>0.30766824048341634</c:v>
                </c:pt>
                <c:pt idx="7">
                  <c:v>0.18691502100592894</c:v>
                </c:pt>
                <c:pt idx="8">
                  <c:v>0.75570053609103072</c:v>
                </c:pt>
                <c:pt idx="9">
                  <c:v>1.47491331683135</c:v>
                </c:pt>
                <c:pt idx="10">
                  <c:v>1.4539038271289106</c:v>
                </c:pt>
                <c:pt idx="11">
                  <c:v>1.4860902230374506</c:v>
                </c:pt>
                <c:pt idx="12">
                  <c:v>1.5339364163074243</c:v>
                </c:pt>
                <c:pt idx="13">
                  <c:v>1.7841776303706647</c:v>
                </c:pt>
                <c:pt idx="14">
                  <c:v>0.96106997217454415</c:v>
                </c:pt>
                <c:pt idx="15">
                  <c:v>0.18430353940463995</c:v>
                </c:pt>
                <c:pt idx="16">
                  <c:v>0.42505027848801502</c:v>
                </c:pt>
                <c:pt idx="17">
                  <c:v>0.53762668737152852</c:v>
                </c:pt>
                <c:pt idx="18">
                  <c:v>0.11333001433369017</c:v>
                </c:pt>
                <c:pt idx="19">
                  <c:v>9.2672215710842831E-2</c:v>
                </c:pt>
                <c:pt idx="20">
                  <c:v>0.10383634047788082</c:v>
                </c:pt>
                <c:pt idx="21">
                  <c:v>0.16035625749587501</c:v>
                </c:pt>
              </c:numCache>
            </c:numRef>
          </c:yVal>
          <c:smooth val="1"/>
          <c:extLst>
            <c:ext xmlns:c16="http://schemas.microsoft.com/office/drawing/2014/chart" uri="{C3380CC4-5D6E-409C-BE32-E72D297353CC}">
              <c16:uniqueId val="{00000004-3B54-41D1-8900-1E7B2172906C}"/>
            </c:ext>
          </c:extLst>
        </c:ser>
        <c:dLbls>
          <c:showLegendKey val="0"/>
          <c:showVal val="0"/>
          <c:showCatName val="0"/>
          <c:showSerName val="0"/>
          <c:showPercent val="0"/>
          <c:showBubbleSize val="0"/>
        </c:dLbls>
        <c:axId val="489508472"/>
        <c:axId val="489512408"/>
      </c:scatterChart>
      <c:scatterChart>
        <c:scatterStyle val="smoothMarker"/>
        <c:varyColors val="0"/>
        <c:ser>
          <c:idx val="3"/>
          <c:order val="3"/>
          <c:tx>
            <c:strRef>
              <c:f>'Интегральная оценка'!$G$26</c:f>
              <c:strCache>
                <c:ptCount val="1"/>
                <c:pt idx="0">
                  <c:v>ЯНАО</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'Интегральная оценка'!$H$22:$AC$22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xVal>
          <c:yVal>
            <c:numRef>
              <c:f>'Интегральная оценка'!$H$26:$AC$26</c:f>
              <c:numCache>
                <c:formatCode>General</c:formatCode>
                <c:ptCount val="22"/>
                <c:pt idx="0">
                  <c:v>12.379502581641278</c:v>
                </c:pt>
                <c:pt idx="1">
                  <c:v>11.009790681669529</c:v>
                </c:pt>
                <c:pt idx="2">
                  <c:v>13.322537070685513</c:v>
                </c:pt>
                <c:pt idx="3">
                  <c:v>14.122935920594959</c:v>
                </c:pt>
                <c:pt idx="4">
                  <c:v>9.6753378473113614</c:v>
                </c:pt>
                <c:pt idx="5">
                  <c:v>6.7702916747971242</c:v>
                </c:pt>
                <c:pt idx="6">
                  <c:v>6.1067848206438624</c:v>
                </c:pt>
                <c:pt idx="7">
                  <c:v>5.724472886234433</c:v>
                </c:pt>
                <c:pt idx="8">
                  <c:v>6.9172050645493366</c:v>
                </c:pt>
                <c:pt idx="9">
                  <c:v>7.3369180234316378</c:v>
                </c:pt>
                <c:pt idx="10">
                  <c:v>9.457119374031242</c:v>
                </c:pt>
                <c:pt idx="11">
                  <c:v>9.1754820957905991</c:v>
                </c:pt>
                <c:pt idx="12">
                  <c:v>10.922999896985319</c:v>
                </c:pt>
                <c:pt idx="13">
                  <c:v>11.564264826719238</c:v>
                </c:pt>
                <c:pt idx="14">
                  <c:v>14.349177601431517</c:v>
                </c:pt>
                <c:pt idx="15">
                  <c:v>12.80366053019314</c:v>
                </c:pt>
                <c:pt idx="16">
                  <c:v>15.778085834048605</c:v>
                </c:pt>
                <c:pt idx="17">
                  <c:v>12.905568328806449</c:v>
                </c:pt>
                <c:pt idx="18">
                  <c:v>11.510230663869859</c:v>
                </c:pt>
                <c:pt idx="19">
                  <c:v>11.04779333672573</c:v>
                </c:pt>
                <c:pt idx="20">
                  <c:v>11.050809501302872</c:v>
                </c:pt>
                <c:pt idx="21">
                  <c:v>9.0751943709110883E-3</c:v>
                </c:pt>
              </c:numCache>
            </c:numRef>
          </c:yVal>
          <c:smooth val="1"/>
          <c:extLst>
            <c:ext xmlns:c16="http://schemas.microsoft.com/office/drawing/2014/chart" uri="{C3380CC4-5D6E-409C-BE32-E72D297353CC}">
              <c16:uniqueId val="{00000005-3B54-41D1-8900-1E7B2172906C}"/>
            </c:ext>
          </c:extLst>
        </c:ser>
        <c:dLbls>
          <c:showLegendKey val="0"/>
          <c:showVal val="0"/>
          <c:showCatName val="0"/>
          <c:showSerName val="0"/>
          <c:showPercent val="0"/>
          <c:showBubbleSize val="0"/>
        </c:dLbls>
        <c:axId val="444684872"/>
        <c:axId val="444679296"/>
      </c:scatterChart>
      <c:valAx>
        <c:axId val="489508472"/>
        <c:scaling>
          <c:orientation val="minMax"/>
          <c:max val="2021"/>
          <c:min val="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9512408"/>
        <c:crosses val="autoZero"/>
        <c:crossBetween val="midCat"/>
      </c:valAx>
      <c:valAx>
        <c:axId val="4895124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9508472"/>
        <c:crosses val="autoZero"/>
        <c:crossBetween val="midCat"/>
      </c:valAx>
      <c:valAx>
        <c:axId val="444679296"/>
        <c:scaling>
          <c:orientation val="minMax"/>
          <c:max val="16"/>
        </c:scaling>
        <c:delete val="0"/>
        <c:axPos val="r"/>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684872"/>
        <c:crosses val="max"/>
        <c:crossBetween val="midCat"/>
      </c:valAx>
      <c:valAx>
        <c:axId val="444684872"/>
        <c:scaling>
          <c:orientation val="minMax"/>
        </c:scaling>
        <c:delete val="1"/>
        <c:axPos val="b"/>
        <c:numFmt formatCode="General" sourceLinked="1"/>
        <c:majorTickMark val="out"/>
        <c:minorTickMark val="none"/>
        <c:tickLblPos val="nextTo"/>
        <c:crossAx val="4446792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3"/>
          <c:order val="0"/>
          <c:tx>
            <c:strRef>
              <c:f>Лист1!$A$5</c:f>
              <c:strCache>
                <c:ptCount val="1"/>
                <c:pt idx="0">
                  <c:v>Курганская область</c:v>
                </c:pt>
              </c:strCache>
            </c:strRef>
          </c:tx>
          <c:spPr>
            <a:solidFill>
              <a:schemeClr val="accent4"/>
            </a:solidFill>
            <a:ln>
              <a:noFill/>
            </a:ln>
            <a:effectLst/>
          </c:spPr>
          <c:cat>
            <c:numRef>
              <c:f>Лист1!$C$2:$AC$2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Лист1!$C$5:$AC$5</c:f>
              <c:numCache>
                <c:formatCode>General</c:formatCode>
                <c:ptCount val="27"/>
                <c:pt idx="0">
                  <c:v>131</c:v>
                </c:pt>
                <c:pt idx="1">
                  <c:v>114</c:v>
                </c:pt>
                <c:pt idx="2">
                  <c:v>114</c:v>
                </c:pt>
                <c:pt idx="3">
                  <c:v>114</c:v>
                </c:pt>
                <c:pt idx="4">
                  <c:v>100</c:v>
                </c:pt>
                <c:pt idx="5">
                  <c:v>124</c:v>
                </c:pt>
                <c:pt idx="6">
                  <c:v>91</c:v>
                </c:pt>
                <c:pt idx="7">
                  <c:v>89</c:v>
                </c:pt>
                <c:pt idx="8">
                  <c:v>67</c:v>
                </c:pt>
                <c:pt idx="9">
                  <c:v>48</c:v>
                </c:pt>
                <c:pt idx="10">
                  <c:v>61</c:v>
                </c:pt>
                <c:pt idx="11">
                  <c:v>53</c:v>
                </c:pt>
                <c:pt idx="12">
                  <c:v>50</c:v>
                </c:pt>
                <c:pt idx="13">
                  <c:v>58</c:v>
                </c:pt>
                <c:pt idx="14">
                  <c:v>58</c:v>
                </c:pt>
                <c:pt idx="15">
                  <c:v>55</c:v>
                </c:pt>
                <c:pt idx="16">
                  <c:v>47</c:v>
                </c:pt>
                <c:pt idx="17">
                  <c:v>41</c:v>
                </c:pt>
                <c:pt idx="18">
                  <c:v>55</c:v>
                </c:pt>
                <c:pt idx="19">
                  <c:v>43</c:v>
                </c:pt>
                <c:pt idx="20">
                  <c:v>52</c:v>
                </c:pt>
                <c:pt idx="21">
                  <c:v>42</c:v>
                </c:pt>
                <c:pt idx="22">
                  <c:v>44</c:v>
                </c:pt>
                <c:pt idx="23">
                  <c:v>39</c:v>
                </c:pt>
                <c:pt idx="24">
                  <c:v>45</c:v>
                </c:pt>
                <c:pt idx="25">
                  <c:v>39</c:v>
                </c:pt>
                <c:pt idx="26">
                  <c:v>40</c:v>
                </c:pt>
              </c:numCache>
            </c:numRef>
          </c:val>
          <c:extLst>
            <c:ext xmlns:c16="http://schemas.microsoft.com/office/drawing/2014/chart" uri="{C3380CC4-5D6E-409C-BE32-E72D297353CC}">
              <c16:uniqueId val="{00000000-6262-416B-9F32-EB578A39EF58}"/>
            </c:ext>
          </c:extLst>
        </c:ser>
        <c:ser>
          <c:idx val="4"/>
          <c:order val="1"/>
          <c:tx>
            <c:strRef>
              <c:f>Лист1!$A$6</c:f>
              <c:strCache>
                <c:ptCount val="1"/>
                <c:pt idx="0">
                  <c:v>Свердловская область</c:v>
                </c:pt>
              </c:strCache>
            </c:strRef>
          </c:tx>
          <c:spPr>
            <a:solidFill>
              <a:schemeClr val="accent5"/>
            </a:solidFill>
            <a:ln>
              <a:noFill/>
            </a:ln>
            <a:effectLst/>
          </c:spPr>
          <c:cat>
            <c:numRef>
              <c:f>Лист1!$C$2:$AC$2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Лист1!$C$6:$AC$6</c:f>
              <c:numCache>
                <c:formatCode>General</c:formatCode>
                <c:ptCount val="27"/>
                <c:pt idx="0">
                  <c:v>1474</c:v>
                </c:pt>
                <c:pt idx="1">
                  <c:v>1393</c:v>
                </c:pt>
                <c:pt idx="2">
                  <c:v>1361</c:v>
                </c:pt>
                <c:pt idx="3">
                  <c:v>1279</c:v>
                </c:pt>
                <c:pt idx="4">
                  <c:v>1273</c:v>
                </c:pt>
                <c:pt idx="5">
                  <c:v>1471</c:v>
                </c:pt>
                <c:pt idx="6">
                  <c:v>1407</c:v>
                </c:pt>
                <c:pt idx="7">
                  <c:v>1221</c:v>
                </c:pt>
                <c:pt idx="8">
                  <c:v>1265</c:v>
                </c:pt>
                <c:pt idx="9">
                  <c:v>1240</c:v>
                </c:pt>
                <c:pt idx="10">
                  <c:v>1177</c:v>
                </c:pt>
                <c:pt idx="11">
                  <c:v>1250</c:v>
                </c:pt>
                <c:pt idx="12">
                  <c:v>1220</c:v>
                </c:pt>
                <c:pt idx="13">
                  <c:v>1289</c:v>
                </c:pt>
                <c:pt idx="14">
                  <c:v>1138</c:v>
                </c:pt>
                <c:pt idx="15">
                  <c:v>1169</c:v>
                </c:pt>
                <c:pt idx="16">
                  <c:v>1091</c:v>
                </c:pt>
                <c:pt idx="17">
                  <c:v>1129</c:v>
                </c:pt>
                <c:pt idx="18">
                  <c:v>1097</c:v>
                </c:pt>
                <c:pt idx="19">
                  <c:v>1021</c:v>
                </c:pt>
                <c:pt idx="20">
                  <c:v>984</c:v>
                </c:pt>
                <c:pt idx="21">
                  <c:v>906</c:v>
                </c:pt>
                <c:pt idx="22">
                  <c:v>928</c:v>
                </c:pt>
                <c:pt idx="23">
                  <c:v>857</c:v>
                </c:pt>
                <c:pt idx="24">
                  <c:v>898</c:v>
                </c:pt>
                <c:pt idx="25">
                  <c:v>784</c:v>
                </c:pt>
                <c:pt idx="26">
                  <c:v>784</c:v>
                </c:pt>
              </c:numCache>
            </c:numRef>
          </c:val>
          <c:extLst>
            <c:ext xmlns:c16="http://schemas.microsoft.com/office/drawing/2014/chart" uri="{C3380CC4-5D6E-409C-BE32-E72D297353CC}">
              <c16:uniqueId val="{00000001-6262-416B-9F32-EB578A39EF58}"/>
            </c:ext>
          </c:extLst>
        </c:ser>
        <c:ser>
          <c:idx val="6"/>
          <c:order val="2"/>
          <c:tx>
            <c:strRef>
              <c:f>Лист1!$A$8</c:f>
              <c:strCache>
                <c:ptCount val="1"/>
                <c:pt idx="0">
                  <c:v>в том числе:</c:v>
                </c:pt>
              </c:strCache>
            </c:strRef>
          </c:tx>
          <c:spPr>
            <a:solidFill>
              <a:schemeClr val="accent1">
                <a:lumMod val="60000"/>
              </a:schemeClr>
            </a:solidFill>
            <a:ln>
              <a:noFill/>
            </a:ln>
            <a:effectLst/>
          </c:spPr>
          <c:cat>
            <c:numRef>
              <c:f>Лист1!$C$2:$AC$2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Лист1!$C$8:$AC$8</c:f>
              <c:numCache>
                <c:formatCode>General</c:formatCode>
                <c:ptCount val="27"/>
              </c:numCache>
            </c:numRef>
          </c:val>
          <c:extLst>
            <c:ext xmlns:c16="http://schemas.microsoft.com/office/drawing/2014/chart" uri="{C3380CC4-5D6E-409C-BE32-E72D297353CC}">
              <c16:uniqueId val="{00000002-6262-416B-9F32-EB578A39EF58}"/>
            </c:ext>
          </c:extLst>
        </c:ser>
        <c:ser>
          <c:idx val="7"/>
          <c:order val="3"/>
          <c:tx>
            <c:strRef>
              <c:f>Лист1!$A$9</c:f>
              <c:strCache>
                <c:ptCount val="1"/>
                <c:pt idx="0">
                  <c:v>Ханты-Мансийский автономный округ - Югра</c:v>
                </c:pt>
              </c:strCache>
            </c:strRef>
          </c:tx>
          <c:spPr>
            <a:solidFill>
              <a:schemeClr val="accent2">
                <a:lumMod val="60000"/>
              </a:schemeClr>
            </a:solidFill>
            <a:ln>
              <a:noFill/>
            </a:ln>
            <a:effectLst/>
          </c:spPr>
          <c:cat>
            <c:numRef>
              <c:f>Лист1!$C$2:$AC$2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Лист1!$C$9:$AC$9</c:f>
              <c:numCache>
                <c:formatCode>General</c:formatCode>
                <c:ptCount val="27"/>
                <c:pt idx="0">
                  <c:v>1050</c:v>
                </c:pt>
                <c:pt idx="1">
                  <c:v>1017</c:v>
                </c:pt>
                <c:pt idx="2">
                  <c:v>1084</c:v>
                </c:pt>
                <c:pt idx="3">
                  <c:v>1133</c:v>
                </c:pt>
                <c:pt idx="4">
                  <c:v>1141</c:v>
                </c:pt>
                <c:pt idx="5">
                  <c:v>1298</c:v>
                </c:pt>
                <c:pt idx="6">
                  <c:v>1726</c:v>
                </c:pt>
                <c:pt idx="7">
                  <c:v>2554</c:v>
                </c:pt>
                <c:pt idx="8">
                  <c:v>2435</c:v>
                </c:pt>
                <c:pt idx="9">
                  <c:v>2969</c:v>
                </c:pt>
                <c:pt idx="10">
                  <c:v>3024</c:v>
                </c:pt>
                <c:pt idx="11">
                  <c:v>3022</c:v>
                </c:pt>
                <c:pt idx="12">
                  <c:v>2907</c:v>
                </c:pt>
                <c:pt idx="13">
                  <c:v>2294</c:v>
                </c:pt>
                <c:pt idx="14">
                  <c:v>2201</c:v>
                </c:pt>
                <c:pt idx="15">
                  <c:v>2129</c:v>
                </c:pt>
                <c:pt idx="16">
                  <c:v>2353</c:v>
                </c:pt>
                <c:pt idx="17">
                  <c:v>2430</c:v>
                </c:pt>
                <c:pt idx="18">
                  <c:v>1866</c:v>
                </c:pt>
                <c:pt idx="19">
                  <c:v>1467</c:v>
                </c:pt>
                <c:pt idx="20">
                  <c:v>1388</c:v>
                </c:pt>
                <c:pt idx="21">
                  <c:v>1428</c:v>
                </c:pt>
                <c:pt idx="22">
                  <c:v>1412</c:v>
                </c:pt>
                <c:pt idx="23">
                  <c:v>1377</c:v>
                </c:pt>
                <c:pt idx="24">
                  <c:v>1270</c:v>
                </c:pt>
                <c:pt idx="25">
                  <c:v>1142</c:v>
                </c:pt>
                <c:pt idx="26">
                  <c:v>1231</c:v>
                </c:pt>
              </c:numCache>
            </c:numRef>
          </c:val>
          <c:extLst>
            <c:ext xmlns:c16="http://schemas.microsoft.com/office/drawing/2014/chart" uri="{C3380CC4-5D6E-409C-BE32-E72D297353CC}">
              <c16:uniqueId val="{00000003-6262-416B-9F32-EB578A39EF58}"/>
            </c:ext>
          </c:extLst>
        </c:ser>
        <c:ser>
          <c:idx val="8"/>
          <c:order val="4"/>
          <c:tx>
            <c:strRef>
              <c:f>Лист1!$A$10</c:f>
              <c:strCache>
                <c:ptCount val="1"/>
                <c:pt idx="0">
                  <c:v>Ямало-Ненецкий автономный округ</c:v>
                </c:pt>
              </c:strCache>
            </c:strRef>
          </c:tx>
          <c:spPr>
            <a:solidFill>
              <a:schemeClr val="accent3">
                <a:lumMod val="60000"/>
              </a:schemeClr>
            </a:solidFill>
            <a:ln>
              <a:noFill/>
            </a:ln>
            <a:effectLst/>
          </c:spPr>
          <c:cat>
            <c:numRef>
              <c:f>Лист1!$C$2:$AC$2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Лист1!$C$10:$AC$10</c:f>
              <c:numCache>
                <c:formatCode>General</c:formatCode>
                <c:ptCount val="27"/>
                <c:pt idx="0">
                  <c:v>757</c:v>
                </c:pt>
                <c:pt idx="1">
                  <c:v>617</c:v>
                </c:pt>
                <c:pt idx="2">
                  <c:v>505</c:v>
                </c:pt>
                <c:pt idx="3">
                  <c:v>525</c:v>
                </c:pt>
                <c:pt idx="4">
                  <c:v>540</c:v>
                </c:pt>
                <c:pt idx="5">
                  <c:v>576</c:v>
                </c:pt>
                <c:pt idx="6">
                  <c:v>587</c:v>
                </c:pt>
                <c:pt idx="7">
                  <c:v>725</c:v>
                </c:pt>
                <c:pt idx="8">
                  <c:v>914</c:v>
                </c:pt>
                <c:pt idx="9">
                  <c:v>1088</c:v>
                </c:pt>
                <c:pt idx="10">
                  <c:v>1071</c:v>
                </c:pt>
                <c:pt idx="11">
                  <c:v>919</c:v>
                </c:pt>
                <c:pt idx="12">
                  <c:v>1095</c:v>
                </c:pt>
                <c:pt idx="13">
                  <c:v>1124</c:v>
                </c:pt>
                <c:pt idx="14">
                  <c:v>972</c:v>
                </c:pt>
                <c:pt idx="15">
                  <c:v>886</c:v>
                </c:pt>
                <c:pt idx="16">
                  <c:v>834</c:v>
                </c:pt>
                <c:pt idx="17">
                  <c:v>980</c:v>
                </c:pt>
                <c:pt idx="18">
                  <c:v>751</c:v>
                </c:pt>
                <c:pt idx="19">
                  <c:v>580</c:v>
                </c:pt>
                <c:pt idx="20">
                  <c:v>632</c:v>
                </c:pt>
                <c:pt idx="21">
                  <c:v>749</c:v>
                </c:pt>
                <c:pt idx="22">
                  <c:v>786</c:v>
                </c:pt>
                <c:pt idx="23">
                  <c:v>742</c:v>
                </c:pt>
                <c:pt idx="24">
                  <c:v>763</c:v>
                </c:pt>
                <c:pt idx="25">
                  <c:v>878</c:v>
                </c:pt>
                <c:pt idx="26">
                  <c:v>949</c:v>
                </c:pt>
              </c:numCache>
            </c:numRef>
          </c:val>
          <c:extLst>
            <c:ext xmlns:c16="http://schemas.microsoft.com/office/drawing/2014/chart" uri="{C3380CC4-5D6E-409C-BE32-E72D297353CC}">
              <c16:uniqueId val="{00000004-6262-416B-9F32-EB578A39EF58}"/>
            </c:ext>
          </c:extLst>
        </c:ser>
        <c:ser>
          <c:idx val="9"/>
          <c:order val="5"/>
          <c:tx>
            <c:strRef>
              <c:f>Лист1!$A$11</c:f>
              <c:strCache>
                <c:ptCount val="1"/>
                <c:pt idx="0">
                  <c:v>Тюменская область без ХМАО и ЯНАО</c:v>
                </c:pt>
              </c:strCache>
            </c:strRef>
          </c:tx>
          <c:spPr>
            <a:solidFill>
              <a:schemeClr val="accent4">
                <a:lumMod val="60000"/>
              </a:schemeClr>
            </a:solidFill>
            <a:ln>
              <a:noFill/>
            </a:ln>
            <a:effectLst/>
          </c:spPr>
          <c:cat>
            <c:numRef>
              <c:f>Лист1!$C$2:$AC$2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Лист1!$C$11:$AC$11</c:f>
              <c:numCache>
                <c:formatCode>General</c:formatCode>
                <c:ptCount val="27"/>
                <c:pt idx="0">
                  <c:v>69</c:v>
                </c:pt>
                <c:pt idx="1">
                  <c:v>62</c:v>
                </c:pt>
                <c:pt idx="2">
                  <c:v>61</c:v>
                </c:pt>
                <c:pt idx="3">
                  <c:v>58</c:v>
                </c:pt>
                <c:pt idx="4">
                  <c:v>57</c:v>
                </c:pt>
                <c:pt idx="5">
                  <c:v>60</c:v>
                </c:pt>
                <c:pt idx="6">
                  <c:v>68</c:v>
                </c:pt>
                <c:pt idx="7">
                  <c:v>80</c:v>
                </c:pt>
                <c:pt idx="8">
                  <c:v>72</c:v>
                </c:pt>
                <c:pt idx="9">
                  <c:v>72</c:v>
                </c:pt>
                <c:pt idx="10">
                  <c:v>84</c:v>
                </c:pt>
                <c:pt idx="11">
                  <c:v>81</c:v>
                </c:pt>
                <c:pt idx="12">
                  <c:v>84</c:v>
                </c:pt>
                <c:pt idx="13">
                  <c:v>76</c:v>
                </c:pt>
                <c:pt idx="14">
                  <c:v>95</c:v>
                </c:pt>
                <c:pt idx="15">
                  <c:v>116</c:v>
                </c:pt>
                <c:pt idx="16">
                  <c:v>106</c:v>
                </c:pt>
                <c:pt idx="17">
                  <c:v>110</c:v>
                </c:pt>
                <c:pt idx="18">
                  <c:v>134</c:v>
                </c:pt>
                <c:pt idx="19">
                  <c:v>134</c:v>
                </c:pt>
                <c:pt idx="20">
                  <c:v>125</c:v>
                </c:pt>
                <c:pt idx="21">
                  <c:v>114</c:v>
                </c:pt>
                <c:pt idx="22">
                  <c:v>138</c:v>
                </c:pt>
                <c:pt idx="23">
                  <c:v>190</c:v>
                </c:pt>
                <c:pt idx="24">
                  <c:v>186</c:v>
                </c:pt>
                <c:pt idx="25">
                  <c:v>163</c:v>
                </c:pt>
                <c:pt idx="26">
                  <c:v>163</c:v>
                </c:pt>
              </c:numCache>
            </c:numRef>
          </c:val>
          <c:extLst>
            <c:ext xmlns:c16="http://schemas.microsoft.com/office/drawing/2014/chart" uri="{C3380CC4-5D6E-409C-BE32-E72D297353CC}">
              <c16:uniqueId val="{00000005-6262-416B-9F32-EB578A39EF58}"/>
            </c:ext>
          </c:extLst>
        </c:ser>
        <c:ser>
          <c:idx val="10"/>
          <c:order val="6"/>
          <c:tx>
            <c:strRef>
              <c:f>Лист1!$A$12</c:f>
              <c:strCache>
                <c:ptCount val="1"/>
                <c:pt idx="0">
                  <c:v>Челябинская область</c:v>
                </c:pt>
              </c:strCache>
            </c:strRef>
          </c:tx>
          <c:spPr>
            <a:solidFill>
              <a:schemeClr val="accent5">
                <a:lumMod val="60000"/>
              </a:schemeClr>
            </a:solidFill>
            <a:ln>
              <a:noFill/>
            </a:ln>
            <a:effectLst/>
          </c:spPr>
          <c:cat>
            <c:numRef>
              <c:f>Лист1!$C$2:$AC$2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Лист1!$C$12:$AC$12</c:f>
              <c:numCache>
                <c:formatCode>General</c:formatCode>
                <c:ptCount val="27"/>
                <c:pt idx="0">
                  <c:v>1129</c:v>
                </c:pt>
                <c:pt idx="1">
                  <c:v>956</c:v>
                </c:pt>
                <c:pt idx="2">
                  <c:v>1039</c:v>
                </c:pt>
                <c:pt idx="3">
                  <c:v>962</c:v>
                </c:pt>
                <c:pt idx="4">
                  <c:v>977</c:v>
                </c:pt>
                <c:pt idx="5">
                  <c:v>1034</c:v>
                </c:pt>
                <c:pt idx="6">
                  <c:v>984</c:v>
                </c:pt>
                <c:pt idx="7">
                  <c:v>903</c:v>
                </c:pt>
                <c:pt idx="8">
                  <c:v>910</c:v>
                </c:pt>
                <c:pt idx="9">
                  <c:v>945</c:v>
                </c:pt>
                <c:pt idx="10">
                  <c:v>880</c:v>
                </c:pt>
                <c:pt idx="11">
                  <c:v>996</c:v>
                </c:pt>
                <c:pt idx="12">
                  <c:v>970</c:v>
                </c:pt>
                <c:pt idx="13">
                  <c:v>958</c:v>
                </c:pt>
                <c:pt idx="14">
                  <c:v>798</c:v>
                </c:pt>
                <c:pt idx="15">
                  <c:v>749</c:v>
                </c:pt>
                <c:pt idx="16">
                  <c:v>694</c:v>
                </c:pt>
                <c:pt idx="17">
                  <c:v>678</c:v>
                </c:pt>
                <c:pt idx="18">
                  <c:v>667</c:v>
                </c:pt>
                <c:pt idx="19">
                  <c:v>653</c:v>
                </c:pt>
                <c:pt idx="20">
                  <c:v>627</c:v>
                </c:pt>
                <c:pt idx="21">
                  <c:v>597</c:v>
                </c:pt>
                <c:pt idx="22">
                  <c:v>533</c:v>
                </c:pt>
                <c:pt idx="23">
                  <c:v>488</c:v>
                </c:pt>
                <c:pt idx="24">
                  <c:v>493</c:v>
                </c:pt>
                <c:pt idx="25">
                  <c:v>457</c:v>
                </c:pt>
                <c:pt idx="26">
                  <c:v>467</c:v>
                </c:pt>
              </c:numCache>
            </c:numRef>
          </c:val>
          <c:extLst>
            <c:ext xmlns:c16="http://schemas.microsoft.com/office/drawing/2014/chart" uri="{C3380CC4-5D6E-409C-BE32-E72D297353CC}">
              <c16:uniqueId val="{00000006-6262-416B-9F32-EB578A39EF58}"/>
            </c:ext>
          </c:extLst>
        </c:ser>
        <c:dLbls>
          <c:showLegendKey val="0"/>
          <c:showVal val="0"/>
          <c:showCatName val="0"/>
          <c:showSerName val="0"/>
          <c:showPercent val="0"/>
          <c:showBubbleSize val="0"/>
        </c:dLbls>
        <c:axId val="306041600"/>
        <c:axId val="306043136"/>
      </c:areaChart>
      <c:catAx>
        <c:axId val="306041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043136"/>
        <c:crosses val="autoZero"/>
        <c:auto val="1"/>
        <c:lblAlgn val="ctr"/>
        <c:lblOffset val="100"/>
        <c:noMultiLvlLbl val="0"/>
      </c:catAx>
      <c:valAx>
        <c:axId val="30604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0416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3"/>
          <c:order val="0"/>
          <c:tx>
            <c:strRef>
              <c:f>Лист1!$AE$5</c:f>
              <c:strCache>
                <c:ptCount val="1"/>
                <c:pt idx="0">
                  <c:v>Курганская область</c:v>
                </c:pt>
              </c:strCache>
            </c:strRef>
          </c:tx>
          <c:spPr>
            <a:solidFill>
              <a:schemeClr val="accent4"/>
            </a:solidFill>
            <a:ln>
              <a:noFill/>
            </a:ln>
            <a:effectLst/>
          </c:spPr>
          <c:cat>
            <c:numRef>
              <c:f>Лист1!$AG$2:$BG$2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Лист1!$AG$5:$BG$5</c:f>
              <c:numCache>
                <c:formatCode>General</c:formatCode>
                <c:ptCount val="27"/>
                <c:pt idx="0">
                  <c:v>90</c:v>
                </c:pt>
                <c:pt idx="1">
                  <c:v>81</c:v>
                </c:pt>
                <c:pt idx="2">
                  <c:v>117</c:v>
                </c:pt>
                <c:pt idx="3">
                  <c:v>170</c:v>
                </c:pt>
                <c:pt idx="4">
                  <c:v>104</c:v>
                </c:pt>
                <c:pt idx="5">
                  <c:v>159</c:v>
                </c:pt>
                <c:pt idx="6">
                  <c:v>132</c:v>
                </c:pt>
                <c:pt idx="7">
                  <c:v>98</c:v>
                </c:pt>
                <c:pt idx="8">
                  <c:v>71</c:v>
                </c:pt>
                <c:pt idx="9">
                  <c:v>15</c:v>
                </c:pt>
                <c:pt idx="10">
                  <c:v>16</c:v>
                </c:pt>
                <c:pt idx="11">
                  <c:v>54</c:v>
                </c:pt>
                <c:pt idx="12">
                  <c:v>52</c:v>
                </c:pt>
                <c:pt idx="13">
                  <c:v>153</c:v>
                </c:pt>
                <c:pt idx="14">
                  <c:v>57</c:v>
                </c:pt>
                <c:pt idx="15">
                  <c:v>151</c:v>
                </c:pt>
                <c:pt idx="16">
                  <c:v>115</c:v>
                </c:pt>
                <c:pt idx="17">
                  <c:v>90</c:v>
                </c:pt>
                <c:pt idx="18">
                  <c:v>62</c:v>
                </c:pt>
                <c:pt idx="19">
                  <c:v>78</c:v>
                </c:pt>
                <c:pt idx="20">
                  <c:v>71</c:v>
                </c:pt>
                <c:pt idx="21">
                  <c:v>70</c:v>
                </c:pt>
                <c:pt idx="22">
                  <c:v>54</c:v>
                </c:pt>
                <c:pt idx="23">
                  <c:v>51</c:v>
                </c:pt>
                <c:pt idx="24">
                  <c:v>61</c:v>
                </c:pt>
                <c:pt idx="25">
                  <c:v>28</c:v>
                </c:pt>
                <c:pt idx="26">
                  <c:v>33</c:v>
                </c:pt>
              </c:numCache>
            </c:numRef>
          </c:val>
          <c:extLst>
            <c:ext xmlns:c16="http://schemas.microsoft.com/office/drawing/2014/chart" uri="{C3380CC4-5D6E-409C-BE32-E72D297353CC}">
              <c16:uniqueId val="{00000000-4F2A-4618-BE20-762264EF8607}"/>
            </c:ext>
          </c:extLst>
        </c:ser>
        <c:ser>
          <c:idx val="4"/>
          <c:order val="1"/>
          <c:tx>
            <c:strRef>
              <c:f>Лист1!$AE$6</c:f>
              <c:strCache>
                <c:ptCount val="1"/>
                <c:pt idx="0">
                  <c:v>Свердловская область</c:v>
                </c:pt>
              </c:strCache>
            </c:strRef>
          </c:tx>
          <c:spPr>
            <a:solidFill>
              <a:schemeClr val="accent5"/>
            </a:solidFill>
            <a:ln>
              <a:noFill/>
            </a:ln>
            <a:effectLst/>
          </c:spPr>
          <c:cat>
            <c:numRef>
              <c:f>Лист1!$AG$2:$BG$2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Лист1!$AG$6:$BG$6</c:f>
              <c:numCache>
                <c:formatCode>General</c:formatCode>
                <c:ptCount val="27"/>
                <c:pt idx="0">
                  <c:v>10476</c:v>
                </c:pt>
                <c:pt idx="1">
                  <c:v>9946</c:v>
                </c:pt>
                <c:pt idx="2">
                  <c:v>10355</c:v>
                </c:pt>
                <c:pt idx="3">
                  <c:v>7976</c:v>
                </c:pt>
                <c:pt idx="4">
                  <c:v>7453</c:v>
                </c:pt>
                <c:pt idx="5">
                  <c:v>9403</c:v>
                </c:pt>
                <c:pt idx="6">
                  <c:v>9209</c:v>
                </c:pt>
                <c:pt idx="7">
                  <c:v>7488</c:v>
                </c:pt>
                <c:pt idx="8">
                  <c:v>7997</c:v>
                </c:pt>
                <c:pt idx="9">
                  <c:v>7467</c:v>
                </c:pt>
                <c:pt idx="10">
                  <c:v>8361</c:v>
                </c:pt>
                <c:pt idx="11">
                  <c:v>9932</c:v>
                </c:pt>
                <c:pt idx="12">
                  <c:v>9551</c:v>
                </c:pt>
                <c:pt idx="13">
                  <c:v>10597</c:v>
                </c:pt>
                <c:pt idx="14">
                  <c:v>7932</c:v>
                </c:pt>
                <c:pt idx="15">
                  <c:v>9492</c:v>
                </c:pt>
                <c:pt idx="16">
                  <c:v>9354</c:v>
                </c:pt>
                <c:pt idx="17">
                  <c:v>9603</c:v>
                </c:pt>
                <c:pt idx="18">
                  <c:v>8975</c:v>
                </c:pt>
                <c:pt idx="19">
                  <c:v>8301</c:v>
                </c:pt>
                <c:pt idx="20">
                  <c:v>8078</c:v>
                </c:pt>
                <c:pt idx="21">
                  <c:v>7402</c:v>
                </c:pt>
                <c:pt idx="22">
                  <c:v>7292</c:v>
                </c:pt>
                <c:pt idx="23">
                  <c:v>6848</c:v>
                </c:pt>
                <c:pt idx="24">
                  <c:v>7060</c:v>
                </c:pt>
                <c:pt idx="25">
                  <c:v>6893</c:v>
                </c:pt>
                <c:pt idx="26">
                  <c:v>7778</c:v>
                </c:pt>
              </c:numCache>
            </c:numRef>
          </c:val>
          <c:extLst>
            <c:ext xmlns:c16="http://schemas.microsoft.com/office/drawing/2014/chart" uri="{C3380CC4-5D6E-409C-BE32-E72D297353CC}">
              <c16:uniqueId val="{00000001-4F2A-4618-BE20-762264EF8607}"/>
            </c:ext>
          </c:extLst>
        </c:ser>
        <c:ser>
          <c:idx val="6"/>
          <c:order val="2"/>
          <c:tx>
            <c:strRef>
              <c:f>Лист1!$AE$8</c:f>
              <c:strCache>
                <c:ptCount val="1"/>
                <c:pt idx="0">
                  <c:v>в том числе:</c:v>
                </c:pt>
              </c:strCache>
            </c:strRef>
          </c:tx>
          <c:spPr>
            <a:solidFill>
              <a:schemeClr val="accent1">
                <a:lumMod val="60000"/>
              </a:schemeClr>
            </a:solidFill>
            <a:ln>
              <a:noFill/>
            </a:ln>
            <a:effectLst/>
          </c:spPr>
          <c:cat>
            <c:numRef>
              <c:f>Лист1!$AG$2:$BG$2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Лист1!$AG$8:$BG$8</c:f>
              <c:numCache>
                <c:formatCode>General</c:formatCode>
                <c:ptCount val="27"/>
              </c:numCache>
            </c:numRef>
          </c:val>
          <c:extLst>
            <c:ext xmlns:c16="http://schemas.microsoft.com/office/drawing/2014/chart" uri="{C3380CC4-5D6E-409C-BE32-E72D297353CC}">
              <c16:uniqueId val="{00000002-4F2A-4618-BE20-762264EF8607}"/>
            </c:ext>
          </c:extLst>
        </c:ser>
        <c:ser>
          <c:idx val="7"/>
          <c:order val="3"/>
          <c:tx>
            <c:strRef>
              <c:f>Лист1!$AE$9</c:f>
              <c:strCache>
                <c:ptCount val="1"/>
                <c:pt idx="0">
                  <c:v>Ханты-Мансийский автономный округ - Югра</c:v>
                </c:pt>
              </c:strCache>
            </c:strRef>
          </c:tx>
          <c:spPr>
            <a:solidFill>
              <a:schemeClr val="accent2">
                <a:lumMod val="60000"/>
              </a:schemeClr>
            </a:solidFill>
            <a:ln>
              <a:noFill/>
            </a:ln>
            <a:effectLst/>
          </c:spPr>
          <c:cat>
            <c:numRef>
              <c:f>Лист1!$AG$2:$BG$2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Лист1!$AG$9:$BG$9</c:f>
              <c:numCache>
                <c:formatCode>General</c:formatCode>
                <c:ptCount val="27"/>
                <c:pt idx="0">
                  <c:v>7</c:v>
                </c:pt>
                <c:pt idx="1">
                  <c:v>6</c:v>
                </c:pt>
                <c:pt idx="2">
                  <c:v>3</c:v>
                </c:pt>
                <c:pt idx="3">
                  <c:v>6</c:v>
                </c:pt>
                <c:pt idx="4">
                  <c:v>8</c:v>
                </c:pt>
                <c:pt idx="5">
                  <c:v>6</c:v>
                </c:pt>
                <c:pt idx="6">
                  <c:v>8</c:v>
                </c:pt>
                <c:pt idx="7">
                  <c:v>8</c:v>
                </c:pt>
                <c:pt idx="8">
                  <c:v>8</c:v>
                </c:pt>
                <c:pt idx="9">
                  <c:v>12</c:v>
                </c:pt>
                <c:pt idx="10">
                  <c:v>13</c:v>
                </c:pt>
                <c:pt idx="11">
                  <c:v>13</c:v>
                </c:pt>
                <c:pt idx="12">
                  <c:v>9</c:v>
                </c:pt>
                <c:pt idx="13">
                  <c:v>9</c:v>
                </c:pt>
                <c:pt idx="14">
                  <c:v>6</c:v>
                </c:pt>
                <c:pt idx="15">
                  <c:v>6</c:v>
                </c:pt>
                <c:pt idx="16">
                  <c:v>6</c:v>
                </c:pt>
                <c:pt idx="17">
                  <c:v>3</c:v>
                </c:pt>
                <c:pt idx="18">
                  <c:v>2</c:v>
                </c:pt>
                <c:pt idx="19">
                  <c:v>1</c:v>
                </c:pt>
                <c:pt idx="20">
                  <c:v>1</c:v>
                </c:pt>
                <c:pt idx="21">
                  <c:v>7</c:v>
                </c:pt>
                <c:pt idx="22">
                  <c:v>10</c:v>
                </c:pt>
                <c:pt idx="23">
                  <c:v>16</c:v>
                </c:pt>
                <c:pt idx="24">
                  <c:v>225</c:v>
                </c:pt>
                <c:pt idx="25">
                  <c:v>239</c:v>
                </c:pt>
                <c:pt idx="26">
                  <c:v>244</c:v>
                </c:pt>
              </c:numCache>
            </c:numRef>
          </c:val>
          <c:extLst>
            <c:ext xmlns:c16="http://schemas.microsoft.com/office/drawing/2014/chart" uri="{C3380CC4-5D6E-409C-BE32-E72D297353CC}">
              <c16:uniqueId val="{00000003-4F2A-4618-BE20-762264EF8607}"/>
            </c:ext>
          </c:extLst>
        </c:ser>
        <c:ser>
          <c:idx val="8"/>
          <c:order val="4"/>
          <c:tx>
            <c:strRef>
              <c:f>Лист1!$AE$10</c:f>
              <c:strCache>
                <c:ptCount val="1"/>
                <c:pt idx="0">
                  <c:v>Ямало-Ненецкий автономный округ</c:v>
                </c:pt>
              </c:strCache>
            </c:strRef>
          </c:tx>
          <c:spPr>
            <a:solidFill>
              <a:schemeClr val="accent3">
                <a:lumMod val="60000"/>
              </a:schemeClr>
            </a:solidFill>
            <a:ln>
              <a:noFill/>
            </a:ln>
            <a:effectLst/>
          </c:spPr>
          <c:cat>
            <c:numRef>
              <c:f>Лист1!$AG$2:$BG$2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Лист1!$AG$10:$BG$10</c:f>
              <c:numCache>
                <c:formatCode>General</c:formatCode>
                <c:ptCount val="27"/>
                <c:pt idx="0">
                  <c:v>2</c:v>
                </c:pt>
                <c:pt idx="1">
                  <c:v>1</c:v>
                </c:pt>
                <c:pt idx="2">
                  <c:v>1</c:v>
                </c:pt>
                <c:pt idx="3">
                  <c:v>0.9</c:v>
                </c:pt>
                <c:pt idx="4">
                  <c:v>0.7</c:v>
                </c:pt>
                <c:pt idx="5">
                  <c:v>0.8</c:v>
                </c:pt>
                <c:pt idx="6">
                  <c:v>0.6</c:v>
                </c:pt>
                <c:pt idx="7">
                  <c:v>0.7</c:v>
                </c:pt>
                <c:pt idx="8">
                  <c:v>0.1</c:v>
                </c:pt>
                <c:pt idx="9">
                  <c:v>0</c:v>
                </c:pt>
                <c:pt idx="10">
                  <c:v>0.1</c:v>
                </c:pt>
                <c:pt idx="11">
                  <c:v>0.1</c:v>
                </c:pt>
                <c:pt idx="12">
                  <c:v>2</c:v>
                </c:pt>
                <c:pt idx="13">
                  <c:v>5</c:v>
                </c:pt>
                <c:pt idx="14">
                  <c:v>0</c:v>
                </c:pt>
                <c:pt idx="15">
                  <c:v>1</c:v>
                </c:pt>
                <c:pt idx="16">
                  <c:v>0.1</c:v>
                </c:pt>
                <c:pt idx="17">
                  <c:v>0</c:v>
                </c:pt>
                <c:pt idx="18">
                  <c:v>0.1</c:v>
                </c:pt>
                <c:pt idx="19">
                  <c:v>1</c:v>
                </c:pt>
                <c:pt idx="20">
                  <c:v>0.4</c:v>
                </c:pt>
                <c:pt idx="21">
                  <c:v>0.3</c:v>
                </c:pt>
                <c:pt idx="22">
                  <c:v>0.3</c:v>
                </c:pt>
                <c:pt idx="23">
                  <c:v>0.1</c:v>
                </c:pt>
                <c:pt idx="24">
                  <c:v>0.2</c:v>
                </c:pt>
                <c:pt idx="25">
                  <c:v>0.2</c:v>
                </c:pt>
                <c:pt idx="26">
                  <c:v>1</c:v>
                </c:pt>
              </c:numCache>
            </c:numRef>
          </c:val>
          <c:extLst>
            <c:ext xmlns:c16="http://schemas.microsoft.com/office/drawing/2014/chart" uri="{C3380CC4-5D6E-409C-BE32-E72D297353CC}">
              <c16:uniqueId val="{00000004-4F2A-4618-BE20-762264EF8607}"/>
            </c:ext>
          </c:extLst>
        </c:ser>
        <c:ser>
          <c:idx val="9"/>
          <c:order val="5"/>
          <c:tx>
            <c:strRef>
              <c:f>Лист1!$AE$11</c:f>
              <c:strCache>
                <c:ptCount val="1"/>
                <c:pt idx="0">
                  <c:v>Тюменская область без ХМАО и ЯНАО</c:v>
                </c:pt>
              </c:strCache>
            </c:strRef>
          </c:tx>
          <c:spPr>
            <a:solidFill>
              <a:schemeClr val="accent4">
                <a:lumMod val="60000"/>
              </a:schemeClr>
            </a:solidFill>
            <a:ln>
              <a:noFill/>
            </a:ln>
            <a:effectLst/>
          </c:spPr>
          <c:cat>
            <c:numRef>
              <c:f>Лист1!$AG$2:$BG$2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Лист1!$AG$11:$BG$11</c:f>
              <c:numCache>
                <c:formatCode>General</c:formatCode>
                <c:ptCount val="27"/>
                <c:pt idx="0">
                  <c:v>20</c:v>
                </c:pt>
                <c:pt idx="1">
                  <c:v>17</c:v>
                </c:pt>
                <c:pt idx="2">
                  <c:v>19</c:v>
                </c:pt>
                <c:pt idx="3">
                  <c:v>31.1</c:v>
                </c:pt>
                <c:pt idx="4">
                  <c:v>29.3</c:v>
                </c:pt>
                <c:pt idx="5">
                  <c:v>28.2</c:v>
                </c:pt>
                <c:pt idx="6">
                  <c:v>18.399999999999999</c:v>
                </c:pt>
                <c:pt idx="7">
                  <c:v>21.3</c:v>
                </c:pt>
                <c:pt idx="8">
                  <c:v>28.9</c:v>
                </c:pt>
                <c:pt idx="9">
                  <c:v>30</c:v>
                </c:pt>
                <c:pt idx="10">
                  <c:v>31.9</c:v>
                </c:pt>
                <c:pt idx="11">
                  <c:v>23.9</c:v>
                </c:pt>
                <c:pt idx="12">
                  <c:v>25</c:v>
                </c:pt>
                <c:pt idx="13">
                  <c:v>22</c:v>
                </c:pt>
                <c:pt idx="14">
                  <c:v>21</c:v>
                </c:pt>
                <c:pt idx="15">
                  <c:v>36</c:v>
                </c:pt>
                <c:pt idx="16">
                  <c:v>35</c:v>
                </c:pt>
                <c:pt idx="17">
                  <c:v>50</c:v>
                </c:pt>
                <c:pt idx="18">
                  <c:v>63</c:v>
                </c:pt>
                <c:pt idx="19">
                  <c:v>76</c:v>
                </c:pt>
                <c:pt idx="20">
                  <c:v>157</c:v>
                </c:pt>
                <c:pt idx="21">
                  <c:v>152</c:v>
                </c:pt>
                <c:pt idx="22">
                  <c:v>179</c:v>
                </c:pt>
                <c:pt idx="23">
                  <c:v>128</c:v>
                </c:pt>
                <c:pt idx="24">
                  <c:v>161</c:v>
                </c:pt>
                <c:pt idx="25">
                  <c:v>184</c:v>
                </c:pt>
                <c:pt idx="26">
                  <c:v>166</c:v>
                </c:pt>
              </c:numCache>
            </c:numRef>
          </c:val>
          <c:extLst>
            <c:ext xmlns:c16="http://schemas.microsoft.com/office/drawing/2014/chart" uri="{C3380CC4-5D6E-409C-BE32-E72D297353CC}">
              <c16:uniqueId val="{00000005-4F2A-4618-BE20-762264EF8607}"/>
            </c:ext>
          </c:extLst>
        </c:ser>
        <c:ser>
          <c:idx val="10"/>
          <c:order val="6"/>
          <c:tx>
            <c:strRef>
              <c:f>Лист1!$AE$12</c:f>
              <c:strCache>
                <c:ptCount val="1"/>
                <c:pt idx="0">
                  <c:v>Челябинская область</c:v>
                </c:pt>
              </c:strCache>
            </c:strRef>
          </c:tx>
          <c:spPr>
            <a:solidFill>
              <a:schemeClr val="accent5">
                <a:lumMod val="60000"/>
              </a:schemeClr>
            </a:solidFill>
            <a:ln>
              <a:noFill/>
            </a:ln>
            <a:effectLst/>
          </c:spPr>
          <c:cat>
            <c:numRef>
              <c:f>Лист1!$AG$2:$BG$2</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Лист1!$AG$12:$BG$12</c:f>
              <c:numCache>
                <c:formatCode>General</c:formatCode>
                <c:ptCount val="27"/>
                <c:pt idx="0">
                  <c:v>4935</c:v>
                </c:pt>
                <c:pt idx="1">
                  <c:v>3917</c:v>
                </c:pt>
                <c:pt idx="2">
                  <c:v>4570</c:v>
                </c:pt>
                <c:pt idx="3">
                  <c:v>4215</c:v>
                </c:pt>
                <c:pt idx="4">
                  <c:v>3406</c:v>
                </c:pt>
                <c:pt idx="5">
                  <c:v>3873</c:v>
                </c:pt>
                <c:pt idx="6">
                  <c:v>4016</c:v>
                </c:pt>
                <c:pt idx="7">
                  <c:v>3534</c:v>
                </c:pt>
                <c:pt idx="8">
                  <c:v>3782</c:v>
                </c:pt>
                <c:pt idx="9">
                  <c:v>4353</c:v>
                </c:pt>
                <c:pt idx="10">
                  <c:v>4363</c:v>
                </c:pt>
                <c:pt idx="11">
                  <c:v>5391</c:v>
                </c:pt>
                <c:pt idx="12">
                  <c:v>5109</c:v>
                </c:pt>
                <c:pt idx="13">
                  <c:v>2656</c:v>
                </c:pt>
                <c:pt idx="14">
                  <c:v>4119</c:v>
                </c:pt>
                <c:pt idx="15">
                  <c:v>4695</c:v>
                </c:pt>
                <c:pt idx="16">
                  <c:v>3888</c:v>
                </c:pt>
                <c:pt idx="17">
                  <c:v>3873</c:v>
                </c:pt>
                <c:pt idx="18">
                  <c:v>3794</c:v>
                </c:pt>
                <c:pt idx="19">
                  <c:v>3442</c:v>
                </c:pt>
                <c:pt idx="20">
                  <c:v>3136</c:v>
                </c:pt>
                <c:pt idx="21">
                  <c:v>3284</c:v>
                </c:pt>
                <c:pt idx="22">
                  <c:v>2977</c:v>
                </c:pt>
                <c:pt idx="23">
                  <c:v>2230</c:v>
                </c:pt>
                <c:pt idx="24">
                  <c:v>2131</c:v>
                </c:pt>
                <c:pt idx="25">
                  <c:v>1871</c:v>
                </c:pt>
                <c:pt idx="26">
                  <c:v>2864</c:v>
                </c:pt>
              </c:numCache>
            </c:numRef>
          </c:val>
          <c:extLst>
            <c:ext xmlns:c16="http://schemas.microsoft.com/office/drawing/2014/chart" uri="{C3380CC4-5D6E-409C-BE32-E72D297353CC}">
              <c16:uniqueId val="{00000006-4F2A-4618-BE20-762264EF8607}"/>
            </c:ext>
          </c:extLst>
        </c:ser>
        <c:dLbls>
          <c:showLegendKey val="0"/>
          <c:showVal val="0"/>
          <c:showCatName val="0"/>
          <c:showSerName val="0"/>
          <c:showPercent val="0"/>
          <c:showBubbleSize val="0"/>
        </c:dLbls>
        <c:axId val="313890304"/>
        <c:axId val="313891840"/>
      </c:areaChart>
      <c:catAx>
        <c:axId val="31389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891840"/>
        <c:crosses val="autoZero"/>
        <c:auto val="1"/>
        <c:lblAlgn val="ctr"/>
        <c:lblOffset val="100"/>
        <c:noMultiLvlLbl val="0"/>
      </c:catAx>
      <c:valAx>
        <c:axId val="31389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890304"/>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1"/>
          <c:tx>
            <c:strRef>
              <c:f>Лист1!$A$6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Лист1!$B$3:$AC$3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Лист1!$B$6:$AC$6</c:f>
              <c:numCache>
                <c:formatCode>General</c:formatCode>
                <c:ptCount val="28"/>
                <c:pt idx="0">
                  <c:v>1105</c:v>
                </c:pt>
                <c:pt idx="1">
                  <c:v>1090</c:v>
                </c:pt>
                <c:pt idx="2">
                  <c:v>1081</c:v>
                </c:pt>
                <c:pt idx="3">
                  <c:v>1075</c:v>
                </c:pt>
                <c:pt idx="4">
                  <c:v>1069</c:v>
                </c:pt>
                <c:pt idx="5">
                  <c:v>1060</c:v>
                </c:pt>
                <c:pt idx="6">
                  <c:v>1047</c:v>
                </c:pt>
                <c:pt idx="7">
                  <c:v>1031</c:v>
                </c:pt>
                <c:pt idx="8">
                  <c:v>1016</c:v>
                </c:pt>
                <c:pt idx="9">
                  <c:v>1004</c:v>
                </c:pt>
                <c:pt idx="10">
                  <c:v>992</c:v>
                </c:pt>
                <c:pt idx="11">
                  <c:v>962</c:v>
                </c:pt>
                <c:pt idx="12">
                  <c:v>946</c:v>
                </c:pt>
                <c:pt idx="13">
                  <c:v>934</c:v>
                </c:pt>
                <c:pt idx="14">
                  <c:v>925</c:v>
                </c:pt>
                <c:pt idx="15">
                  <c:v>918</c:v>
                </c:pt>
                <c:pt idx="16">
                  <c:v>909</c:v>
                </c:pt>
                <c:pt idx="17">
                  <c:v>896</c:v>
                </c:pt>
                <c:pt idx="18">
                  <c:v>886</c:v>
                </c:pt>
                <c:pt idx="19">
                  <c:v>877</c:v>
                </c:pt>
                <c:pt idx="20">
                  <c:v>870</c:v>
                </c:pt>
                <c:pt idx="21">
                  <c:v>862</c:v>
                </c:pt>
                <c:pt idx="22">
                  <c:v>854</c:v>
                </c:pt>
                <c:pt idx="23">
                  <c:v>846</c:v>
                </c:pt>
                <c:pt idx="24">
                  <c:v>835</c:v>
                </c:pt>
                <c:pt idx="25">
                  <c:v>827</c:v>
                </c:pt>
                <c:pt idx="26">
                  <c:v>819</c:v>
                </c:pt>
                <c:pt idx="27">
                  <c:v>812</c:v>
                </c:pt>
              </c:numCache>
            </c:numRef>
          </c:yVal>
          <c:smooth val="1"/>
          <c:extLst>
            <c:ext xmlns:c16="http://schemas.microsoft.com/office/drawing/2014/chart" uri="{C3380CC4-5D6E-409C-BE32-E72D297353CC}">
              <c16:uniqueId val="{00000000-EA9C-48DC-9600-F7F3D734184E}"/>
            </c:ext>
          </c:extLst>
        </c:ser>
        <c:ser>
          <c:idx val="3"/>
          <c:order val="2"/>
          <c:tx>
            <c:strRef>
              <c:f>Лист1!$A$7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Лист1!$B$3:$AC$3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Лист1!$B$7:$AC$7</c:f>
              <c:numCache>
                <c:formatCode>General</c:formatCode>
                <c:ptCount val="28"/>
                <c:pt idx="0">
                  <c:v>4767</c:v>
                </c:pt>
                <c:pt idx="1">
                  <c:v>4660</c:v>
                </c:pt>
                <c:pt idx="2">
                  <c:v>4642</c:v>
                </c:pt>
                <c:pt idx="3">
                  <c:v>4625</c:v>
                </c:pt>
                <c:pt idx="4">
                  <c:v>4607</c:v>
                </c:pt>
                <c:pt idx="5">
                  <c:v>4577</c:v>
                </c:pt>
                <c:pt idx="6">
                  <c:v>4546</c:v>
                </c:pt>
                <c:pt idx="7">
                  <c:v>4514</c:v>
                </c:pt>
                <c:pt idx="8">
                  <c:v>4478</c:v>
                </c:pt>
                <c:pt idx="9">
                  <c:v>4448</c:v>
                </c:pt>
                <c:pt idx="10">
                  <c:v>4428</c:v>
                </c:pt>
                <c:pt idx="11">
                  <c:v>4356</c:v>
                </c:pt>
                <c:pt idx="12">
                  <c:v>4331</c:v>
                </c:pt>
                <c:pt idx="13">
                  <c:v>4320</c:v>
                </c:pt>
                <c:pt idx="14">
                  <c:v>4314</c:v>
                </c:pt>
                <c:pt idx="15">
                  <c:v>4308</c:v>
                </c:pt>
                <c:pt idx="16">
                  <c:v>4297</c:v>
                </c:pt>
                <c:pt idx="17">
                  <c:v>4307</c:v>
                </c:pt>
                <c:pt idx="18">
                  <c:v>4316</c:v>
                </c:pt>
                <c:pt idx="19">
                  <c:v>4321</c:v>
                </c:pt>
                <c:pt idx="20">
                  <c:v>4327</c:v>
                </c:pt>
                <c:pt idx="21">
                  <c:v>4330</c:v>
                </c:pt>
                <c:pt idx="22">
                  <c:v>4329</c:v>
                </c:pt>
                <c:pt idx="23">
                  <c:v>4325</c:v>
                </c:pt>
                <c:pt idx="24" formatCode="#,##0">
                  <c:v>4316</c:v>
                </c:pt>
                <c:pt idx="25" formatCode="#,##0">
                  <c:v>4311</c:v>
                </c:pt>
                <c:pt idx="26" formatCode="#,##0">
                  <c:v>4290</c:v>
                </c:pt>
                <c:pt idx="27" formatCode="#,##0.00">
                  <c:v>4277.2</c:v>
                </c:pt>
              </c:numCache>
            </c:numRef>
          </c:yVal>
          <c:smooth val="1"/>
          <c:extLst>
            <c:ext xmlns:c16="http://schemas.microsoft.com/office/drawing/2014/chart" uri="{C3380CC4-5D6E-409C-BE32-E72D297353CC}">
              <c16:uniqueId val="{00000001-EA9C-48DC-9600-F7F3D734184E}"/>
            </c:ext>
          </c:extLst>
        </c:ser>
        <c:ser>
          <c:idx val="5"/>
          <c:order val="3"/>
          <c:tx>
            <c:strRef>
              <c:f>Лист1!$A$9</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Лист1!$B$9:$AC$9</c:f>
              <c:numCache>
                <c:formatCode>General</c:formatCode>
                <c:ptCount val="28"/>
              </c:numCache>
            </c:numRef>
          </c:yVal>
          <c:smooth val="1"/>
          <c:extLst>
            <c:ext xmlns:c16="http://schemas.microsoft.com/office/drawing/2014/chart" uri="{C3380CC4-5D6E-409C-BE32-E72D297353CC}">
              <c16:uniqueId val="{00000002-EA9C-48DC-9600-F7F3D734184E}"/>
            </c:ext>
          </c:extLst>
        </c:ser>
        <c:ser>
          <c:idx val="6"/>
          <c:order val="4"/>
          <c:tx>
            <c:strRef>
              <c:f>Лист1!$A$10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Лист1!$B$3:$AC$3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Лист1!$B$10:$AC$10</c:f>
              <c:numCache>
                <c:formatCode>General</c:formatCode>
                <c:ptCount val="28"/>
                <c:pt idx="0">
                  <c:v>1280</c:v>
                </c:pt>
                <c:pt idx="1">
                  <c:v>1303</c:v>
                </c:pt>
                <c:pt idx="2">
                  <c:v>1317</c:v>
                </c:pt>
                <c:pt idx="3">
                  <c:v>1343</c:v>
                </c:pt>
                <c:pt idx="4">
                  <c:v>1359</c:v>
                </c:pt>
                <c:pt idx="5">
                  <c:v>1360</c:v>
                </c:pt>
                <c:pt idx="6">
                  <c:v>1383</c:v>
                </c:pt>
                <c:pt idx="7">
                  <c:v>1412</c:v>
                </c:pt>
                <c:pt idx="8">
                  <c:v>1438</c:v>
                </c:pt>
                <c:pt idx="9">
                  <c:v>1457</c:v>
                </c:pt>
                <c:pt idx="10">
                  <c:v>1469</c:v>
                </c:pt>
                <c:pt idx="11">
                  <c:v>1468</c:v>
                </c:pt>
                <c:pt idx="12">
                  <c:v>1475</c:v>
                </c:pt>
                <c:pt idx="13">
                  <c:v>1491</c:v>
                </c:pt>
                <c:pt idx="14">
                  <c:v>1504</c:v>
                </c:pt>
                <c:pt idx="15">
                  <c:v>1521</c:v>
                </c:pt>
                <c:pt idx="16">
                  <c:v>1537</c:v>
                </c:pt>
                <c:pt idx="17">
                  <c:v>1561</c:v>
                </c:pt>
                <c:pt idx="18">
                  <c:v>1584</c:v>
                </c:pt>
                <c:pt idx="19">
                  <c:v>1597</c:v>
                </c:pt>
                <c:pt idx="20">
                  <c:v>1612</c:v>
                </c:pt>
                <c:pt idx="21">
                  <c:v>1626</c:v>
                </c:pt>
                <c:pt idx="22">
                  <c:v>1646</c:v>
                </c:pt>
                <c:pt idx="23">
                  <c:v>1655</c:v>
                </c:pt>
                <c:pt idx="24" formatCode="#,##0">
                  <c:v>1664</c:v>
                </c:pt>
                <c:pt idx="25" formatCode="#,##0">
                  <c:v>1675</c:v>
                </c:pt>
                <c:pt idx="26" formatCode="#,##0">
                  <c:v>1688</c:v>
                </c:pt>
                <c:pt idx="27" formatCode="#,##0.00">
                  <c:v>1694.9</c:v>
                </c:pt>
              </c:numCache>
            </c:numRef>
          </c:yVal>
          <c:smooth val="1"/>
          <c:extLst>
            <c:ext xmlns:c16="http://schemas.microsoft.com/office/drawing/2014/chart" uri="{C3380CC4-5D6E-409C-BE32-E72D297353CC}">
              <c16:uniqueId val="{00000003-EA9C-48DC-9600-F7F3D734184E}"/>
            </c:ext>
          </c:extLst>
        </c:ser>
        <c:ser>
          <c:idx val="7"/>
          <c:order val="5"/>
          <c:tx>
            <c:strRef>
              <c:f>Лист1!$A$11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Лист1!$B$3:$AC$3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Лист1!$B$11:$AC$11</c:f>
              <c:numCache>
                <c:formatCode>General</c:formatCode>
                <c:ptCount val="28"/>
                <c:pt idx="0">
                  <c:v>489</c:v>
                </c:pt>
                <c:pt idx="1">
                  <c:v>487</c:v>
                </c:pt>
                <c:pt idx="2">
                  <c:v>492</c:v>
                </c:pt>
                <c:pt idx="3">
                  <c:v>498</c:v>
                </c:pt>
                <c:pt idx="4">
                  <c:v>499</c:v>
                </c:pt>
                <c:pt idx="5">
                  <c:v>496</c:v>
                </c:pt>
                <c:pt idx="6">
                  <c:v>498</c:v>
                </c:pt>
                <c:pt idx="7">
                  <c:v>503</c:v>
                </c:pt>
                <c:pt idx="8">
                  <c:v>509</c:v>
                </c:pt>
                <c:pt idx="9">
                  <c:v>515</c:v>
                </c:pt>
                <c:pt idx="10">
                  <c:v>523</c:v>
                </c:pt>
                <c:pt idx="11">
                  <c:v>517</c:v>
                </c:pt>
                <c:pt idx="12">
                  <c:v>522</c:v>
                </c:pt>
                <c:pt idx="13">
                  <c:v>524</c:v>
                </c:pt>
                <c:pt idx="14">
                  <c:v>523</c:v>
                </c:pt>
                <c:pt idx="15">
                  <c:v>524</c:v>
                </c:pt>
                <c:pt idx="16">
                  <c:v>525</c:v>
                </c:pt>
                <c:pt idx="17">
                  <c:v>537</c:v>
                </c:pt>
                <c:pt idx="18">
                  <c:v>542</c:v>
                </c:pt>
                <c:pt idx="19">
                  <c:v>540</c:v>
                </c:pt>
                <c:pt idx="20">
                  <c:v>540</c:v>
                </c:pt>
                <c:pt idx="21">
                  <c:v>534</c:v>
                </c:pt>
                <c:pt idx="22">
                  <c:v>536</c:v>
                </c:pt>
                <c:pt idx="23">
                  <c:v>538</c:v>
                </c:pt>
                <c:pt idx="24">
                  <c:v>541</c:v>
                </c:pt>
                <c:pt idx="25">
                  <c:v>544</c:v>
                </c:pt>
                <c:pt idx="26">
                  <c:v>547</c:v>
                </c:pt>
                <c:pt idx="27">
                  <c:v>549.6</c:v>
                </c:pt>
              </c:numCache>
            </c:numRef>
          </c:yVal>
          <c:smooth val="1"/>
          <c:extLst>
            <c:ext xmlns:c16="http://schemas.microsoft.com/office/drawing/2014/chart" uri="{C3380CC4-5D6E-409C-BE32-E72D297353CC}">
              <c16:uniqueId val="{00000004-EA9C-48DC-9600-F7F3D734184E}"/>
            </c:ext>
          </c:extLst>
        </c:ser>
        <c:ser>
          <c:idx val="8"/>
          <c:order val="6"/>
          <c:tx>
            <c:strRef>
              <c:f>Лист1!$A$12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Лист1!$B$3:$AC$3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Лист1!$B$12:$AC$12</c:f>
              <c:numCache>
                <c:formatCode>General</c:formatCode>
                <c:ptCount val="28"/>
                <c:pt idx="0">
                  <c:v>1401</c:v>
                </c:pt>
                <c:pt idx="1">
                  <c:v>1386</c:v>
                </c:pt>
                <c:pt idx="2">
                  <c:v>1375</c:v>
                </c:pt>
                <c:pt idx="3">
                  <c:v>1372</c:v>
                </c:pt>
                <c:pt idx="4">
                  <c:v>1368</c:v>
                </c:pt>
                <c:pt idx="5">
                  <c:v>1362</c:v>
                </c:pt>
                <c:pt idx="6">
                  <c:v>1353</c:v>
                </c:pt>
                <c:pt idx="7">
                  <c:v>1336</c:v>
                </c:pt>
                <c:pt idx="8">
                  <c:v>1323</c:v>
                </c:pt>
                <c:pt idx="9">
                  <c:v>1318</c:v>
                </c:pt>
                <c:pt idx="10">
                  <c:v>1316</c:v>
                </c:pt>
                <c:pt idx="11">
                  <c:v>1309</c:v>
                </c:pt>
                <c:pt idx="12">
                  <c:v>1310</c:v>
                </c:pt>
                <c:pt idx="13">
                  <c:v>1316</c:v>
                </c:pt>
                <c:pt idx="14">
                  <c:v>1325</c:v>
                </c:pt>
                <c:pt idx="15">
                  <c:v>1334</c:v>
                </c:pt>
                <c:pt idx="16">
                  <c:v>1343</c:v>
                </c:pt>
                <c:pt idx="17">
                  <c:v>1362</c:v>
                </c:pt>
                <c:pt idx="18">
                  <c:v>1385</c:v>
                </c:pt>
                <c:pt idx="19">
                  <c:v>1409</c:v>
                </c:pt>
                <c:pt idx="20">
                  <c:v>1429</c:v>
                </c:pt>
                <c:pt idx="21">
                  <c:v>1455</c:v>
                </c:pt>
                <c:pt idx="22">
                  <c:v>1478</c:v>
                </c:pt>
                <c:pt idx="23">
                  <c:v>1499</c:v>
                </c:pt>
                <c:pt idx="24" formatCode="#,##0">
                  <c:v>1518</c:v>
                </c:pt>
                <c:pt idx="25" formatCode="#,##0">
                  <c:v>1538</c:v>
                </c:pt>
                <c:pt idx="26" formatCode="#,##0">
                  <c:v>1543</c:v>
                </c:pt>
                <c:pt idx="27" formatCode="#,##0.00">
                  <c:v>1547.8</c:v>
                </c:pt>
              </c:numCache>
            </c:numRef>
          </c:yVal>
          <c:smooth val="1"/>
          <c:extLst>
            <c:ext xmlns:c16="http://schemas.microsoft.com/office/drawing/2014/chart" uri="{C3380CC4-5D6E-409C-BE32-E72D297353CC}">
              <c16:uniqueId val="{00000005-EA9C-48DC-9600-F7F3D734184E}"/>
            </c:ext>
          </c:extLst>
        </c:ser>
        <c:ser>
          <c:idx val="9"/>
          <c:order val="7"/>
          <c:tx>
            <c:strRef>
              <c:f>Лист1!$A$13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Лист1!$B$3:$AC$3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Лист1!$B$13:$AC$13</c:f>
              <c:numCache>
                <c:formatCode>General</c:formatCode>
                <c:ptCount val="28"/>
                <c:pt idx="0">
                  <c:v>3706</c:v>
                </c:pt>
                <c:pt idx="1">
                  <c:v>3680</c:v>
                </c:pt>
                <c:pt idx="2">
                  <c:v>3668</c:v>
                </c:pt>
                <c:pt idx="3">
                  <c:v>3670</c:v>
                </c:pt>
                <c:pt idx="4">
                  <c:v>3672</c:v>
                </c:pt>
                <c:pt idx="5">
                  <c:v>3660</c:v>
                </c:pt>
                <c:pt idx="6">
                  <c:v>3644</c:v>
                </c:pt>
                <c:pt idx="7">
                  <c:v>3622</c:v>
                </c:pt>
                <c:pt idx="8">
                  <c:v>3598</c:v>
                </c:pt>
                <c:pt idx="9">
                  <c:v>3574</c:v>
                </c:pt>
                <c:pt idx="10">
                  <c:v>3551</c:v>
                </c:pt>
                <c:pt idx="11">
                  <c:v>3531</c:v>
                </c:pt>
                <c:pt idx="12">
                  <c:v>3497</c:v>
                </c:pt>
                <c:pt idx="13">
                  <c:v>3489</c:v>
                </c:pt>
                <c:pt idx="14">
                  <c:v>3485</c:v>
                </c:pt>
                <c:pt idx="15">
                  <c:v>3482</c:v>
                </c:pt>
                <c:pt idx="16">
                  <c:v>3476</c:v>
                </c:pt>
                <c:pt idx="17">
                  <c:v>3480</c:v>
                </c:pt>
                <c:pt idx="18">
                  <c:v>3485</c:v>
                </c:pt>
                <c:pt idx="19">
                  <c:v>3490</c:v>
                </c:pt>
                <c:pt idx="20">
                  <c:v>3498</c:v>
                </c:pt>
                <c:pt idx="21">
                  <c:v>3501</c:v>
                </c:pt>
                <c:pt idx="22">
                  <c:v>3502</c:v>
                </c:pt>
                <c:pt idx="23">
                  <c:v>3493</c:v>
                </c:pt>
                <c:pt idx="24" formatCode="#,##0">
                  <c:v>3476</c:v>
                </c:pt>
                <c:pt idx="25" formatCode="#,##0">
                  <c:v>3466</c:v>
                </c:pt>
                <c:pt idx="26" formatCode="#,##0">
                  <c:v>3443</c:v>
                </c:pt>
                <c:pt idx="27" formatCode="#,##0.00">
                  <c:v>3430.7</c:v>
                </c:pt>
              </c:numCache>
            </c:numRef>
          </c:yVal>
          <c:smooth val="1"/>
          <c:extLst>
            <c:ext xmlns:c16="http://schemas.microsoft.com/office/drawing/2014/chart" uri="{C3380CC4-5D6E-409C-BE32-E72D297353CC}">
              <c16:uniqueId val="{00000006-EA9C-48DC-9600-F7F3D734184E}"/>
            </c:ext>
          </c:extLst>
        </c:ser>
        <c:dLbls>
          <c:showLegendKey val="0"/>
          <c:showVal val="0"/>
          <c:showCatName val="0"/>
          <c:showSerName val="0"/>
          <c:showPercent val="0"/>
          <c:showBubbleSize val="0"/>
        </c:dLbls>
        <c:axId val="314008320"/>
        <c:axId val="314010240"/>
      </c:scatterChart>
      <c:scatterChart>
        <c:scatterStyle val="smoothMarker"/>
        <c:varyColors val="0"/>
        <c:ser>
          <c:idx val="0"/>
          <c:order val="0"/>
          <c:tx>
            <c:strRef>
              <c:f>Лист1!$A$4</c:f>
              <c:strCache>
                <c:ptCount val="1"/>
                <c:pt idx="0">
                  <c:v>Российская Федерация (по правой шкале)</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Лист1!$B$3:$AC$3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Лист1!$B$4:$AC$4</c:f>
              <c:numCache>
                <c:formatCode>General</c:formatCode>
                <c:ptCount val="28"/>
                <c:pt idx="0">
                  <c:v>148274</c:v>
                </c:pt>
                <c:pt idx="1">
                  <c:v>148292</c:v>
                </c:pt>
                <c:pt idx="2">
                  <c:v>148029</c:v>
                </c:pt>
                <c:pt idx="3">
                  <c:v>147802</c:v>
                </c:pt>
                <c:pt idx="4">
                  <c:v>147539</c:v>
                </c:pt>
                <c:pt idx="5">
                  <c:v>146890</c:v>
                </c:pt>
                <c:pt idx="6">
                  <c:v>146304</c:v>
                </c:pt>
                <c:pt idx="7">
                  <c:v>145649</c:v>
                </c:pt>
                <c:pt idx="8">
                  <c:v>144964</c:v>
                </c:pt>
                <c:pt idx="9">
                  <c:v>144168</c:v>
                </c:pt>
                <c:pt idx="10">
                  <c:v>143474</c:v>
                </c:pt>
                <c:pt idx="11">
                  <c:v>143236</c:v>
                </c:pt>
                <c:pt idx="12">
                  <c:v>142863</c:v>
                </c:pt>
                <c:pt idx="13">
                  <c:v>142748</c:v>
                </c:pt>
                <c:pt idx="14">
                  <c:v>142737</c:v>
                </c:pt>
                <c:pt idx="15">
                  <c:v>142833</c:v>
                </c:pt>
                <c:pt idx="16">
                  <c:v>142865</c:v>
                </c:pt>
                <c:pt idx="17">
                  <c:v>143056</c:v>
                </c:pt>
                <c:pt idx="18">
                  <c:v>143347</c:v>
                </c:pt>
                <c:pt idx="19">
                  <c:v>143667</c:v>
                </c:pt>
                <c:pt idx="20">
                  <c:v>146267</c:v>
                </c:pt>
                <c:pt idx="21">
                  <c:v>146545</c:v>
                </c:pt>
                <c:pt idx="22">
                  <c:v>146804</c:v>
                </c:pt>
                <c:pt idx="23">
                  <c:v>146880</c:v>
                </c:pt>
                <c:pt idx="24" formatCode="#,##0">
                  <c:v>146781</c:v>
                </c:pt>
                <c:pt idx="25" formatCode="#,##0">
                  <c:v>146749</c:v>
                </c:pt>
                <c:pt idx="26" formatCode="#,##0">
                  <c:v>146171</c:v>
                </c:pt>
                <c:pt idx="27" formatCode="#,##0">
                  <c:v>145557</c:v>
                </c:pt>
              </c:numCache>
            </c:numRef>
          </c:yVal>
          <c:smooth val="1"/>
          <c:extLst>
            <c:ext xmlns:c16="http://schemas.microsoft.com/office/drawing/2014/chart" uri="{C3380CC4-5D6E-409C-BE32-E72D297353CC}">
              <c16:uniqueId val="{00000007-EA9C-48DC-9600-F7F3D734184E}"/>
            </c:ext>
          </c:extLst>
        </c:ser>
        <c:dLbls>
          <c:showLegendKey val="0"/>
          <c:showVal val="0"/>
          <c:showCatName val="0"/>
          <c:showSerName val="0"/>
          <c:showPercent val="0"/>
          <c:showBubbleSize val="0"/>
        </c:dLbls>
        <c:axId val="314021760"/>
        <c:axId val="314020224"/>
      </c:scatterChart>
      <c:valAx>
        <c:axId val="314008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010240"/>
        <c:crosses val="autoZero"/>
        <c:crossBetween val="midCat"/>
      </c:valAx>
      <c:valAx>
        <c:axId val="31401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008320"/>
        <c:crosses val="autoZero"/>
        <c:crossBetween val="midCat"/>
      </c:valAx>
      <c:valAx>
        <c:axId val="314020224"/>
        <c:scaling>
          <c:orientation val="minMax"/>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021760"/>
        <c:crosses val="max"/>
        <c:crossBetween val="midCat"/>
      </c:valAx>
      <c:valAx>
        <c:axId val="314021760"/>
        <c:scaling>
          <c:orientation val="minMax"/>
        </c:scaling>
        <c:delete val="1"/>
        <c:axPos val="b"/>
        <c:numFmt formatCode="General" sourceLinked="1"/>
        <c:majorTickMark val="out"/>
        <c:minorTickMark val="none"/>
        <c:tickLblPos val="nextTo"/>
        <c:crossAx val="314020224"/>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'[Показатели (4).xlsx]Население'!$AF$4</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[1]Население!$AG$3:$BH$3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[1]Население!$AG$4:$BH$4</c:f>
              <c:numCache>
                <c:formatCode>General</c:formatCode>
                <c:ptCount val="28"/>
                <c:pt idx="0">
                  <c:v>73.8</c:v>
                </c:pt>
                <c:pt idx="1">
                  <c:v>73</c:v>
                </c:pt>
                <c:pt idx="2">
                  <c:v>73</c:v>
                </c:pt>
                <c:pt idx="3">
                  <c:v>73</c:v>
                </c:pt>
                <c:pt idx="4">
                  <c:v>73</c:v>
                </c:pt>
                <c:pt idx="5">
                  <c:v>72.900000000000006</c:v>
                </c:pt>
                <c:pt idx="6">
                  <c:v>73.2</c:v>
                </c:pt>
                <c:pt idx="7">
                  <c:v>73.3</c:v>
                </c:pt>
                <c:pt idx="8">
                  <c:v>73.3</c:v>
                </c:pt>
                <c:pt idx="9">
                  <c:v>73.400000000000006</c:v>
                </c:pt>
                <c:pt idx="10">
                  <c:v>73</c:v>
                </c:pt>
                <c:pt idx="11">
                  <c:v>72.900000000000006</c:v>
                </c:pt>
                <c:pt idx="12">
                  <c:v>73</c:v>
                </c:pt>
                <c:pt idx="13">
                  <c:v>73.099999999999994</c:v>
                </c:pt>
                <c:pt idx="14">
                  <c:v>73.099999999999994</c:v>
                </c:pt>
                <c:pt idx="15">
                  <c:v>73.099999999999994</c:v>
                </c:pt>
                <c:pt idx="16">
                  <c:v>73.8</c:v>
                </c:pt>
                <c:pt idx="17">
                  <c:v>73.900000000000006</c:v>
                </c:pt>
                <c:pt idx="18">
                  <c:v>74</c:v>
                </c:pt>
                <c:pt idx="19">
                  <c:v>74.2</c:v>
                </c:pt>
                <c:pt idx="20">
                  <c:v>74</c:v>
                </c:pt>
                <c:pt idx="21">
                  <c:v>74.099999999999994</c:v>
                </c:pt>
                <c:pt idx="22">
                  <c:v>74.3</c:v>
                </c:pt>
                <c:pt idx="23">
                  <c:v>74.400000000000006</c:v>
                </c:pt>
                <c:pt idx="24">
                  <c:v>74.599999999999994</c:v>
                </c:pt>
                <c:pt idx="25">
                  <c:v>74.7</c:v>
                </c:pt>
                <c:pt idx="26">
                  <c:v>74.7</c:v>
                </c:pt>
                <c:pt idx="27">
                  <c:v>74.8</c:v>
                </c:pt>
              </c:numCache>
            </c:numRef>
          </c:yVal>
          <c:smooth val="1"/>
          <c:extLst>
            <c:ext xmlns:c16="http://schemas.microsoft.com/office/drawing/2014/chart" uri="{C3380CC4-5D6E-409C-BE32-E72D297353CC}">
              <c16:uniqueId val="{00000000-E98C-477B-B69A-D4864692F54C}"/>
            </c:ext>
          </c:extLst>
        </c:ser>
        <c:ser>
          <c:idx val="1"/>
          <c:order val="1"/>
          <c:tx>
            <c:strRef>
              <c:f>'[Показатели (4).xlsx]Население'!$AF$5</c:f>
              <c:strCache>
                <c:ptCount val="1"/>
                <c:pt idx="0">
                  <c:v>УральскийФО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[1]Население!$AG$3:$BH$3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[1]Население!$AG$5:$BH$5</c:f>
              <c:numCache>
                <c:formatCode>General</c:formatCode>
                <c:ptCount val="28"/>
                <c:pt idx="0">
                  <c:v>80.900000000000006</c:v>
                </c:pt>
                <c:pt idx="1">
                  <c:v>80.3</c:v>
                </c:pt>
                <c:pt idx="2">
                  <c:v>79.900000000000006</c:v>
                </c:pt>
                <c:pt idx="3">
                  <c:v>80</c:v>
                </c:pt>
                <c:pt idx="4">
                  <c:v>80.099999999999994</c:v>
                </c:pt>
                <c:pt idx="5">
                  <c:v>80</c:v>
                </c:pt>
                <c:pt idx="6">
                  <c:v>80.599999999999994</c:v>
                </c:pt>
                <c:pt idx="7">
                  <c:v>80.7</c:v>
                </c:pt>
                <c:pt idx="8">
                  <c:v>80.8</c:v>
                </c:pt>
                <c:pt idx="9">
                  <c:v>80.8</c:v>
                </c:pt>
                <c:pt idx="10">
                  <c:v>79.400000000000006</c:v>
                </c:pt>
                <c:pt idx="11">
                  <c:v>79.3</c:v>
                </c:pt>
                <c:pt idx="12">
                  <c:v>79.5</c:v>
                </c:pt>
                <c:pt idx="13">
                  <c:v>79.599999999999994</c:v>
                </c:pt>
                <c:pt idx="14">
                  <c:v>79.7</c:v>
                </c:pt>
                <c:pt idx="15">
                  <c:v>79.3</c:v>
                </c:pt>
                <c:pt idx="16">
                  <c:v>80</c:v>
                </c:pt>
                <c:pt idx="17">
                  <c:v>80.2</c:v>
                </c:pt>
                <c:pt idx="18">
                  <c:v>80.3</c:v>
                </c:pt>
                <c:pt idx="19">
                  <c:v>80.7</c:v>
                </c:pt>
                <c:pt idx="20">
                  <c:v>80.900000000000006</c:v>
                </c:pt>
                <c:pt idx="21">
                  <c:v>81.099999999999994</c:v>
                </c:pt>
                <c:pt idx="22">
                  <c:v>81.2</c:v>
                </c:pt>
                <c:pt idx="23">
                  <c:v>81.400000000000006</c:v>
                </c:pt>
                <c:pt idx="24">
                  <c:v>81.5</c:v>
                </c:pt>
                <c:pt idx="25">
                  <c:v>81.599999999999994</c:v>
                </c:pt>
                <c:pt idx="26">
                  <c:v>81.7</c:v>
                </c:pt>
                <c:pt idx="27">
                  <c:v>81.900000000000006</c:v>
                </c:pt>
              </c:numCache>
            </c:numRef>
          </c:yVal>
          <c:smooth val="1"/>
          <c:extLst>
            <c:ext xmlns:c16="http://schemas.microsoft.com/office/drawing/2014/chart" uri="{C3380CC4-5D6E-409C-BE32-E72D297353CC}">
              <c16:uniqueId val="{00000001-E98C-477B-B69A-D4864692F54C}"/>
            </c:ext>
          </c:extLst>
        </c:ser>
        <c:ser>
          <c:idx val="2"/>
          <c:order val="2"/>
          <c:tx>
            <c:strRef>
              <c:f>'[Показатели (4).xlsx]Население'!$AF$6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[1]Население!$AG$3:$BH$3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[1]Население!$AG$6:$BH$6</c:f>
              <c:numCache>
                <c:formatCode>General</c:formatCode>
                <c:ptCount val="28"/>
                <c:pt idx="0">
                  <c:v>55.1</c:v>
                </c:pt>
                <c:pt idx="1">
                  <c:v>55.2</c:v>
                </c:pt>
                <c:pt idx="2">
                  <c:v>54.9</c:v>
                </c:pt>
                <c:pt idx="3">
                  <c:v>55.5</c:v>
                </c:pt>
                <c:pt idx="4">
                  <c:v>55.4</c:v>
                </c:pt>
                <c:pt idx="5">
                  <c:v>55.3</c:v>
                </c:pt>
                <c:pt idx="6">
                  <c:v>56.3</c:v>
                </c:pt>
                <c:pt idx="7">
                  <c:v>56.4</c:v>
                </c:pt>
                <c:pt idx="8">
                  <c:v>56.4</c:v>
                </c:pt>
                <c:pt idx="9">
                  <c:v>56.5</c:v>
                </c:pt>
                <c:pt idx="10">
                  <c:v>56.5</c:v>
                </c:pt>
                <c:pt idx="11">
                  <c:v>56.6</c:v>
                </c:pt>
                <c:pt idx="12">
                  <c:v>56.6</c:v>
                </c:pt>
                <c:pt idx="13">
                  <c:v>56.7</c:v>
                </c:pt>
                <c:pt idx="14">
                  <c:v>56.8</c:v>
                </c:pt>
                <c:pt idx="15">
                  <c:v>56.9</c:v>
                </c:pt>
                <c:pt idx="16">
                  <c:v>60.3</c:v>
                </c:pt>
                <c:pt idx="17">
                  <c:v>60.4</c:v>
                </c:pt>
                <c:pt idx="18">
                  <c:v>60.7</c:v>
                </c:pt>
                <c:pt idx="19">
                  <c:v>61.1</c:v>
                </c:pt>
                <c:pt idx="20">
                  <c:v>61.5</c:v>
                </c:pt>
                <c:pt idx="21">
                  <c:v>61.8</c:v>
                </c:pt>
                <c:pt idx="22">
                  <c:v>61.8</c:v>
                </c:pt>
                <c:pt idx="23">
                  <c:v>61.8</c:v>
                </c:pt>
                <c:pt idx="24">
                  <c:v>62.1</c:v>
                </c:pt>
                <c:pt idx="25">
                  <c:v>62.2</c:v>
                </c:pt>
                <c:pt idx="26">
                  <c:v>62.3</c:v>
                </c:pt>
                <c:pt idx="27">
                  <c:v>62.5</c:v>
                </c:pt>
              </c:numCache>
            </c:numRef>
          </c:yVal>
          <c:smooth val="1"/>
          <c:extLst>
            <c:ext xmlns:c16="http://schemas.microsoft.com/office/drawing/2014/chart" uri="{C3380CC4-5D6E-409C-BE32-E72D297353CC}">
              <c16:uniqueId val="{00000002-E98C-477B-B69A-D4864692F54C}"/>
            </c:ext>
          </c:extLst>
        </c:ser>
        <c:ser>
          <c:idx val="3"/>
          <c:order val="3"/>
          <c:tx>
            <c:strRef>
              <c:f>'[Показатели (4).xlsx]Население'!$AF$7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[1]Население!$AG$3:$BH$3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[1]Население!$AG$7:$BH$7</c:f>
              <c:numCache>
                <c:formatCode>General</c:formatCode>
                <c:ptCount val="28"/>
                <c:pt idx="0">
                  <c:v>87.6</c:v>
                </c:pt>
                <c:pt idx="1">
                  <c:v>87.8</c:v>
                </c:pt>
                <c:pt idx="2">
                  <c:v>87.4</c:v>
                </c:pt>
                <c:pt idx="3">
                  <c:v>87.5</c:v>
                </c:pt>
                <c:pt idx="4">
                  <c:v>87.5</c:v>
                </c:pt>
                <c:pt idx="5">
                  <c:v>87.4</c:v>
                </c:pt>
                <c:pt idx="6">
                  <c:v>87.8</c:v>
                </c:pt>
                <c:pt idx="7">
                  <c:v>87.9</c:v>
                </c:pt>
                <c:pt idx="8">
                  <c:v>87.9</c:v>
                </c:pt>
                <c:pt idx="9">
                  <c:v>88</c:v>
                </c:pt>
                <c:pt idx="10">
                  <c:v>83</c:v>
                </c:pt>
                <c:pt idx="11">
                  <c:v>83.1</c:v>
                </c:pt>
                <c:pt idx="12">
                  <c:v>83.2</c:v>
                </c:pt>
                <c:pt idx="13">
                  <c:v>83.2</c:v>
                </c:pt>
                <c:pt idx="14">
                  <c:v>83.4</c:v>
                </c:pt>
                <c:pt idx="15">
                  <c:v>83.4</c:v>
                </c:pt>
                <c:pt idx="16">
                  <c:v>83.9</c:v>
                </c:pt>
                <c:pt idx="17">
                  <c:v>84</c:v>
                </c:pt>
                <c:pt idx="18">
                  <c:v>84.1</c:v>
                </c:pt>
                <c:pt idx="19">
                  <c:v>84.2</c:v>
                </c:pt>
                <c:pt idx="20">
                  <c:v>84.3</c:v>
                </c:pt>
                <c:pt idx="21">
                  <c:v>84.5</c:v>
                </c:pt>
                <c:pt idx="22">
                  <c:v>84.6</c:v>
                </c:pt>
                <c:pt idx="23">
                  <c:v>84.8</c:v>
                </c:pt>
                <c:pt idx="24">
                  <c:v>84.9</c:v>
                </c:pt>
                <c:pt idx="25">
                  <c:v>85</c:v>
                </c:pt>
                <c:pt idx="26">
                  <c:v>85.1</c:v>
                </c:pt>
                <c:pt idx="27">
                  <c:v>85.2</c:v>
                </c:pt>
              </c:numCache>
            </c:numRef>
          </c:yVal>
          <c:smooth val="1"/>
          <c:extLst>
            <c:ext xmlns:c16="http://schemas.microsoft.com/office/drawing/2014/chart" uri="{C3380CC4-5D6E-409C-BE32-E72D297353CC}">
              <c16:uniqueId val="{00000003-E98C-477B-B69A-D4864692F54C}"/>
            </c:ext>
          </c:extLst>
        </c:ser>
        <c:ser>
          <c:idx val="5"/>
          <c:order val="4"/>
          <c:tx>
            <c:strRef>
              <c:f>'[Показатели (4).xlsx]Население'!$AF$9</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[1]Население!$AG$3:$BH$3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[1]Население!$AG$9:$BH$9</c:f>
              <c:numCache>
                <c:formatCode>General</c:formatCode>
                <c:ptCount val="28"/>
              </c:numCache>
            </c:numRef>
          </c:yVal>
          <c:smooth val="1"/>
          <c:extLst>
            <c:ext xmlns:c16="http://schemas.microsoft.com/office/drawing/2014/chart" uri="{C3380CC4-5D6E-409C-BE32-E72D297353CC}">
              <c16:uniqueId val="{00000004-E98C-477B-B69A-D4864692F54C}"/>
            </c:ext>
          </c:extLst>
        </c:ser>
        <c:ser>
          <c:idx val="6"/>
          <c:order val="5"/>
          <c:tx>
            <c:strRef>
              <c:f>'[Показатели (4).xlsx]Население'!$AF$10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[1]Население!$AG$3:$BH$3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[1]Население!$AG$10:$BH$10</c:f>
              <c:numCache>
                <c:formatCode>General</c:formatCode>
                <c:ptCount val="28"/>
                <c:pt idx="0">
                  <c:v>91.9</c:v>
                </c:pt>
                <c:pt idx="1">
                  <c:v>91.8</c:v>
                </c:pt>
                <c:pt idx="2">
                  <c:v>90.9</c:v>
                </c:pt>
                <c:pt idx="3">
                  <c:v>91.1</c:v>
                </c:pt>
                <c:pt idx="4">
                  <c:v>91.2</c:v>
                </c:pt>
                <c:pt idx="5">
                  <c:v>91.2</c:v>
                </c:pt>
                <c:pt idx="6">
                  <c:v>91.2</c:v>
                </c:pt>
                <c:pt idx="7">
                  <c:v>90.9</c:v>
                </c:pt>
                <c:pt idx="8">
                  <c:v>90.9</c:v>
                </c:pt>
                <c:pt idx="9">
                  <c:v>90.8</c:v>
                </c:pt>
                <c:pt idx="10">
                  <c:v>90.9</c:v>
                </c:pt>
                <c:pt idx="11">
                  <c:v>91</c:v>
                </c:pt>
                <c:pt idx="12">
                  <c:v>91.2</c:v>
                </c:pt>
                <c:pt idx="13">
                  <c:v>91.3</c:v>
                </c:pt>
                <c:pt idx="14">
                  <c:v>91.5</c:v>
                </c:pt>
                <c:pt idx="15">
                  <c:v>91.6</c:v>
                </c:pt>
                <c:pt idx="16">
                  <c:v>91.5</c:v>
                </c:pt>
                <c:pt idx="17">
                  <c:v>91.6</c:v>
                </c:pt>
                <c:pt idx="18">
                  <c:v>91.8</c:v>
                </c:pt>
                <c:pt idx="19">
                  <c:v>92</c:v>
                </c:pt>
                <c:pt idx="20">
                  <c:v>92.1</c:v>
                </c:pt>
                <c:pt idx="21">
                  <c:v>92.2</c:v>
                </c:pt>
                <c:pt idx="22">
                  <c:v>92.3</c:v>
                </c:pt>
                <c:pt idx="23">
                  <c:v>92.3</c:v>
                </c:pt>
                <c:pt idx="24">
                  <c:v>92.4</c:v>
                </c:pt>
                <c:pt idx="25">
                  <c:v>92.5</c:v>
                </c:pt>
                <c:pt idx="26">
                  <c:v>92.6</c:v>
                </c:pt>
                <c:pt idx="27">
                  <c:v>92.7</c:v>
                </c:pt>
              </c:numCache>
            </c:numRef>
          </c:yVal>
          <c:smooth val="1"/>
          <c:extLst>
            <c:ext xmlns:c16="http://schemas.microsoft.com/office/drawing/2014/chart" uri="{C3380CC4-5D6E-409C-BE32-E72D297353CC}">
              <c16:uniqueId val="{00000005-E98C-477B-B69A-D4864692F54C}"/>
            </c:ext>
          </c:extLst>
        </c:ser>
        <c:ser>
          <c:idx val="7"/>
          <c:order val="6"/>
          <c:tx>
            <c:strRef>
              <c:f>'[Показатели (4).xlsx]Население'!$AF$11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[1]Население!$AG$3:$BH$3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[1]Население!$AG$11:$BH$11</c:f>
              <c:numCache>
                <c:formatCode>General</c:formatCode>
                <c:ptCount val="28"/>
                <c:pt idx="0">
                  <c:v>82.7</c:v>
                </c:pt>
                <c:pt idx="1">
                  <c:v>83.2</c:v>
                </c:pt>
                <c:pt idx="2">
                  <c:v>82.8</c:v>
                </c:pt>
                <c:pt idx="3">
                  <c:v>82.8</c:v>
                </c:pt>
                <c:pt idx="4">
                  <c:v>82.8</c:v>
                </c:pt>
                <c:pt idx="5">
                  <c:v>82.6</c:v>
                </c:pt>
                <c:pt idx="6">
                  <c:v>83.3</c:v>
                </c:pt>
                <c:pt idx="7">
                  <c:v>83.3</c:v>
                </c:pt>
                <c:pt idx="8">
                  <c:v>83.4</c:v>
                </c:pt>
                <c:pt idx="9">
                  <c:v>83.4</c:v>
                </c:pt>
                <c:pt idx="10">
                  <c:v>84.8</c:v>
                </c:pt>
                <c:pt idx="11">
                  <c:v>84.9</c:v>
                </c:pt>
                <c:pt idx="12">
                  <c:v>85</c:v>
                </c:pt>
                <c:pt idx="13">
                  <c:v>85</c:v>
                </c:pt>
                <c:pt idx="14">
                  <c:v>84.9</c:v>
                </c:pt>
                <c:pt idx="15">
                  <c:v>84.9</c:v>
                </c:pt>
                <c:pt idx="16">
                  <c:v>84.8</c:v>
                </c:pt>
                <c:pt idx="17">
                  <c:v>85</c:v>
                </c:pt>
                <c:pt idx="18">
                  <c:v>83.8</c:v>
                </c:pt>
                <c:pt idx="19">
                  <c:v>83.9</c:v>
                </c:pt>
                <c:pt idx="20">
                  <c:v>83.8</c:v>
                </c:pt>
                <c:pt idx="21">
                  <c:v>83.7</c:v>
                </c:pt>
                <c:pt idx="22">
                  <c:v>83.7</c:v>
                </c:pt>
                <c:pt idx="23">
                  <c:v>83.8</c:v>
                </c:pt>
                <c:pt idx="24">
                  <c:v>83.9</c:v>
                </c:pt>
                <c:pt idx="25">
                  <c:v>84</c:v>
                </c:pt>
                <c:pt idx="26">
                  <c:v>83.9</c:v>
                </c:pt>
                <c:pt idx="27">
                  <c:v>85.8</c:v>
                </c:pt>
              </c:numCache>
            </c:numRef>
          </c:yVal>
          <c:smooth val="1"/>
          <c:extLst>
            <c:ext xmlns:c16="http://schemas.microsoft.com/office/drawing/2014/chart" uri="{C3380CC4-5D6E-409C-BE32-E72D297353CC}">
              <c16:uniqueId val="{00000006-E98C-477B-B69A-D4864692F54C}"/>
            </c:ext>
          </c:extLst>
        </c:ser>
        <c:ser>
          <c:idx val="8"/>
          <c:order val="7"/>
          <c:tx>
            <c:strRef>
              <c:f>'[Показатели (4).xlsx]Население'!$AF$12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[1]Население!$AG$3:$BH$3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[1]Население!$AG$12:$BH$12</c:f>
              <c:numCache>
                <c:formatCode>0.0</c:formatCode>
                <c:ptCount val="28"/>
                <c:pt idx="0">
                  <c:v>62.528693790149887</c:v>
                </c:pt>
                <c:pt idx="1">
                  <c:v>59.991197691197684</c:v>
                </c:pt>
                <c:pt idx="2">
                  <c:v>59.526909090909093</c:v>
                </c:pt>
                <c:pt idx="3">
                  <c:v>59.453498542274062</c:v>
                </c:pt>
                <c:pt idx="4">
                  <c:v>59.362865497076044</c:v>
                </c:pt>
                <c:pt idx="5">
                  <c:v>59.36387665198238</c:v>
                </c:pt>
                <c:pt idx="6">
                  <c:v>60.405321507760526</c:v>
                </c:pt>
                <c:pt idx="7">
                  <c:v>60.424026946107787</c:v>
                </c:pt>
                <c:pt idx="8">
                  <c:v>60.41814058956917</c:v>
                </c:pt>
                <c:pt idx="9">
                  <c:v>60.491957511380875</c:v>
                </c:pt>
                <c:pt idx="10">
                  <c:v>62.406003039513671</c:v>
                </c:pt>
                <c:pt idx="11">
                  <c:v>62.960504201680678</c:v>
                </c:pt>
                <c:pt idx="12">
                  <c:v>63.377404580152692</c:v>
                </c:pt>
                <c:pt idx="13">
                  <c:v>63.687765957446835</c:v>
                </c:pt>
                <c:pt idx="14">
                  <c:v>64.000377358490525</c:v>
                </c:pt>
                <c:pt idx="15">
                  <c:v>60.03650674662665</c:v>
                </c:pt>
                <c:pt idx="16" formatCode="General">
                  <c:v>60.5</c:v>
                </c:pt>
                <c:pt idx="17" formatCode="General">
                  <c:v>61.3</c:v>
                </c:pt>
                <c:pt idx="18" formatCode="General">
                  <c:v>62.1</c:v>
                </c:pt>
                <c:pt idx="19" formatCode="General">
                  <c:v>64.3</c:v>
                </c:pt>
                <c:pt idx="20" formatCode="General">
                  <c:v>64.7</c:v>
                </c:pt>
                <c:pt idx="21" formatCode="General">
                  <c:v>65.3</c:v>
                </c:pt>
                <c:pt idx="22" formatCode="General">
                  <c:v>65.900000000000006</c:v>
                </c:pt>
                <c:pt idx="23" formatCode="General">
                  <c:v>66.599999999999994</c:v>
                </c:pt>
                <c:pt idx="24" formatCode="General">
                  <c:v>67.099999999999994</c:v>
                </c:pt>
                <c:pt idx="25" formatCode="General">
                  <c:v>67.5</c:v>
                </c:pt>
                <c:pt idx="26" formatCode="General">
                  <c:v>67.8</c:v>
                </c:pt>
                <c:pt idx="27" formatCode="General">
                  <c:v>68.099999999999994</c:v>
                </c:pt>
              </c:numCache>
            </c:numRef>
          </c:yVal>
          <c:smooth val="1"/>
          <c:extLst>
            <c:ext xmlns:c16="http://schemas.microsoft.com/office/drawing/2014/chart" uri="{C3380CC4-5D6E-409C-BE32-E72D297353CC}">
              <c16:uniqueId val="{00000007-E98C-477B-B69A-D4864692F54C}"/>
            </c:ext>
          </c:extLst>
        </c:ser>
        <c:ser>
          <c:idx val="9"/>
          <c:order val="8"/>
          <c:tx>
            <c:strRef>
              <c:f>'[Показатели (4).xlsx]Население'!$AF$13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[1]Население!$AG$3:$BH$3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[1]Население!$AG$13:$BH$13</c:f>
              <c:numCache>
                <c:formatCode>General</c:formatCode>
                <c:ptCount val="28"/>
                <c:pt idx="0">
                  <c:v>82.8</c:v>
                </c:pt>
                <c:pt idx="1">
                  <c:v>81.400000000000006</c:v>
                </c:pt>
                <c:pt idx="2">
                  <c:v>81.3</c:v>
                </c:pt>
                <c:pt idx="3">
                  <c:v>81.3</c:v>
                </c:pt>
                <c:pt idx="4">
                  <c:v>81.3</c:v>
                </c:pt>
                <c:pt idx="5">
                  <c:v>81.3</c:v>
                </c:pt>
                <c:pt idx="6">
                  <c:v>81.599999999999994</c:v>
                </c:pt>
                <c:pt idx="7">
                  <c:v>81.7</c:v>
                </c:pt>
                <c:pt idx="8">
                  <c:v>81.8</c:v>
                </c:pt>
                <c:pt idx="9">
                  <c:v>81.900000000000006</c:v>
                </c:pt>
                <c:pt idx="10">
                  <c:v>81.900000000000006</c:v>
                </c:pt>
                <c:pt idx="11">
                  <c:v>81.400000000000006</c:v>
                </c:pt>
                <c:pt idx="12">
                  <c:v>81.400000000000006</c:v>
                </c:pt>
                <c:pt idx="13">
                  <c:v>81.400000000000006</c:v>
                </c:pt>
                <c:pt idx="14">
                  <c:v>81.400000000000006</c:v>
                </c:pt>
                <c:pt idx="15">
                  <c:v>81.3</c:v>
                </c:pt>
                <c:pt idx="16">
                  <c:v>82</c:v>
                </c:pt>
                <c:pt idx="17">
                  <c:v>82.1</c:v>
                </c:pt>
                <c:pt idx="18">
                  <c:v>82.2</c:v>
                </c:pt>
                <c:pt idx="19">
                  <c:v>82.4</c:v>
                </c:pt>
                <c:pt idx="20">
                  <c:v>82.5</c:v>
                </c:pt>
                <c:pt idx="21">
                  <c:v>82.6</c:v>
                </c:pt>
                <c:pt idx="22">
                  <c:v>82.6</c:v>
                </c:pt>
                <c:pt idx="23">
                  <c:v>82.7</c:v>
                </c:pt>
                <c:pt idx="24">
                  <c:v>82.7</c:v>
                </c:pt>
                <c:pt idx="25">
                  <c:v>82.7</c:v>
                </c:pt>
                <c:pt idx="26">
                  <c:v>82.7</c:v>
                </c:pt>
                <c:pt idx="27">
                  <c:v>82.7</c:v>
                </c:pt>
              </c:numCache>
            </c:numRef>
          </c:yVal>
          <c:smooth val="1"/>
          <c:extLst>
            <c:ext xmlns:c16="http://schemas.microsoft.com/office/drawing/2014/chart" uri="{C3380CC4-5D6E-409C-BE32-E72D297353CC}">
              <c16:uniqueId val="{00000008-E98C-477B-B69A-D4864692F54C}"/>
            </c:ext>
          </c:extLst>
        </c:ser>
        <c:dLbls>
          <c:showLegendKey val="0"/>
          <c:showVal val="0"/>
          <c:showCatName val="0"/>
          <c:showSerName val="0"/>
          <c:showPercent val="0"/>
          <c:showBubbleSize val="0"/>
        </c:dLbls>
        <c:axId val="314080640"/>
        <c:axId val="314082816"/>
      </c:scatterChart>
      <c:valAx>
        <c:axId val="314080640"/>
        <c:scaling>
          <c:orientation val="minMax"/>
          <c:max val="2021"/>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082816"/>
        <c:crosses val="autoZero"/>
        <c:crossBetween val="midCat"/>
      </c:valAx>
      <c:valAx>
        <c:axId val="314082816"/>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080640"/>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'[Показатели (4).xlsx]Население'!$BK$4</c:f>
              <c:strCache>
                <c:ptCount val="1"/>
                <c:pt idx="0">
                  <c:v>Российская Федерация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[1]Население!$BL$3:$CM$3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[1]Население!$BL$4:$CM$4</c:f>
              <c:numCache>
                <c:formatCode>General</c:formatCode>
                <c:ptCount val="28"/>
                <c:pt idx="0">
                  <c:v>764</c:v>
                </c:pt>
                <c:pt idx="1">
                  <c:v>754</c:v>
                </c:pt>
                <c:pt idx="2">
                  <c:v>760</c:v>
                </c:pt>
                <c:pt idx="3">
                  <c:v>755.33333333333303</c:v>
                </c:pt>
                <c:pt idx="4">
                  <c:v>726.66666666666697</c:v>
                </c:pt>
                <c:pt idx="5">
                  <c:v>711</c:v>
                </c:pt>
                <c:pt idx="6">
                  <c:v>662</c:v>
                </c:pt>
                <c:pt idx="7">
                  <c:v>663</c:v>
                </c:pt>
                <c:pt idx="8">
                  <c:v>625</c:v>
                </c:pt>
                <c:pt idx="9">
                  <c:v>604</c:v>
                </c:pt>
                <c:pt idx="10">
                  <c:v>590</c:v>
                </c:pt>
                <c:pt idx="11">
                  <c:v>580</c:v>
                </c:pt>
                <c:pt idx="12">
                  <c:v>578</c:v>
                </c:pt>
                <c:pt idx="13">
                  <c:v>582</c:v>
                </c:pt>
                <c:pt idx="14">
                  <c:v>590</c:v>
                </c:pt>
                <c:pt idx="15">
                  <c:v>613</c:v>
                </c:pt>
                <c:pt idx="16" formatCode="#,##0">
                  <c:v>626</c:v>
                </c:pt>
                <c:pt idx="17">
                  <c:v>643</c:v>
                </c:pt>
                <c:pt idx="18">
                  <c:v>664</c:v>
                </c:pt>
                <c:pt idx="19">
                  <c:v>687</c:v>
                </c:pt>
                <c:pt idx="20">
                  <c:v>713</c:v>
                </c:pt>
                <c:pt idx="21">
                  <c:v>740</c:v>
                </c:pt>
                <c:pt idx="22">
                  <c:v>764</c:v>
                </c:pt>
                <c:pt idx="23">
                  <c:v>785</c:v>
                </c:pt>
                <c:pt idx="24">
                  <c:v>804</c:v>
                </c:pt>
                <c:pt idx="25">
                  <c:v>775</c:v>
                </c:pt>
                <c:pt idx="26">
                  <c:v>785</c:v>
                </c:pt>
                <c:pt idx="27">
                  <c:v>749</c:v>
                </c:pt>
              </c:numCache>
            </c:numRef>
          </c:yVal>
          <c:smooth val="1"/>
          <c:extLst>
            <c:ext xmlns:c16="http://schemas.microsoft.com/office/drawing/2014/chart" uri="{C3380CC4-5D6E-409C-BE32-E72D297353CC}">
              <c16:uniqueId val="{00000000-0985-4A78-BFE3-6F404A833849}"/>
            </c:ext>
          </c:extLst>
        </c:ser>
        <c:ser>
          <c:idx val="1"/>
          <c:order val="1"/>
          <c:tx>
            <c:strRef>
              <c:f>'[Показатели (4).xlsx]Население'!$BK$5</c:f>
              <c:strCache>
                <c:ptCount val="1"/>
                <c:pt idx="0">
                  <c:v>Уральский ФО</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[1]Население!$BL$3:$CM$3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[1]Население!$BL$5:$CM$5</c:f>
              <c:numCache>
                <c:formatCode>General</c:formatCode>
                <c:ptCount val="28"/>
                <c:pt idx="0">
                  <c:v>737</c:v>
                </c:pt>
                <c:pt idx="1">
                  <c:v>713</c:v>
                </c:pt>
                <c:pt idx="2">
                  <c:v>720</c:v>
                </c:pt>
                <c:pt idx="3">
                  <c:v>706.33333333333303</c:v>
                </c:pt>
                <c:pt idx="4">
                  <c:v>680</c:v>
                </c:pt>
                <c:pt idx="5">
                  <c:v>662</c:v>
                </c:pt>
                <c:pt idx="6">
                  <c:v>618</c:v>
                </c:pt>
                <c:pt idx="7">
                  <c:v>613</c:v>
                </c:pt>
                <c:pt idx="8">
                  <c:v>581</c:v>
                </c:pt>
                <c:pt idx="9">
                  <c:v>560</c:v>
                </c:pt>
                <c:pt idx="10">
                  <c:v>547</c:v>
                </c:pt>
                <c:pt idx="11">
                  <c:v>539</c:v>
                </c:pt>
                <c:pt idx="12">
                  <c:v>539</c:v>
                </c:pt>
                <c:pt idx="13">
                  <c:v>546</c:v>
                </c:pt>
                <c:pt idx="14">
                  <c:v>556</c:v>
                </c:pt>
                <c:pt idx="15">
                  <c:v>586</c:v>
                </c:pt>
                <c:pt idx="16">
                  <c:v>604</c:v>
                </c:pt>
                <c:pt idx="17">
                  <c:v>624</c:v>
                </c:pt>
                <c:pt idx="18">
                  <c:v>648</c:v>
                </c:pt>
                <c:pt idx="19">
                  <c:v>675</c:v>
                </c:pt>
                <c:pt idx="20">
                  <c:v>704</c:v>
                </c:pt>
                <c:pt idx="21">
                  <c:v>734</c:v>
                </c:pt>
                <c:pt idx="22">
                  <c:v>760</c:v>
                </c:pt>
                <c:pt idx="23">
                  <c:v>784</c:v>
                </c:pt>
                <c:pt idx="24">
                  <c:v>803</c:v>
                </c:pt>
                <c:pt idx="25">
                  <c:v>775</c:v>
                </c:pt>
                <c:pt idx="26">
                  <c:v>784</c:v>
                </c:pt>
                <c:pt idx="27">
                  <c:v>750</c:v>
                </c:pt>
              </c:numCache>
            </c:numRef>
          </c:yVal>
          <c:smooth val="1"/>
          <c:extLst>
            <c:ext xmlns:c16="http://schemas.microsoft.com/office/drawing/2014/chart" uri="{C3380CC4-5D6E-409C-BE32-E72D297353CC}">
              <c16:uniqueId val="{00000001-0985-4A78-BFE3-6F404A833849}"/>
            </c:ext>
          </c:extLst>
        </c:ser>
        <c:ser>
          <c:idx val="2"/>
          <c:order val="2"/>
          <c:tx>
            <c:strRef>
              <c:f>'[Показатели (4).xlsx]Население'!$BK$6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[1]Население!$BL$3:$CM$3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[1]Население!$BL$6:$CM$6</c:f>
              <c:numCache>
                <c:formatCode>General</c:formatCode>
                <c:ptCount val="28"/>
                <c:pt idx="0">
                  <c:v>821</c:v>
                </c:pt>
                <c:pt idx="1">
                  <c:v>807</c:v>
                </c:pt>
                <c:pt idx="2">
                  <c:v>816</c:v>
                </c:pt>
                <c:pt idx="3">
                  <c:v>809.66666666666697</c:v>
                </c:pt>
                <c:pt idx="4">
                  <c:v>778.66666666666697</c:v>
                </c:pt>
                <c:pt idx="5">
                  <c:v>755</c:v>
                </c:pt>
                <c:pt idx="6">
                  <c:v>720</c:v>
                </c:pt>
                <c:pt idx="7">
                  <c:v>702</c:v>
                </c:pt>
                <c:pt idx="8">
                  <c:v>681</c:v>
                </c:pt>
                <c:pt idx="9">
                  <c:v>652</c:v>
                </c:pt>
                <c:pt idx="10">
                  <c:v>633</c:v>
                </c:pt>
                <c:pt idx="11">
                  <c:v>620</c:v>
                </c:pt>
                <c:pt idx="12">
                  <c:v>619</c:v>
                </c:pt>
                <c:pt idx="13">
                  <c:v>625</c:v>
                </c:pt>
                <c:pt idx="14">
                  <c:v>632</c:v>
                </c:pt>
                <c:pt idx="15">
                  <c:v>676</c:v>
                </c:pt>
                <c:pt idx="16">
                  <c:v>699</c:v>
                </c:pt>
                <c:pt idx="17">
                  <c:v>734</c:v>
                </c:pt>
                <c:pt idx="18">
                  <c:v>773</c:v>
                </c:pt>
                <c:pt idx="19">
                  <c:v>809</c:v>
                </c:pt>
                <c:pt idx="20">
                  <c:v>844</c:v>
                </c:pt>
                <c:pt idx="21">
                  <c:v>882</c:v>
                </c:pt>
                <c:pt idx="22">
                  <c:v>914</c:v>
                </c:pt>
                <c:pt idx="23">
                  <c:v>943</c:v>
                </c:pt>
                <c:pt idx="24">
                  <c:v>969</c:v>
                </c:pt>
                <c:pt idx="25">
                  <c:v>930</c:v>
                </c:pt>
                <c:pt idx="26">
                  <c:v>942</c:v>
                </c:pt>
                <c:pt idx="27">
                  <c:v>896</c:v>
                </c:pt>
              </c:numCache>
            </c:numRef>
          </c:yVal>
          <c:smooth val="1"/>
          <c:extLst>
            <c:ext xmlns:c16="http://schemas.microsoft.com/office/drawing/2014/chart" uri="{C3380CC4-5D6E-409C-BE32-E72D297353CC}">
              <c16:uniqueId val="{00000002-0985-4A78-BFE3-6F404A833849}"/>
            </c:ext>
          </c:extLst>
        </c:ser>
        <c:ser>
          <c:idx val="3"/>
          <c:order val="3"/>
          <c:tx>
            <c:strRef>
              <c:f>'[Показатели (4).xlsx]Население'!$BK$7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[1]Население!$BL$3:$CM$3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[1]Население!$BL$7:$CM$7</c:f>
              <c:numCache>
                <c:formatCode>General</c:formatCode>
                <c:ptCount val="28"/>
                <c:pt idx="0">
                  <c:v>762</c:v>
                </c:pt>
                <c:pt idx="1">
                  <c:v>744</c:v>
                </c:pt>
                <c:pt idx="2">
                  <c:v>749</c:v>
                </c:pt>
                <c:pt idx="3">
                  <c:v>738.66666666666697</c:v>
                </c:pt>
                <c:pt idx="4">
                  <c:v>709.33333333333303</c:v>
                </c:pt>
                <c:pt idx="5">
                  <c:v>691</c:v>
                </c:pt>
                <c:pt idx="6">
                  <c:v>644</c:v>
                </c:pt>
                <c:pt idx="7">
                  <c:v>640</c:v>
                </c:pt>
                <c:pt idx="8">
                  <c:v>607</c:v>
                </c:pt>
                <c:pt idx="9">
                  <c:v>587</c:v>
                </c:pt>
                <c:pt idx="10">
                  <c:v>575</c:v>
                </c:pt>
                <c:pt idx="11">
                  <c:v>568</c:v>
                </c:pt>
                <c:pt idx="12">
                  <c:v>570</c:v>
                </c:pt>
                <c:pt idx="13">
                  <c:v>577</c:v>
                </c:pt>
                <c:pt idx="14">
                  <c:v>589</c:v>
                </c:pt>
                <c:pt idx="15">
                  <c:v>622</c:v>
                </c:pt>
                <c:pt idx="16">
                  <c:v>641</c:v>
                </c:pt>
                <c:pt idx="17">
                  <c:v>661</c:v>
                </c:pt>
                <c:pt idx="18">
                  <c:v>687</c:v>
                </c:pt>
                <c:pt idx="19">
                  <c:v>715</c:v>
                </c:pt>
                <c:pt idx="20">
                  <c:v>745</c:v>
                </c:pt>
                <c:pt idx="21">
                  <c:v>776</c:v>
                </c:pt>
                <c:pt idx="22">
                  <c:v>804</c:v>
                </c:pt>
                <c:pt idx="23">
                  <c:v>828</c:v>
                </c:pt>
                <c:pt idx="24">
                  <c:v>846</c:v>
                </c:pt>
                <c:pt idx="25">
                  <c:v>815</c:v>
                </c:pt>
                <c:pt idx="26">
                  <c:v>822</c:v>
                </c:pt>
                <c:pt idx="27">
                  <c:v>785</c:v>
                </c:pt>
              </c:numCache>
            </c:numRef>
          </c:yVal>
          <c:smooth val="1"/>
          <c:extLst>
            <c:ext xmlns:c16="http://schemas.microsoft.com/office/drawing/2014/chart" uri="{C3380CC4-5D6E-409C-BE32-E72D297353CC}">
              <c16:uniqueId val="{00000003-0985-4A78-BFE3-6F404A833849}"/>
            </c:ext>
          </c:extLst>
        </c:ser>
        <c:ser>
          <c:idx val="5"/>
          <c:order val="4"/>
          <c:tx>
            <c:strRef>
              <c:f>'[Показатели (4).xlsx]Население'!$BK$9</c:f>
              <c:strCache>
                <c:ptCount val="1"/>
                <c:pt idx="0">
                  <c:v>в том числе:</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[1]Население!$BL$3:$CM$3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[1]Население!$BL$9:$CM$9</c:f>
              <c:numCache>
                <c:formatCode>General</c:formatCode>
                <c:ptCount val="28"/>
              </c:numCache>
            </c:numRef>
          </c:yVal>
          <c:smooth val="1"/>
          <c:extLst>
            <c:ext xmlns:c16="http://schemas.microsoft.com/office/drawing/2014/chart" uri="{C3380CC4-5D6E-409C-BE32-E72D297353CC}">
              <c16:uniqueId val="{00000004-0985-4A78-BFE3-6F404A833849}"/>
            </c:ext>
          </c:extLst>
        </c:ser>
        <c:ser>
          <c:idx val="6"/>
          <c:order val="5"/>
          <c:tx>
            <c:strRef>
              <c:f>'[Показатели (4).xlsx]Население'!$BK$10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[1]Население!$BL$3:$CM$3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[1]Население!$BL$10:$CM$10</c:f>
              <c:numCache>
                <c:formatCode>General</c:formatCode>
                <c:ptCount val="28"/>
                <c:pt idx="0">
                  <c:v>589</c:v>
                </c:pt>
                <c:pt idx="1">
                  <c:v>526</c:v>
                </c:pt>
                <c:pt idx="2">
                  <c:v>539</c:v>
                </c:pt>
                <c:pt idx="3">
                  <c:v>501.33333333333297</c:v>
                </c:pt>
                <c:pt idx="4">
                  <c:v>489</c:v>
                </c:pt>
                <c:pt idx="5">
                  <c:v>475</c:v>
                </c:pt>
                <c:pt idx="6">
                  <c:v>439</c:v>
                </c:pt>
                <c:pt idx="7">
                  <c:v>436</c:v>
                </c:pt>
                <c:pt idx="8">
                  <c:v>415</c:v>
                </c:pt>
                <c:pt idx="9">
                  <c:v>401</c:v>
                </c:pt>
                <c:pt idx="10">
                  <c:v>395</c:v>
                </c:pt>
                <c:pt idx="11">
                  <c:v>392</c:v>
                </c:pt>
                <c:pt idx="12">
                  <c:v>394</c:v>
                </c:pt>
                <c:pt idx="13">
                  <c:v>403</c:v>
                </c:pt>
                <c:pt idx="14">
                  <c:v>416</c:v>
                </c:pt>
                <c:pt idx="15">
                  <c:v>435</c:v>
                </c:pt>
                <c:pt idx="16">
                  <c:v>453</c:v>
                </c:pt>
                <c:pt idx="17">
                  <c:v>471</c:v>
                </c:pt>
                <c:pt idx="18">
                  <c:v>496</c:v>
                </c:pt>
                <c:pt idx="19">
                  <c:v>523</c:v>
                </c:pt>
                <c:pt idx="20">
                  <c:v>551</c:v>
                </c:pt>
                <c:pt idx="21">
                  <c:v>581</c:v>
                </c:pt>
                <c:pt idx="22">
                  <c:v>608</c:v>
                </c:pt>
                <c:pt idx="23">
                  <c:v>635</c:v>
                </c:pt>
                <c:pt idx="24">
                  <c:v>657</c:v>
                </c:pt>
                <c:pt idx="25">
                  <c:v>637</c:v>
                </c:pt>
                <c:pt idx="26">
                  <c:v>651</c:v>
                </c:pt>
                <c:pt idx="27">
                  <c:v>627</c:v>
                </c:pt>
              </c:numCache>
            </c:numRef>
          </c:yVal>
          <c:smooth val="1"/>
          <c:extLst>
            <c:ext xmlns:c16="http://schemas.microsoft.com/office/drawing/2014/chart" uri="{C3380CC4-5D6E-409C-BE32-E72D297353CC}">
              <c16:uniqueId val="{00000005-0985-4A78-BFE3-6F404A833849}"/>
            </c:ext>
          </c:extLst>
        </c:ser>
        <c:ser>
          <c:idx val="7"/>
          <c:order val="6"/>
          <c:tx>
            <c:strRef>
              <c:f>'[Показатели (4).xlsx]Население'!$BK$11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[1]Население!$BL$3:$CM$3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[1]Население!$BL$11:$CM$11</c:f>
              <c:numCache>
                <c:formatCode>General</c:formatCode>
                <c:ptCount val="28"/>
                <c:pt idx="0">
                  <c:v>532</c:v>
                </c:pt>
                <c:pt idx="1">
                  <c:v>477</c:v>
                </c:pt>
                <c:pt idx="2">
                  <c:v>483</c:v>
                </c:pt>
                <c:pt idx="3">
                  <c:v>448.33333333333297</c:v>
                </c:pt>
                <c:pt idx="4">
                  <c:v>458</c:v>
                </c:pt>
                <c:pt idx="5">
                  <c:v>448</c:v>
                </c:pt>
                <c:pt idx="6">
                  <c:v>430</c:v>
                </c:pt>
                <c:pt idx="7">
                  <c:v>424</c:v>
                </c:pt>
                <c:pt idx="8">
                  <c:v>415</c:v>
                </c:pt>
                <c:pt idx="9">
                  <c:v>339</c:v>
                </c:pt>
                <c:pt idx="10">
                  <c:v>391</c:v>
                </c:pt>
                <c:pt idx="11">
                  <c:v>387</c:v>
                </c:pt>
                <c:pt idx="12">
                  <c:v>385</c:v>
                </c:pt>
                <c:pt idx="13">
                  <c:v>393</c:v>
                </c:pt>
                <c:pt idx="14">
                  <c:v>404</c:v>
                </c:pt>
                <c:pt idx="15">
                  <c:v>415</c:v>
                </c:pt>
                <c:pt idx="16">
                  <c:v>428</c:v>
                </c:pt>
                <c:pt idx="17">
                  <c:v>427</c:v>
                </c:pt>
                <c:pt idx="18">
                  <c:v>437</c:v>
                </c:pt>
                <c:pt idx="19">
                  <c:v>458</c:v>
                </c:pt>
                <c:pt idx="20">
                  <c:v>479</c:v>
                </c:pt>
                <c:pt idx="21">
                  <c:v>511</c:v>
                </c:pt>
                <c:pt idx="22">
                  <c:v>536</c:v>
                </c:pt>
                <c:pt idx="23">
                  <c:v>555</c:v>
                </c:pt>
                <c:pt idx="24">
                  <c:v>572</c:v>
                </c:pt>
                <c:pt idx="25">
                  <c:v>555</c:v>
                </c:pt>
                <c:pt idx="26">
                  <c:v>574</c:v>
                </c:pt>
                <c:pt idx="27">
                  <c:v>552</c:v>
                </c:pt>
              </c:numCache>
            </c:numRef>
          </c:yVal>
          <c:smooth val="1"/>
          <c:extLst>
            <c:ext xmlns:c16="http://schemas.microsoft.com/office/drawing/2014/chart" uri="{C3380CC4-5D6E-409C-BE32-E72D297353CC}">
              <c16:uniqueId val="{00000006-0985-4A78-BFE3-6F404A833849}"/>
            </c:ext>
          </c:extLst>
        </c:ser>
        <c:ser>
          <c:idx val="8"/>
          <c:order val="7"/>
          <c:tx>
            <c:strRef>
              <c:f>'[Показатели (4).xlsx]Население'!$BK$12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[1]Население!$BL$3:$CM$3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[1]Население!$BL$12:$CM$12</c:f>
              <c:numCache>
                <c:formatCode>0.0</c:formatCode>
                <c:ptCount val="28"/>
                <c:pt idx="0">
                  <c:v>724.2912205567452</c:v>
                </c:pt>
                <c:pt idx="1">
                  <c:v>701.32972582972582</c:v>
                </c:pt>
                <c:pt idx="2">
                  <c:v>718.81672727272723</c:v>
                </c:pt>
                <c:pt idx="3">
                  <c:v>703.10849393290493</c:v>
                </c:pt>
                <c:pt idx="4">
                  <c:v>669.31115984405528</c:v>
                </c:pt>
                <c:pt idx="5">
                  <c:v>650.22173274596184</c:v>
                </c:pt>
                <c:pt idx="6">
                  <c:v>607.23946784922396</c:v>
                </c:pt>
                <c:pt idx="7">
                  <c:v>603.55464071856284</c:v>
                </c:pt>
                <c:pt idx="8">
                  <c:v>560.82766439909301</c:v>
                </c:pt>
                <c:pt idx="9">
                  <c:v>560.02124430955996</c:v>
                </c:pt>
                <c:pt idx="10">
                  <c:v>522.273556231003</c:v>
                </c:pt>
                <c:pt idx="11">
                  <c:v>514.76317799847209</c:v>
                </c:pt>
                <c:pt idx="12">
                  <c:v>513.70992366412213</c:v>
                </c:pt>
                <c:pt idx="13">
                  <c:v>518.35258358662611</c:v>
                </c:pt>
                <c:pt idx="14">
                  <c:v>526.98867924528304</c:v>
                </c:pt>
                <c:pt idx="15">
                  <c:v>559.37331334332839</c:v>
                </c:pt>
                <c:pt idx="16" formatCode="General">
                  <c:v>586</c:v>
                </c:pt>
                <c:pt idx="17" formatCode="General">
                  <c:v>607</c:v>
                </c:pt>
                <c:pt idx="18" formatCode="General">
                  <c:v>631</c:v>
                </c:pt>
                <c:pt idx="19" formatCode="General">
                  <c:v>657</c:v>
                </c:pt>
                <c:pt idx="20" formatCode="General">
                  <c:v>687</c:v>
                </c:pt>
                <c:pt idx="21" formatCode="General">
                  <c:v>715</c:v>
                </c:pt>
                <c:pt idx="22" formatCode="General">
                  <c:v>740</c:v>
                </c:pt>
                <c:pt idx="23" formatCode="General">
                  <c:v>763</c:v>
                </c:pt>
                <c:pt idx="24" formatCode="General">
                  <c:v>783</c:v>
                </c:pt>
                <c:pt idx="25" formatCode="General">
                  <c:v>759</c:v>
                </c:pt>
                <c:pt idx="26" formatCode="General">
                  <c:v>774</c:v>
                </c:pt>
                <c:pt idx="27" formatCode="General">
                  <c:v>746</c:v>
                </c:pt>
              </c:numCache>
            </c:numRef>
          </c:yVal>
          <c:smooth val="1"/>
          <c:extLst>
            <c:ext xmlns:c16="http://schemas.microsoft.com/office/drawing/2014/chart" uri="{C3380CC4-5D6E-409C-BE32-E72D297353CC}">
              <c16:uniqueId val="{00000007-0985-4A78-BFE3-6F404A833849}"/>
            </c:ext>
          </c:extLst>
        </c:ser>
        <c:ser>
          <c:idx val="9"/>
          <c:order val="8"/>
          <c:tx>
            <c:strRef>
              <c:f>'[Показатели (4).xlsx]Население'!$BK$13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[1]Население!$BL$3:$CM$3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[1]Население!$BL$13:$CM$13</c:f>
              <c:numCache>
                <c:formatCode>General</c:formatCode>
                <c:ptCount val="28"/>
                <c:pt idx="0">
                  <c:v>769</c:v>
                </c:pt>
                <c:pt idx="1">
                  <c:v>758</c:v>
                </c:pt>
                <c:pt idx="2">
                  <c:v>762</c:v>
                </c:pt>
                <c:pt idx="3">
                  <c:v>756</c:v>
                </c:pt>
                <c:pt idx="4">
                  <c:v>729</c:v>
                </c:pt>
                <c:pt idx="5">
                  <c:v>711</c:v>
                </c:pt>
                <c:pt idx="6">
                  <c:v>665</c:v>
                </c:pt>
                <c:pt idx="7">
                  <c:v>661</c:v>
                </c:pt>
                <c:pt idx="8">
                  <c:v>628</c:v>
                </c:pt>
                <c:pt idx="9">
                  <c:v>607</c:v>
                </c:pt>
                <c:pt idx="10">
                  <c:v>593</c:v>
                </c:pt>
                <c:pt idx="11">
                  <c:v>585</c:v>
                </c:pt>
                <c:pt idx="12">
                  <c:v>584</c:v>
                </c:pt>
                <c:pt idx="13">
                  <c:v>590</c:v>
                </c:pt>
                <c:pt idx="14">
                  <c:v>599</c:v>
                </c:pt>
                <c:pt idx="15">
                  <c:v>629</c:v>
                </c:pt>
                <c:pt idx="16">
                  <c:v>648</c:v>
                </c:pt>
                <c:pt idx="17">
                  <c:v>669</c:v>
                </c:pt>
                <c:pt idx="18">
                  <c:v>694</c:v>
                </c:pt>
                <c:pt idx="19">
                  <c:v>720</c:v>
                </c:pt>
                <c:pt idx="20">
                  <c:v>747</c:v>
                </c:pt>
                <c:pt idx="21">
                  <c:v>776</c:v>
                </c:pt>
                <c:pt idx="22">
                  <c:v>801</c:v>
                </c:pt>
                <c:pt idx="23">
                  <c:v>822</c:v>
                </c:pt>
                <c:pt idx="24">
                  <c:v>841</c:v>
                </c:pt>
                <c:pt idx="25">
                  <c:v>810</c:v>
                </c:pt>
                <c:pt idx="26">
                  <c:v>817</c:v>
                </c:pt>
                <c:pt idx="27">
                  <c:v>780</c:v>
                </c:pt>
              </c:numCache>
            </c:numRef>
          </c:yVal>
          <c:smooth val="1"/>
          <c:extLst>
            <c:ext xmlns:c16="http://schemas.microsoft.com/office/drawing/2014/chart" uri="{C3380CC4-5D6E-409C-BE32-E72D297353CC}">
              <c16:uniqueId val="{00000008-0985-4A78-BFE3-6F404A833849}"/>
            </c:ext>
          </c:extLst>
        </c:ser>
        <c:dLbls>
          <c:showLegendKey val="0"/>
          <c:showVal val="0"/>
          <c:showCatName val="0"/>
          <c:showSerName val="0"/>
          <c:showPercent val="0"/>
          <c:showBubbleSize val="0"/>
        </c:dLbls>
        <c:axId val="306076672"/>
        <c:axId val="306103424"/>
      </c:scatterChart>
      <c:valAx>
        <c:axId val="306076672"/>
        <c:scaling>
          <c:orientation val="minMax"/>
          <c:max val="2021"/>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103424"/>
        <c:crosses val="autoZero"/>
        <c:crossBetween val="midCat"/>
      </c:valAx>
      <c:valAx>
        <c:axId val="30610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076672"/>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'[Показатели (4).xlsx]Население'!$CO$6</c:f>
              <c:strCache>
                <c:ptCount val="1"/>
                <c:pt idx="0">
                  <c:v>Курганская область</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[1]Население!$CP$3:$DQ$3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[1]Население!$CP$6:$DQ$6</c:f>
              <c:numCache>
                <c:formatCode>General</c:formatCode>
                <c:ptCount val="28"/>
                <c:pt idx="0">
                  <c:v>3.1</c:v>
                </c:pt>
                <c:pt idx="1">
                  <c:v>-5.6</c:v>
                </c:pt>
                <c:pt idx="2">
                  <c:v>-5.4</c:v>
                </c:pt>
                <c:pt idx="3">
                  <c:v>-5.4</c:v>
                </c:pt>
                <c:pt idx="4">
                  <c:v>-4.7</c:v>
                </c:pt>
                <c:pt idx="5">
                  <c:v>-5.8</c:v>
                </c:pt>
                <c:pt idx="6">
                  <c:v>-6.4</c:v>
                </c:pt>
                <c:pt idx="7">
                  <c:v>-6.6</c:v>
                </c:pt>
                <c:pt idx="8">
                  <c:v>-7.3</c:v>
                </c:pt>
                <c:pt idx="9">
                  <c:v>-7.8</c:v>
                </c:pt>
                <c:pt idx="10">
                  <c:v>-7</c:v>
                </c:pt>
                <c:pt idx="11">
                  <c:v>-7.4</c:v>
                </c:pt>
                <c:pt idx="12">
                  <c:v>-6</c:v>
                </c:pt>
                <c:pt idx="13">
                  <c:v>-4.4000000000000004</c:v>
                </c:pt>
                <c:pt idx="14">
                  <c:v>-4</c:v>
                </c:pt>
                <c:pt idx="15">
                  <c:v>-3.2</c:v>
                </c:pt>
                <c:pt idx="16">
                  <c:v>-3.1</c:v>
                </c:pt>
                <c:pt idx="17">
                  <c:v>-2.9</c:v>
                </c:pt>
                <c:pt idx="18">
                  <c:v>-2.1</c:v>
                </c:pt>
                <c:pt idx="19">
                  <c:v>-2.1</c:v>
                </c:pt>
                <c:pt idx="20">
                  <c:v>-2.2999999999999998</c:v>
                </c:pt>
                <c:pt idx="21">
                  <c:v>-2.7</c:v>
                </c:pt>
                <c:pt idx="22">
                  <c:v>-3.5</c:v>
                </c:pt>
                <c:pt idx="23">
                  <c:v>-4.0999999999999996</c:v>
                </c:pt>
                <c:pt idx="24">
                  <c:v>-5.2</c:v>
                </c:pt>
                <c:pt idx="25">
                  <c:v>-6</c:v>
                </c:pt>
                <c:pt idx="26">
                  <c:v>-8.4</c:v>
                </c:pt>
                <c:pt idx="27">
                  <c:v>-11.3</c:v>
                </c:pt>
              </c:numCache>
            </c:numRef>
          </c:yVal>
          <c:smooth val="1"/>
          <c:extLst>
            <c:ext xmlns:c16="http://schemas.microsoft.com/office/drawing/2014/chart" uri="{C3380CC4-5D6E-409C-BE32-E72D297353CC}">
              <c16:uniqueId val="{00000000-F1EA-42A9-A366-5E8910C7C222}"/>
            </c:ext>
          </c:extLst>
        </c:ser>
        <c:ser>
          <c:idx val="3"/>
          <c:order val="1"/>
          <c:tx>
            <c:strRef>
              <c:f>'[Показатели (4).xlsx]Население'!$CO$7</c:f>
              <c:strCache>
                <c:ptCount val="1"/>
                <c:pt idx="0">
                  <c:v>Свердловская область</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[1]Население!$CP$3:$DQ$3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[1]Население!$CP$7:$DQ$7</c:f>
              <c:numCache>
                <c:formatCode>General</c:formatCode>
                <c:ptCount val="28"/>
                <c:pt idx="0">
                  <c:v>1</c:v>
                </c:pt>
                <c:pt idx="1">
                  <c:v>-7.1</c:v>
                </c:pt>
                <c:pt idx="2">
                  <c:v>-6.4</c:v>
                </c:pt>
                <c:pt idx="3">
                  <c:v>-5.9</c:v>
                </c:pt>
                <c:pt idx="4">
                  <c:v>-5.4</c:v>
                </c:pt>
                <c:pt idx="5">
                  <c:v>-7.3</c:v>
                </c:pt>
                <c:pt idx="6">
                  <c:v>-8.1</c:v>
                </c:pt>
                <c:pt idx="7">
                  <c:v>-7</c:v>
                </c:pt>
                <c:pt idx="8">
                  <c:v>-7.2</c:v>
                </c:pt>
                <c:pt idx="9">
                  <c:v>-6.9</c:v>
                </c:pt>
                <c:pt idx="10">
                  <c:v>-6</c:v>
                </c:pt>
                <c:pt idx="11">
                  <c:v>-6.3</c:v>
                </c:pt>
                <c:pt idx="12">
                  <c:v>-4.5999999999999996</c:v>
                </c:pt>
                <c:pt idx="13">
                  <c:v>-3.2</c:v>
                </c:pt>
                <c:pt idx="14">
                  <c:v>-2.4</c:v>
                </c:pt>
                <c:pt idx="15">
                  <c:v>-1.5</c:v>
                </c:pt>
                <c:pt idx="16">
                  <c:v>-0.9</c:v>
                </c:pt>
                <c:pt idx="17">
                  <c:v>-0.6</c:v>
                </c:pt>
                <c:pt idx="18">
                  <c:v>0.3</c:v>
                </c:pt>
                <c:pt idx="19">
                  <c:v>0.7</c:v>
                </c:pt>
                <c:pt idx="20">
                  <c:v>0.5</c:v>
                </c:pt>
                <c:pt idx="21">
                  <c:v>0.3</c:v>
                </c:pt>
                <c:pt idx="22">
                  <c:v>-0.2</c:v>
                </c:pt>
                <c:pt idx="23">
                  <c:v>-1</c:v>
                </c:pt>
                <c:pt idx="24">
                  <c:v>-1.9</c:v>
                </c:pt>
                <c:pt idx="25">
                  <c:v>-2.6</c:v>
                </c:pt>
                <c:pt idx="26">
                  <c:v>-5.5</c:v>
                </c:pt>
                <c:pt idx="27">
                  <c:v>-11.6</c:v>
                </c:pt>
              </c:numCache>
            </c:numRef>
          </c:yVal>
          <c:smooth val="1"/>
          <c:extLst>
            <c:ext xmlns:c16="http://schemas.microsoft.com/office/drawing/2014/chart" uri="{C3380CC4-5D6E-409C-BE32-E72D297353CC}">
              <c16:uniqueId val="{00000001-F1EA-42A9-A366-5E8910C7C222}"/>
            </c:ext>
          </c:extLst>
        </c:ser>
        <c:ser>
          <c:idx val="6"/>
          <c:order val="2"/>
          <c:tx>
            <c:strRef>
              <c:f>'[Показатели (4).xlsx]Население'!$CO$10</c:f>
              <c:strCache>
                <c:ptCount val="1"/>
                <c:pt idx="0">
                  <c:v>Ханты-Мансийский автономный округ - Югра</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[1]Население!$CP$3:$DQ$3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[1]Население!$CP$10:$DQ$10</c:f>
              <c:numCache>
                <c:formatCode>General</c:formatCode>
                <c:ptCount val="28"/>
                <c:pt idx="0">
                  <c:v>12.6</c:v>
                </c:pt>
                <c:pt idx="1">
                  <c:v>3.3</c:v>
                </c:pt>
                <c:pt idx="2">
                  <c:v>3.7</c:v>
                </c:pt>
                <c:pt idx="3">
                  <c:v>4.5999999999999996</c:v>
                </c:pt>
                <c:pt idx="4">
                  <c:v>5.4</c:v>
                </c:pt>
                <c:pt idx="5">
                  <c:v>4.5999999999999996</c:v>
                </c:pt>
                <c:pt idx="6">
                  <c:v>4.5</c:v>
                </c:pt>
                <c:pt idx="7">
                  <c:v>5.0999999999999996</c:v>
                </c:pt>
                <c:pt idx="8">
                  <c:v>6.5</c:v>
                </c:pt>
                <c:pt idx="9">
                  <c:v>6.9</c:v>
                </c:pt>
                <c:pt idx="10">
                  <c:v>7.3</c:v>
                </c:pt>
                <c:pt idx="11">
                  <c:v>6.5</c:v>
                </c:pt>
                <c:pt idx="12">
                  <c:v>7</c:v>
                </c:pt>
                <c:pt idx="13">
                  <c:v>8</c:v>
                </c:pt>
                <c:pt idx="14">
                  <c:v>8.6999999999999993</c:v>
                </c:pt>
                <c:pt idx="15">
                  <c:v>9.1</c:v>
                </c:pt>
                <c:pt idx="16">
                  <c:v>9.6</c:v>
                </c:pt>
                <c:pt idx="17">
                  <c:v>9.9</c:v>
                </c:pt>
                <c:pt idx="18">
                  <c:v>11.4</c:v>
                </c:pt>
                <c:pt idx="19">
                  <c:v>11.2</c:v>
                </c:pt>
                <c:pt idx="20">
                  <c:v>10.8</c:v>
                </c:pt>
                <c:pt idx="21">
                  <c:v>10.199999999999999</c:v>
                </c:pt>
                <c:pt idx="22">
                  <c:v>9.5</c:v>
                </c:pt>
                <c:pt idx="23">
                  <c:v>7.9</c:v>
                </c:pt>
                <c:pt idx="24">
                  <c:v>7.3</c:v>
                </c:pt>
                <c:pt idx="25">
                  <c:v>6.4</c:v>
                </c:pt>
                <c:pt idx="26">
                  <c:v>4.7</c:v>
                </c:pt>
                <c:pt idx="27">
                  <c:v>-9.6</c:v>
                </c:pt>
              </c:numCache>
            </c:numRef>
          </c:yVal>
          <c:smooth val="1"/>
          <c:extLst>
            <c:ext xmlns:c16="http://schemas.microsoft.com/office/drawing/2014/chart" uri="{C3380CC4-5D6E-409C-BE32-E72D297353CC}">
              <c16:uniqueId val="{00000002-F1EA-42A9-A366-5E8910C7C222}"/>
            </c:ext>
          </c:extLst>
        </c:ser>
        <c:ser>
          <c:idx val="7"/>
          <c:order val="3"/>
          <c:tx>
            <c:strRef>
              <c:f>'[Показатели (4).xlsx]Население'!$CO$11</c:f>
              <c:strCache>
                <c:ptCount val="1"/>
                <c:pt idx="0">
                  <c:v>Ямало-Ненецкий автономный округ</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[1]Население!$CP$3:$DQ$3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[1]Население!$CP$11:$DQ$11</c:f>
              <c:numCache>
                <c:formatCode>General</c:formatCode>
                <c:ptCount val="28"/>
                <c:pt idx="0">
                  <c:v>13</c:v>
                </c:pt>
                <c:pt idx="1">
                  <c:v>6.7</c:v>
                </c:pt>
                <c:pt idx="2">
                  <c:v>6.6</c:v>
                </c:pt>
                <c:pt idx="3">
                  <c:v>7.1</c:v>
                </c:pt>
                <c:pt idx="4">
                  <c:v>7.7</c:v>
                </c:pt>
                <c:pt idx="5">
                  <c:v>6.9</c:v>
                </c:pt>
                <c:pt idx="6">
                  <c:v>6.2</c:v>
                </c:pt>
                <c:pt idx="7">
                  <c:v>6.7</c:v>
                </c:pt>
                <c:pt idx="8">
                  <c:v>7.3</c:v>
                </c:pt>
                <c:pt idx="9">
                  <c:v>8</c:v>
                </c:pt>
                <c:pt idx="10">
                  <c:v>8.4</c:v>
                </c:pt>
                <c:pt idx="11">
                  <c:v>7.9</c:v>
                </c:pt>
                <c:pt idx="12">
                  <c:v>7.7</c:v>
                </c:pt>
                <c:pt idx="13">
                  <c:v>9.1</c:v>
                </c:pt>
                <c:pt idx="14">
                  <c:v>9.4</c:v>
                </c:pt>
                <c:pt idx="15">
                  <c:v>10.1</c:v>
                </c:pt>
                <c:pt idx="16">
                  <c:v>10.3</c:v>
                </c:pt>
                <c:pt idx="17">
                  <c:v>10.199999999999999</c:v>
                </c:pt>
                <c:pt idx="18">
                  <c:v>11.4</c:v>
                </c:pt>
                <c:pt idx="19">
                  <c:v>11.5</c:v>
                </c:pt>
                <c:pt idx="20">
                  <c:v>11.8</c:v>
                </c:pt>
                <c:pt idx="21">
                  <c:v>11.3</c:v>
                </c:pt>
                <c:pt idx="22">
                  <c:v>10.1</c:v>
                </c:pt>
                <c:pt idx="23">
                  <c:v>9.1</c:v>
                </c:pt>
                <c:pt idx="24">
                  <c:v>8.6999999999999993</c:v>
                </c:pt>
                <c:pt idx="25">
                  <c:v>7.9</c:v>
                </c:pt>
                <c:pt idx="26">
                  <c:v>6.9</c:v>
                </c:pt>
                <c:pt idx="27">
                  <c:v>-12.6</c:v>
                </c:pt>
              </c:numCache>
            </c:numRef>
          </c:yVal>
          <c:smooth val="1"/>
          <c:extLst>
            <c:ext xmlns:c16="http://schemas.microsoft.com/office/drawing/2014/chart" uri="{C3380CC4-5D6E-409C-BE32-E72D297353CC}">
              <c16:uniqueId val="{00000003-F1EA-42A9-A366-5E8910C7C222}"/>
            </c:ext>
          </c:extLst>
        </c:ser>
        <c:ser>
          <c:idx val="8"/>
          <c:order val="4"/>
          <c:tx>
            <c:strRef>
              <c:f>'[Показатели (4).xlsx]Население'!$CO$12</c:f>
              <c:strCache>
                <c:ptCount val="1"/>
                <c:pt idx="0">
                  <c:v>Тюменская область без ХМАО и ЯНАО</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[1]Население!$CP$3:$DQ$3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[1]Население!$CP$12:$DQ$12</c:f>
              <c:numCache>
                <c:formatCode>0.0</c:formatCode>
                <c:ptCount val="28"/>
                <c:pt idx="0">
                  <c:v>5.67237687366167</c:v>
                </c:pt>
                <c:pt idx="1">
                  <c:v>-3.6233766233766236</c:v>
                </c:pt>
                <c:pt idx="2">
                  <c:v>-3.5898909090909092</c:v>
                </c:pt>
                <c:pt idx="3">
                  <c:v>-2.8645772594752175</c:v>
                </c:pt>
                <c:pt idx="4">
                  <c:v>-1.8060672514619882</c:v>
                </c:pt>
                <c:pt idx="5">
                  <c:v>-2.8531571218795877</c:v>
                </c:pt>
                <c:pt idx="6">
                  <c:v>-3.77450110864745</c:v>
                </c:pt>
                <c:pt idx="7">
                  <c:v>-3.5325598802395208</c:v>
                </c:pt>
                <c:pt idx="8">
                  <c:v>-3.6944066515495084</c:v>
                </c:pt>
                <c:pt idx="9">
                  <c:v>-3.2650227617602434</c:v>
                </c:pt>
                <c:pt idx="10">
                  <c:v>-2.6891337386018228</c:v>
                </c:pt>
                <c:pt idx="11" formatCode="General">
                  <c:v>-2.2999999999999998</c:v>
                </c:pt>
                <c:pt idx="12">
                  <c:v>-1.1046564885496188</c:v>
                </c:pt>
                <c:pt idx="13">
                  <c:v>0.98100303951367918</c:v>
                </c:pt>
                <c:pt idx="14">
                  <c:v>1.8461886792452815</c:v>
                </c:pt>
                <c:pt idx="15">
                  <c:v>2.6280359820089951</c:v>
                </c:pt>
                <c:pt idx="16" formatCode="General">
                  <c:v>2.9</c:v>
                </c:pt>
                <c:pt idx="17" formatCode="General">
                  <c:v>3.8</c:v>
                </c:pt>
                <c:pt idx="18" formatCode="General">
                  <c:v>4.8</c:v>
                </c:pt>
                <c:pt idx="19" formatCode="General">
                  <c:v>5.0999999999999996</c:v>
                </c:pt>
                <c:pt idx="20" formatCode="General">
                  <c:v>5.4</c:v>
                </c:pt>
                <c:pt idx="21" formatCode="General">
                  <c:v>5.2</c:v>
                </c:pt>
                <c:pt idx="22" formatCode="General">
                  <c:v>4.5</c:v>
                </c:pt>
                <c:pt idx="23" formatCode="General">
                  <c:v>3.5</c:v>
                </c:pt>
                <c:pt idx="24" formatCode="General">
                  <c:v>2.8</c:v>
                </c:pt>
                <c:pt idx="25" formatCode="General">
                  <c:v>2.1</c:v>
                </c:pt>
                <c:pt idx="26" formatCode="General">
                  <c:v>0.1</c:v>
                </c:pt>
                <c:pt idx="27" formatCode="General">
                  <c:v>-11.3</c:v>
                </c:pt>
              </c:numCache>
            </c:numRef>
          </c:yVal>
          <c:smooth val="1"/>
          <c:extLst>
            <c:ext xmlns:c16="http://schemas.microsoft.com/office/drawing/2014/chart" uri="{C3380CC4-5D6E-409C-BE32-E72D297353CC}">
              <c16:uniqueId val="{00000004-F1EA-42A9-A366-5E8910C7C222}"/>
            </c:ext>
          </c:extLst>
        </c:ser>
        <c:ser>
          <c:idx val="9"/>
          <c:order val="5"/>
          <c:tx>
            <c:strRef>
              <c:f>'[Показатели (4).xlsx]Население'!$CO$13</c:f>
              <c:strCache>
                <c:ptCount val="1"/>
                <c:pt idx="0">
                  <c:v>Челябинская область</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[1]Население!$CP$3:$DQ$3</c:f>
              <c:numCache>
                <c:formatCode>General</c:formatCode>
                <c:ptCount val="28"/>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xVal>
          <c:yVal>
            <c:numRef>
              <c:f>[1]Население!$CP$13:$DQ$13</c:f>
              <c:numCache>
                <c:formatCode>General</c:formatCode>
                <c:ptCount val="28"/>
                <c:pt idx="0">
                  <c:v>2.9</c:v>
                </c:pt>
                <c:pt idx="1">
                  <c:v>-5.8</c:v>
                </c:pt>
                <c:pt idx="2">
                  <c:v>-5</c:v>
                </c:pt>
                <c:pt idx="3">
                  <c:v>-4.5999999999999996</c:v>
                </c:pt>
                <c:pt idx="4">
                  <c:v>-4</c:v>
                </c:pt>
                <c:pt idx="5">
                  <c:v>-6</c:v>
                </c:pt>
                <c:pt idx="6">
                  <c:v>-6.6</c:v>
                </c:pt>
                <c:pt idx="7">
                  <c:v>-6.2</c:v>
                </c:pt>
                <c:pt idx="8">
                  <c:v>-6.3</c:v>
                </c:pt>
                <c:pt idx="9">
                  <c:v>-6.2</c:v>
                </c:pt>
                <c:pt idx="10">
                  <c:v>-5.6</c:v>
                </c:pt>
                <c:pt idx="11">
                  <c:v>-6</c:v>
                </c:pt>
                <c:pt idx="12">
                  <c:v>-4.7</c:v>
                </c:pt>
                <c:pt idx="13">
                  <c:v>-3.2</c:v>
                </c:pt>
                <c:pt idx="14">
                  <c:v>-2.2000000000000002</c:v>
                </c:pt>
                <c:pt idx="15">
                  <c:v>-1.3</c:v>
                </c:pt>
                <c:pt idx="16">
                  <c:v>-1</c:v>
                </c:pt>
                <c:pt idx="17">
                  <c:v>-0.6</c:v>
                </c:pt>
                <c:pt idx="18">
                  <c:v>0.2</c:v>
                </c:pt>
                <c:pt idx="19">
                  <c:v>0.2</c:v>
                </c:pt>
                <c:pt idx="20">
                  <c:v>0.4</c:v>
                </c:pt>
                <c:pt idx="21">
                  <c:v>0</c:v>
                </c:pt>
                <c:pt idx="22">
                  <c:v>-0.3</c:v>
                </c:pt>
                <c:pt idx="23">
                  <c:v>-1.5</c:v>
                </c:pt>
                <c:pt idx="24">
                  <c:v>-2.4</c:v>
                </c:pt>
                <c:pt idx="25">
                  <c:v>-3.2</c:v>
                </c:pt>
                <c:pt idx="26">
                  <c:v>-6.4</c:v>
                </c:pt>
                <c:pt idx="27">
                  <c:v>-5.2</c:v>
                </c:pt>
              </c:numCache>
            </c:numRef>
          </c:yVal>
          <c:smooth val="1"/>
          <c:extLst>
            <c:ext xmlns:c16="http://schemas.microsoft.com/office/drawing/2014/chart" uri="{C3380CC4-5D6E-409C-BE32-E72D297353CC}">
              <c16:uniqueId val="{00000005-F1EA-42A9-A366-5E8910C7C222}"/>
            </c:ext>
          </c:extLst>
        </c:ser>
        <c:dLbls>
          <c:showLegendKey val="0"/>
          <c:showVal val="0"/>
          <c:showCatName val="0"/>
          <c:showSerName val="0"/>
          <c:showPercent val="0"/>
          <c:showBubbleSize val="0"/>
        </c:dLbls>
        <c:axId val="314186752"/>
        <c:axId val="314197120"/>
      </c:scatterChart>
      <c:valAx>
        <c:axId val="314186752"/>
        <c:scaling>
          <c:orientation val="minMax"/>
          <c:max val="2021"/>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97120"/>
        <c:crosses val="autoZero"/>
        <c:crossBetween val="midCat"/>
      </c:valAx>
      <c:valAx>
        <c:axId val="31419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41867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F5245-DBE5-4C60-A616-BA7C01D68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82</Pages>
  <Words>17380</Words>
  <Characters>99067</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Диденко Иван Николаевич</cp:lastModifiedBy>
  <cp:revision>18</cp:revision>
  <dcterms:created xsi:type="dcterms:W3CDTF">2023-06-02T16:40:00Z</dcterms:created>
  <dcterms:modified xsi:type="dcterms:W3CDTF">2023-06-02T20:58:00Z</dcterms:modified>
</cp:coreProperties>
</file>