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A9" w:rsidRPr="002A30A9" w:rsidRDefault="002A30A9" w:rsidP="002A30A9">
      <w:pPr>
        <w:jc w:val="center"/>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Санкт-Петербургский государственный университет</w:t>
      </w: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16"/>
          <w:szCs w:val="16"/>
          <w:lang w:eastAsia="ru-RU"/>
        </w:rPr>
      </w:pPr>
    </w:p>
    <w:p w:rsidR="002A30A9" w:rsidRPr="002A30A9" w:rsidRDefault="002A30A9" w:rsidP="002A30A9">
      <w:pPr>
        <w:spacing w:after="0" w:line="360" w:lineRule="auto"/>
        <w:jc w:val="center"/>
        <w:rPr>
          <w:rFonts w:ascii="Times New Roman" w:eastAsia="MS Mincho" w:hAnsi="Times New Roman" w:cs="Times New Roman"/>
          <w:sz w:val="28"/>
          <w:szCs w:val="28"/>
          <w:lang w:eastAsia="ru-RU"/>
        </w:rPr>
      </w:pPr>
      <w:r w:rsidRPr="002A30A9">
        <w:rPr>
          <w:rFonts w:ascii="Times New Roman" w:eastAsia="MS Mincho" w:hAnsi="Times New Roman" w:cs="Times New Roman"/>
          <w:sz w:val="28"/>
          <w:szCs w:val="28"/>
          <w:lang w:eastAsia="ru-RU"/>
        </w:rPr>
        <w:t>ВЫПУСКНАЯ КВАЛИФИКАЦИОННАЯ РАБОТА</w:t>
      </w: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по направлению «Экономика»</w:t>
      </w: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p>
    <w:p w:rsidR="00347239" w:rsidRPr="00347239" w:rsidRDefault="00347239" w:rsidP="00347239">
      <w:pPr>
        <w:spacing w:after="0" w:line="360" w:lineRule="auto"/>
        <w:jc w:val="center"/>
        <w:rPr>
          <w:rFonts w:ascii="Times New Roman" w:eastAsia="MS Mincho" w:hAnsi="Times New Roman" w:cs="Times New Roman"/>
          <w:sz w:val="28"/>
          <w:szCs w:val="28"/>
          <w:lang w:eastAsia="ru-RU"/>
        </w:rPr>
      </w:pPr>
      <w:r w:rsidRPr="00347239">
        <w:rPr>
          <w:rFonts w:ascii="Times New Roman" w:eastAsia="MS Mincho" w:hAnsi="Times New Roman" w:cs="Times New Roman"/>
          <w:sz w:val="28"/>
          <w:szCs w:val="28"/>
          <w:lang w:eastAsia="ru-RU"/>
        </w:rPr>
        <w:t>АНАЛИЗ И ОЦЕНКА ЭФФЕКТИВНОСТИ ИНВЕСТИЦИОННЫХ ПРОЕКТОВ</w:t>
      </w: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p>
    <w:p w:rsidR="002A30A9" w:rsidRPr="002A30A9" w:rsidRDefault="002A30A9" w:rsidP="002A30A9">
      <w:pPr>
        <w:spacing w:after="0" w:line="240" w:lineRule="auto"/>
        <w:ind w:left="4395"/>
        <w:jc w:val="both"/>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Выполнил:</w:t>
      </w:r>
    </w:p>
    <w:p w:rsidR="002A30A9" w:rsidRPr="002A30A9" w:rsidRDefault="002A30A9" w:rsidP="002A30A9">
      <w:pPr>
        <w:spacing w:after="0" w:line="240" w:lineRule="auto"/>
        <w:ind w:left="4395"/>
        <w:jc w:val="both"/>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 xml:space="preserve">Обучающийся 4 курса, группы ЭФиУИ-43 </w:t>
      </w:r>
    </w:p>
    <w:p w:rsidR="002A30A9" w:rsidRPr="002A30A9" w:rsidRDefault="00347239" w:rsidP="002A30A9">
      <w:pPr>
        <w:spacing w:after="0" w:line="240" w:lineRule="auto"/>
        <w:ind w:left="4395"/>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Мирошникова Дина Вадимовна</w:t>
      </w:r>
    </w:p>
    <w:p w:rsidR="002A30A9" w:rsidRPr="002A30A9" w:rsidRDefault="002A30A9" w:rsidP="002A30A9">
      <w:pPr>
        <w:spacing w:after="0" w:line="240" w:lineRule="auto"/>
        <w:ind w:left="4395"/>
        <w:jc w:val="both"/>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Подпись:</w:t>
      </w:r>
      <w:r w:rsidRPr="002A30A9">
        <w:rPr>
          <w:rFonts w:ascii="Times New Roman" w:eastAsia="MS Mincho" w:hAnsi="Times New Roman" w:cs="Times New Roman"/>
          <w:sz w:val="24"/>
          <w:szCs w:val="24"/>
          <w:lang w:eastAsia="ru-RU"/>
        </w:rPr>
        <w:tab/>
      </w:r>
      <w:r w:rsidRPr="002A30A9">
        <w:rPr>
          <w:rFonts w:ascii="Times New Roman" w:eastAsia="MS Mincho" w:hAnsi="Times New Roman" w:cs="Times New Roman"/>
          <w:sz w:val="24"/>
          <w:szCs w:val="24"/>
          <w:lang w:eastAsia="ru-RU"/>
        </w:rPr>
        <w:tab/>
      </w:r>
    </w:p>
    <w:p w:rsidR="002A30A9" w:rsidRPr="002A30A9" w:rsidRDefault="002A30A9" w:rsidP="002A30A9">
      <w:pPr>
        <w:spacing w:after="0" w:line="240" w:lineRule="auto"/>
        <w:ind w:left="4395"/>
        <w:jc w:val="both"/>
        <w:rPr>
          <w:rFonts w:ascii="Times New Roman" w:eastAsia="MS Mincho" w:hAnsi="Times New Roman" w:cs="Times New Roman"/>
          <w:sz w:val="24"/>
          <w:szCs w:val="24"/>
          <w:lang w:eastAsia="ru-RU"/>
        </w:rPr>
      </w:pPr>
    </w:p>
    <w:p w:rsidR="002A30A9" w:rsidRPr="002A30A9" w:rsidRDefault="002A30A9" w:rsidP="002A30A9">
      <w:pPr>
        <w:spacing w:after="0" w:line="240" w:lineRule="auto"/>
        <w:ind w:left="4395"/>
        <w:jc w:val="both"/>
        <w:rPr>
          <w:rFonts w:ascii="Times New Roman" w:eastAsia="MS Mincho" w:hAnsi="Times New Roman" w:cs="Times New Roman"/>
          <w:sz w:val="24"/>
          <w:szCs w:val="24"/>
          <w:lang w:eastAsia="ru-RU"/>
        </w:rPr>
      </w:pPr>
    </w:p>
    <w:p w:rsidR="002A30A9" w:rsidRPr="002A30A9" w:rsidRDefault="002A30A9" w:rsidP="002A30A9">
      <w:pPr>
        <w:spacing w:after="0" w:line="240" w:lineRule="auto"/>
        <w:ind w:left="4395" w:firstLine="708"/>
        <w:jc w:val="both"/>
        <w:rPr>
          <w:rFonts w:ascii="Times New Roman" w:eastAsia="MS Mincho" w:hAnsi="Times New Roman" w:cs="Times New Roman"/>
          <w:sz w:val="24"/>
          <w:szCs w:val="24"/>
          <w:lang w:eastAsia="ru-RU"/>
        </w:rPr>
      </w:pPr>
    </w:p>
    <w:p w:rsidR="002A30A9" w:rsidRPr="002A30A9" w:rsidRDefault="002D5616" w:rsidP="002D5616">
      <w:pPr>
        <w:spacing w:after="0" w:line="240" w:lineRule="auto"/>
        <w:ind w:left="3540" w:firstLine="708"/>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2A30A9" w:rsidRPr="002A30A9">
        <w:rPr>
          <w:rFonts w:ascii="Times New Roman" w:eastAsia="MS Mincho" w:hAnsi="Times New Roman" w:cs="Times New Roman"/>
          <w:sz w:val="24"/>
          <w:szCs w:val="24"/>
          <w:lang w:eastAsia="ru-RU"/>
        </w:rPr>
        <w:t>Научный руководитель:</w:t>
      </w:r>
    </w:p>
    <w:p w:rsidR="002A30A9" w:rsidRPr="002A30A9" w:rsidRDefault="002A30A9" w:rsidP="002A30A9">
      <w:pPr>
        <w:spacing w:after="0" w:line="240" w:lineRule="auto"/>
        <w:ind w:left="4395"/>
        <w:jc w:val="both"/>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 xml:space="preserve">Кандидат экономических наук, доцент кафедры экономики предприятия и предпринимательства </w:t>
      </w:r>
    </w:p>
    <w:p w:rsidR="002A30A9" w:rsidRPr="002A30A9" w:rsidRDefault="002A30A9" w:rsidP="002A30A9">
      <w:pPr>
        <w:spacing w:after="0" w:line="240" w:lineRule="auto"/>
        <w:ind w:left="4395"/>
        <w:jc w:val="both"/>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Колышкин Александр Викторович</w:t>
      </w:r>
    </w:p>
    <w:p w:rsidR="002A30A9" w:rsidRPr="002A30A9" w:rsidRDefault="002A30A9" w:rsidP="002A30A9">
      <w:pPr>
        <w:spacing w:after="0" w:line="240" w:lineRule="auto"/>
        <w:ind w:left="4395"/>
        <w:jc w:val="both"/>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Подпись:</w:t>
      </w: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p>
    <w:p w:rsidR="002A30A9" w:rsidRDefault="002A30A9" w:rsidP="002A30A9">
      <w:pPr>
        <w:spacing w:after="0" w:line="360" w:lineRule="auto"/>
        <w:jc w:val="center"/>
        <w:rPr>
          <w:rFonts w:ascii="Times New Roman" w:eastAsia="MS Mincho" w:hAnsi="Times New Roman" w:cs="Times New Roman"/>
          <w:sz w:val="24"/>
          <w:szCs w:val="24"/>
          <w:lang w:eastAsia="ru-RU"/>
        </w:rPr>
      </w:pPr>
    </w:p>
    <w:p w:rsidR="002D5616" w:rsidRDefault="002D5616" w:rsidP="002A30A9">
      <w:pPr>
        <w:spacing w:after="0" w:line="360" w:lineRule="auto"/>
        <w:jc w:val="center"/>
        <w:rPr>
          <w:rFonts w:ascii="Times New Roman" w:eastAsia="MS Mincho" w:hAnsi="Times New Roman" w:cs="Times New Roman"/>
          <w:sz w:val="24"/>
          <w:szCs w:val="24"/>
          <w:lang w:eastAsia="ru-RU"/>
        </w:rPr>
      </w:pPr>
    </w:p>
    <w:p w:rsidR="002D5616" w:rsidRPr="002A30A9" w:rsidRDefault="002D5616" w:rsidP="002A30A9">
      <w:pPr>
        <w:spacing w:after="0" w:line="360" w:lineRule="auto"/>
        <w:jc w:val="center"/>
        <w:rPr>
          <w:rFonts w:ascii="Times New Roman" w:eastAsia="MS Mincho" w:hAnsi="Times New Roman" w:cs="Times New Roman"/>
          <w:sz w:val="24"/>
          <w:szCs w:val="24"/>
          <w:lang w:eastAsia="ru-RU"/>
        </w:rPr>
      </w:pP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p>
    <w:p w:rsidR="002A30A9" w:rsidRPr="002A30A9" w:rsidRDefault="002A30A9" w:rsidP="002A30A9">
      <w:pPr>
        <w:spacing w:after="0" w:line="360" w:lineRule="auto"/>
        <w:jc w:val="both"/>
        <w:rPr>
          <w:rFonts w:ascii="Times New Roman" w:eastAsia="MS Mincho" w:hAnsi="Times New Roman" w:cs="Times New Roman"/>
          <w:sz w:val="24"/>
          <w:szCs w:val="24"/>
          <w:lang w:eastAsia="ru-RU"/>
        </w:rPr>
      </w:pPr>
    </w:p>
    <w:p w:rsidR="002A30A9" w:rsidRPr="002A30A9" w:rsidRDefault="002A30A9" w:rsidP="002A30A9">
      <w:pPr>
        <w:spacing w:after="0" w:line="360" w:lineRule="auto"/>
        <w:jc w:val="center"/>
        <w:rPr>
          <w:rFonts w:ascii="Times New Roman" w:eastAsia="MS Mincho" w:hAnsi="Times New Roman" w:cs="Times New Roman"/>
          <w:sz w:val="24"/>
          <w:szCs w:val="24"/>
          <w:lang w:eastAsia="ru-RU"/>
        </w:rPr>
      </w:pPr>
      <w:r w:rsidRPr="002A30A9">
        <w:rPr>
          <w:rFonts w:ascii="Times New Roman" w:eastAsia="MS Mincho" w:hAnsi="Times New Roman" w:cs="Times New Roman"/>
          <w:sz w:val="24"/>
          <w:szCs w:val="24"/>
          <w:lang w:eastAsia="ru-RU"/>
        </w:rPr>
        <w:t xml:space="preserve"> Санкт-Петербург</w:t>
      </w:r>
    </w:p>
    <w:p w:rsidR="002A30A9" w:rsidRDefault="002A30A9" w:rsidP="00347239">
      <w:pPr>
        <w:jc w:val="center"/>
        <w:rPr>
          <w:rFonts w:ascii="Times New Roman" w:hAnsi="Times New Roman" w:cs="Times New Roman"/>
          <w:sz w:val="24"/>
          <w:szCs w:val="24"/>
        </w:rPr>
      </w:pPr>
      <w:r w:rsidRPr="002A30A9">
        <w:rPr>
          <w:rFonts w:ascii="Times New Roman" w:eastAsia="MS Mincho" w:hAnsi="Times New Roman" w:cs="Times New Roman"/>
          <w:sz w:val="24"/>
          <w:szCs w:val="24"/>
          <w:lang w:eastAsia="ru-RU"/>
        </w:rPr>
        <w:t>2016</w:t>
      </w:r>
    </w:p>
    <w:sdt>
      <w:sdtPr>
        <w:rPr>
          <w:rFonts w:ascii="Times New Roman" w:eastAsiaTheme="minorHAnsi" w:hAnsi="Times New Roman" w:cs="Times New Roman"/>
          <w:b w:val="0"/>
          <w:bCs w:val="0"/>
          <w:color w:val="auto"/>
          <w:sz w:val="24"/>
          <w:szCs w:val="24"/>
          <w:lang w:eastAsia="en-US"/>
        </w:rPr>
        <w:id w:val="-1680578410"/>
        <w:docPartObj>
          <w:docPartGallery w:val="Table of Contents"/>
          <w:docPartUnique/>
        </w:docPartObj>
      </w:sdtPr>
      <w:sdtContent>
        <w:p w:rsidR="002B173C" w:rsidRDefault="002B173C" w:rsidP="00C245D2">
          <w:pPr>
            <w:pStyle w:val="af0"/>
            <w:jc w:val="both"/>
            <w:rPr>
              <w:rFonts w:ascii="Times New Roman" w:hAnsi="Times New Roman" w:cs="Times New Roman"/>
              <w:sz w:val="32"/>
              <w:szCs w:val="24"/>
            </w:rPr>
          </w:pPr>
          <w:r w:rsidRPr="00C245D2">
            <w:rPr>
              <w:rFonts w:ascii="Times New Roman" w:hAnsi="Times New Roman" w:cs="Times New Roman"/>
              <w:sz w:val="32"/>
              <w:szCs w:val="24"/>
            </w:rPr>
            <w:t>Оглавление</w:t>
          </w:r>
        </w:p>
        <w:p w:rsidR="00010815" w:rsidRPr="00010815" w:rsidRDefault="00010815" w:rsidP="00010815">
          <w:pPr>
            <w:rPr>
              <w:lang w:eastAsia="ru-RU"/>
            </w:rPr>
          </w:pPr>
        </w:p>
        <w:p w:rsidR="003B43FE" w:rsidRPr="003B43FE" w:rsidRDefault="002B173C">
          <w:pPr>
            <w:pStyle w:val="11"/>
            <w:rPr>
              <w:rFonts w:eastAsiaTheme="minorEastAsia"/>
              <w:noProof/>
              <w:szCs w:val="24"/>
              <w:lang w:eastAsia="ru-RU"/>
            </w:rPr>
          </w:pPr>
          <w:r w:rsidRPr="00C245D2">
            <w:fldChar w:fldCharType="begin"/>
          </w:r>
          <w:r w:rsidRPr="00C245D2">
            <w:instrText xml:space="preserve"> TOC \o "1-3" \h \z \u </w:instrText>
          </w:r>
          <w:r w:rsidRPr="00C245D2">
            <w:fldChar w:fldCharType="separate"/>
          </w:r>
          <w:hyperlink w:anchor="_Toc450920815" w:history="1">
            <w:r w:rsidR="003B43FE" w:rsidRPr="003B43FE">
              <w:rPr>
                <w:rStyle w:val="af1"/>
                <w:noProof/>
                <w:szCs w:val="24"/>
              </w:rPr>
              <w:t>Введение</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_Toc450920815 \h </w:instrText>
            </w:r>
            <w:r w:rsidR="003B43FE" w:rsidRPr="003B43FE">
              <w:rPr>
                <w:noProof/>
                <w:webHidden/>
                <w:szCs w:val="24"/>
              </w:rPr>
            </w:r>
            <w:r w:rsidR="003B43FE" w:rsidRPr="003B43FE">
              <w:rPr>
                <w:noProof/>
                <w:webHidden/>
                <w:szCs w:val="24"/>
              </w:rPr>
              <w:fldChar w:fldCharType="separate"/>
            </w:r>
            <w:r w:rsidR="00322F14">
              <w:rPr>
                <w:noProof/>
                <w:webHidden/>
                <w:szCs w:val="24"/>
              </w:rPr>
              <w:t>4</w:t>
            </w:r>
            <w:r w:rsidR="003B43FE" w:rsidRPr="003B43FE">
              <w:rPr>
                <w:noProof/>
                <w:webHidden/>
                <w:szCs w:val="24"/>
              </w:rPr>
              <w:fldChar w:fldCharType="end"/>
            </w:r>
          </w:hyperlink>
        </w:p>
        <w:p w:rsidR="003B43FE" w:rsidRPr="003B43FE" w:rsidRDefault="00322F14">
          <w:pPr>
            <w:pStyle w:val="11"/>
            <w:rPr>
              <w:rFonts w:eastAsiaTheme="minorEastAsia"/>
              <w:noProof/>
              <w:szCs w:val="24"/>
              <w:lang w:eastAsia="ru-RU"/>
            </w:rPr>
          </w:pPr>
          <w:hyperlink w:anchor="_Toc450920816" w:history="1">
            <w:r w:rsidR="003B43FE" w:rsidRPr="003B43FE">
              <w:rPr>
                <w:rStyle w:val="af1"/>
                <w:noProof/>
                <w:szCs w:val="24"/>
              </w:rPr>
              <w:t>Глава 1. Методы оценки экономической эффективности инвестиционных проектов в условиях неопределенности и риска</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_Toc450920816 \h </w:instrText>
            </w:r>
            <w:r w:rsidR="003B43FE" w:rsidRPr="003B43FE">
              <w:rPr>
                <w:noProof/>
                <w:webHidden/>
                <w:szCs w:val="24"/>
              </w:rPr>
            </w:r>
            <w:r w:rsidR="003B43FE" w:rsidRPr="003B43FE">
              <w:rPr>
                <w:noProof/>
                <w:webHidden/>
                <w:szCs w:val="24"/>
              </w:rPr>
              <w:fldChar w:fldCharType="separate"/>
            </w:r>
            <w:r>
              <w:rPr>
                <w:noProof/>
                <w:webHidden/>
                <w:szCs w:val="24"/>
              </w:rPr>
              <w:t>8</w:t>
            </w:r>
            <w:r w:rsidR="003B43FE" w:rsidRPr="003B43FE">
              <w:rPr>
                <w:noProof/>
                <w:webHidden/>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17" w:history="1">
            <w:r w:rsidR="003B43FE" w:rsidRPr="003B43FE">
              <w:rPr>
                <w:rStyle w:val="af1"/>
                <w:rFonts w:ascii="Times New Roman" w:hAnsi="Times New Roman" w:cs="Times New Roman"/>
                <w:noProof/>
                <w:sz w:val="24"/>
                <w:szCs w:val="24"/>
              </w:rPr>
              <w:t>1.1 Традиционные методы оценки эффективности инвестиционного проекта</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_Toc450920817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18" w:history="1">
            <w:r w:rsidR="003B43FE" w:rsidRPr="003B43FE">
              <w:rPr>
                <w:rStyle w:val="af1"/>
                <w:rFonts w:ascii="Times New Roman" w:hAnsi="Times New Roman" w:cs="Times New Roman"/>
                <w:noProof/>
                <w:sz w:val="24"/>
                <w:szCs w:val="24"/>
              </w:rPr>
              <w:t>1.1.1. Метод чистой текущей стоимости NPV</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_Toc450920818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19" w:history="1">
            <w:r w:rsidR="003B43FE" w:rsidRPr="003B43FE">
              <w:rPr>
                <w:rStyle w:val="af1"/>
                <w:rFonts w:ascii="Times New Roman" w:hAnsi="Times New Roman" w:cs="Times New Roman"/>
                <w:noProof/>
                <w:sz w:val="24"/>
                <w:szCs w:val="24"/>
              </w:rPr>
              <w:t>1.1.2. Внутренняя норма доходности</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_Toc450920819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20" w:history="1">
            <w:r w:rsidR="003B43FE" w:rsidRPr="003B43FE">
              <w:rPr>
                <w:rStyle w:val="af1"/>
                <w:rFonts w:ascii="Times New Roman" w:hAnsi="Times New Roman" w:cs="Times New Roman"/>
                <w:noProof/>
                <w:sz w:val="24"/>
                <w:szCs w:val="24"/>
              </w:rPr>
              <w:t>1.1.3. Индекс доходности или рентабельности инвестиций</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_Toc450920820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21" w:history="1">
            <w:r w:rsidR="003B43FE" w:rsidRPr="003B43FE">
              <w:rPr>
                <w:rStyle w:val="af1"/>
                <w:rFonts w:ascii="Times New Roman" w:hAnsi="Times New Roman" w:cs="Times New Roman"/>
                <w:noProof/>
                <w:sz w:val="24"/>
                <w:szCs w:val="24"/>
              </w:rPr>
              <w:t>1.1.4. Дисконтированный период окупаемости инвестиций</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_Toc450920821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22" w:history="1">
            <w:r w:rsidR="003B43FE" w:rsidRPr="003B43FE">
              <w:rPr>
                <w:rStyle w:val="af1"/>
                <w:rFonts w:ascii="Times New Roman" w:hAnsi="Times New Roman" w:cs="Times New Roman"/>
                <w:noProof/>
                <w:sz w:val="24"/>
                <w:szCs w:val="24"/>
              </w:rPr>
              <w:t>1.2 Учет рисков при оценке эффективности инвестиционных проектов</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_Toc450920822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3B43FE" w:rsidRPr="003B43FE">
              <w:rPr>
                <w:rFonts w:ascii="Times New Roman" w:hAnsi="Times New Roman" w:cs="Times New Roman"/>
                <w:noProof/>
                <w:webHidden/>
                <w:sz w:val="24"/>
                <w:szCs w:val="24"/>
              </w:rPr>
              <w:fldChar w:fldCharType="end"/>
            </w:r>
          </w:hyperlink>
        </w:p>
        <w:p w:rsidR="003B43FE" w:rsidRPr="003B43FE" w:rsidRDefault="00322F14" w:rsidP="003B43FE">
          <w:pPr>
            <w:pStyle w:val="25"/>
            <w:tabs>
              <w:tab w:val="right" w:leader="dot" w:pos="9345"/>
            </w:tabs>
            <w:ind w:left="440"/>
            <w:rPr>
              <w:rFonts w:ascii="Times New Roman" w:eastAsiaTheme="minorEastAsia" w:hAnsi="Times New Roman" w:cs="Times New Roman"/>
              <w:noProof/>
              <w:sz w:val="24"/>
              <w:szCs w:val="24"/>
              <w:lang w:eastAsia="ru-RU"/>
            </w:rPr>
          </w:pPr>
          <w:hyperlink w:anchor="_Toc450920823" w:history="1">
            <w:r w:rsidR="003B43FE" w:rsidRPr="003B43FE">
              <w:rPr>
                <w:rStyle w:val="af1"/>
                <w:rFonts w:ascii="Times New Roman" w:hAnsi="Times New Roman" w:cs="Times New Roman"/>
                <w:noProof/>
                <w:sz w:val="24"/>
                <w:szCs w:val="24"/>
              </w:rPr>
              <w:t>1.2.1 Качественный подход к оценке инвестиционных рисков</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_Toc450920823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24" w:history="1">
            <w:r w:rsidR="003B43FE" w:rsidRPr="003B43FE">
              <w:rPr>
                <w:rStyle w:val="af1"/>
                <w:rFonts w:ascii="Times New Roman" w:hAnsi="Times New Roman" w:cs="Times New Roman"/>
                <w:noProof/>
                <w:sz w:val="24"/>
                <w:szCs w:val="24"/>
              </w:rPr>
              <w:t>Метод уместности затрат</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_Toc450920824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25" w:history="1">
            <w:r w:rsidR="003B43FE" w:rsidRPr="003B43FE">
              <w:rPr>
                <w:rStyle w:val="af1"/>
                <w:rFonts w:ascii="Times New Roman" w:hAnsi="Times New Roman" w:cs="Times New Roman"/>
                <w:noProof/>
                <w:sz w:val="24"/>
                <w:szCs w:val="24"/>
              </w:rPr>
              <w:t>Метод аналогий</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_Toc450920825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26" w:history="1">
            <w:r w:rsidR="003B43FE" w:rsidRPr="003B43FE">
              <w:rPr>
                <w:rStyle w:val="af1"/>
                <w:rFonts w:ascii="Times New Roman" w:hAnsi="Times New Roman" w:cs="Times New Roman"/>
                <w:noProof/>
                <w:sz w:val="24"/>
                <w:szCs w:val="24"/>
              </w:rPr>
              <w:t>Метод экспертных оценок</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_Toc450920826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3B43FE" w:rsidRPr="003B43FE">
              <w:rPr>
                <w:rFonts w:ascii="Times New Roman" w:hAnsi="Times New Roman" w:cs="Times New Roman"/>
                <w:noProof/>
                <w:webHidden/>
                <w:sz w:val="24"/>
                <w:szCs w:val="24"/>
              </w:rPr>
              <w:fldChar w:fldCharType="end"/>
            </w:r>
          </w:hyperlink>
        </w:p>
        <w:p w:rsidR="003B43FE" w:rsidRPr="003B43FE" w:rsidRDefault="00322F14" w:rsidP="003B43FE">
          <w:pPr>
            <w:pStyle w:val="25"/>
            <w:tabs>
              <w:tab w:val="right" w:leader="dot" w:pos="9345"/>
            </w:tabs>
            <w:ind w:left="440"/>
            <w:rPr>
              <w:rFonts w:ascii="Times New Roman" w:eastAsiaTheme="minorEastAsia" w:hAnsi="Times New Roman" w:cs="Times New Roman"/>
              <w:noProof/>
              <w:sz w:val="24"/>
              <w:szCs w:val="24"/>
              <w:lang w:eastAsia="ru-RU"/>
            </w:rPr>
          </w:pPr>
          <w:hyperlink w:anchor="_Toc450920827" w:history="1">
            <w:r w:rsidR="003B43FE" w:rsidRPr="003B43FE">
              <w:rPr>
                <w:rStyle w:val="af1"/>
                <w:rFonts w:ascii="Times New Roman" w:hAnsi="Times New Roman" w:cs="Times New Roman"/>
                <w:noProof/>
                <w:sz w:val="24"/>
                <w:szCs w:val="24"/>
              </w:rPr>
              <w:t>1.2.2. Количественный подход к оценке инвестиционных рисков</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_Toc450920827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28" w:history="1">
            <w:r w:rsidR="003B43FE" w:rsidRPr="003B43FE">
              <w:rPr>
                <w:rStyle w:val="af1"/>
                <w:rFonts w:ascii="Times New Roman" w:hAnsi="Times New Roman" w:cs="Times New Roman"/>
                <w:noProof/>
                <w:sz w:val="24"/>
                <w:szCs w:val="24"/>
              </w:rPr>
              <w:t>Анализ чувствительности</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_Toc450920828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29" w:history="1">
            <w:r w:rsidR="003B43FE" w:rsidRPr="003B43FE">
              <w:rPr>
                <w:rStyle w:val="af1"/>
                <w:rFonts w:ascii="Times New Roman" w:hAnsi="Times New Roman" w:cs="Times New Roman"/>
                <w:noProof/>
                <w:sz w:val="24"/>
                <w:szCs w:val="24"/>
              </w:rPr>
              <w:t>Метод проверки устойчивости</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_Toc450920829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30" w:history="1">
            <w:r w:rsidR="003B43FE" w:rsidRPr="003B43FE">
              <w:rPr>
                <w:rStyle w:val="af1"/>
                <w:rFonts w:ascii="Times New Roman" w:hAnsi="Times New Roman" w:cs="Times New Roman"/>
                <w:noProof/>
                <w:sz w:val="24"/>
                <w:szCs w:val="24"/>
              </w:rPr>
              <w:t>Метод сценариев</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_Toc450920830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31" w:history="1">
            <w:r w:rsidR="003B43FE" w:rsidRPr="003B43FE">
              <w:rPr>
                <w:rStyle w:val="af1"/>
                <w:rFonts w:ascii="Times New Roman" w:hAnsi="Times New Roman" w:cs="Times New Roman"/>
                <w:noProof/>
                <w:sz w:val="24"/>
                <w:szCs w:val="24"/>
              </w:rPr>
              <w:t>Метод дерева решений</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_Toc450920831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32" w:history="1">
            <w:r w:rsidR="003B43FE" w:rsidRPr="003B43FE">
              <w:rPr>
                <w:rStyle w:val="af1"/>
                <w:rFonts w:ascii="Times New Roman" w:hAnsi="Times New Roman" w:cs="Times New Roman"/>
                <w:noProof/>
                <w:sz w:val="24"/>
                <w:szCs w:val="24"/>
              </w:rPr>
              <w:t>Имитационное моделирование (метод Монте-Карло)</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_Toc450920832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34" w:history="1">
            <w:r w:rsidR="003B43FE" w:rsidRPr="003B43FE">
              <w:rPr>
                <w:rStyle w:val="af1"/>
                <w:rFonts w:ascii="Times New Roman" w:eastAsiaTheme="majorEastAsia" w:hAnsi="Times New Roman" w:cs="Times New Roman"/>
                <w:bCs/>
                <w:noProof/>
                <w:sz w:val="24"/>
                <w:szCs w:val="24"/>
              </w:rPr>
              <w:t>1.3 Метод реальных опционов</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_Toc450920834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35" w:history="1">
            <w:r w:rsidR="003B43FE" w:rsidRPr="003B43FE">
              <w:rPr>
                <w:rStyle w:val="af1"/>
                <w:rFonts w:ascii="Times New Roman" w:eastAsiaTheme="majorEastAsia" w:hAnsi="Times New Roman" w:cs="Times New Roman"/>
                <w:bCs/>
                <w:noProof/>
                <w:sz w:val="24"/>
                <w:szCs w:val="24"/>
              </w:rPr>
              <w:t>1.3.1.Модель Блека-Шоулза</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_Toc450920835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36" w:history="1">
            <w:r w:rsidR="003B43FE" w:rsidRPr="003B43FE">
              <w:rPr>
                <w:rStyle w:val="af1"/>
                <w:rFonts w:ascii="Times New Roman" w:eastAsiaTheme="majorEastAsia" w:hAnsi="Times New Roman" w:cs="Times New Roman"/>
                <w:bCs/>
                <w:noProof/>
                <w:sz w:val="24"/>
                <w:szCs w:val="24"/>
              </w:rPr>
              <w:t>1.3.2. Биноминальная модель</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_Toc450920836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37" w:history="1">
            <w:r w:rsidR="003B43FE" w:rsidRPr="003B43FE">
              <w:rPr>
                <w:rStyle w:val="af1"/>
                <w:rFonts w:ascii="Times New Roman" w:hAnsi="Times New Roman" w:cs="Times New Roman"/>
                <w:noProof/>
                <w:sz w:val="24"/>
                <w:szCs w:val="24"/>
              </w:rPr>
              <w:t>Выводы к главе 2</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_Toc450920837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11"/>
            <w:rPr>
              <w:rFonts w:eastAsiaTheme="minorEastAsia"/>
              <w:noProof/>
              <w:szCs w:val="24"/>
              <w:lang w:eastAsia="ru-RU"/>
            </w:rPr>
          </w:pPr>
          <w:hyperlink w:anchor="_Toc450920838" w:history="1">
            <w:r w:rsidR="003B43FE" w:rsidRPr="003B43FE">
              <w:rPr>
                <w:rStyle w:val="af1"/>
                <w:noProof/>
                <w:szCs w:val="24"/>
              </w:rPr>
              <w:t>Глава 2. Применение методов оценки эффективности инвестиционных проектов и анализ рисков на конкретном примере</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_Toc450920838 \h </w:instrText>
            </w:r>
            <w:r w:rsidR="003B43FE" w:rsidRPr="003B43FE">
              <w:rPr>
                <w:noProof/>
                <w:webHidden/>
                <w:szCs w:val="24"/>
              </w:rPr>
            </w:r>
            <w:r w:rsidR="003B43FE" w:rsidRPr="003B43FE">
              <w:rPr>
                <w:noProof/>
                <w:webHidden/>
                <w:szCs w:val="24"/>
              </w:rPr>
              <w:fldChar w:fldCharType="separate"/>
            </w:r>
            <w:r>
              <w:rPr>
                <w:noProof/>
                <w:webHidden/>
                <w:szCs w:val="24"/>
              </w:rPr>
              <w:t>33</w:t>
            </w:r>
            <w:r w:rsidR="003B43FE" w:rsidRPr="003B43FE">
              <w:rPr>
                <w:noProof/>
                <w:webHidden/>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39" w:history="1">
            <w:r w:rsidR="003B43FE" w:rsidRPr="003B43FE">
              <w:rPr>
                <w:rStyle w:val="af1"/>
                <w:rFonts w:ascii="Times New Roman" w:hAnsi="Times New Roman" w:cs="Times New Roman"/>
                <w:noProof/>
                <w:sz w:val="24"/>
                <w:szCs w:val="24"/>
              </w:rPr>
              <w:t>2.1 Общие сведения о проекте</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_Toc450920839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40" w:history="1">
            <w:r w:rsidR="003B43FE" w:rsidRPr="003B43FE">
              <w:rPr>
                <w:rStyle w:val="af1"/>
                <w:rFonts w:ascii="Times New Roman" w:hAnsi="Times New Roman" w:cs="Times New Roman"/>
                <w:noProof/>
                <w:sz w:val="24"/>
                <w:szCs w:val="24"/>
              </w:rPr>
              <w:t>2.2. Риски проекта</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_Toc450920840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3B43FE" w:rsidRPr="003B43FE">
              <w:rPr>
                <w:rFonts w:ascii="Times New Roman" w:hAnsi="Times New Roman" w:cs="Times New Roman"/>
                <w:noProof/>
                <w:webHidden/>
                <w:sz w:val="24"/>
                <w:szCs w:val="24"/>
              </w:rPr>
              <w:fldChar w:fldCharType="end"/>
            </w:r>
          </w:hyperlink>
        </w:p>
        <w:p w:rsidR="003B43FE" w:rsidRPr="003B43FE" w:rsidRDefault="00322F14" w:rsidP="003B43FE">
          <w:pPr>
            <w:pStyle w:val="25"/>
            <w:tabs>
              <w:tab w:val="right" w:leader="dot" w:pos="9345"/>
            </w:tabs>
            <w:ind w:left="440"/>
            <w:rPr>
              <w:rFonts w:ascii="Times New Roman" w:eastAsiaTheme="minorEastAsia" w:hAnsi="Times New Roman" w:cs="Times New Roman"/>
              <w:noProof/>
              <w:sz w:val="24"/>
              <w:szCs w:val="24"/>
              <w:lang w:eastAsia="ru-RU"/>
            </w:rPr>
          </w:pPr>
          <w:hyperlink w:anchor="_Toc450920841" w:history="1">
            <w:r w:rsidR="003B43FE" w:rsidRPr="003B43FE">
              <w:rPr>
                <w:rStyle w:val="af1"/>
                <w:rFonts w:ascii="Times New Roman" w:eastAsiaTheme="majorEastAsia" w:hAnsi="Times New Roman" w:cs="Times New Roman"/>
                <w:noProof/>
                <w:sz w:val="24"/>
                <w:szCs w:val="24"/>
              </w:rPr>
              <w:t>2.2.</w:t>
            </w:r>
            <w:r w:rsidR="003B43FE" w:rsidRPr="003B43FE">
              <w:rPr>
                <w:rStyle w:val="af1"/>
                <w:rFonts w:ascii="Times New Roman" w:eastAsiaTheme="majorEastAsia" w:hAnsi="Times New Roman" w:cs="Times New Roman"/>
                <w:bCs/>
                <w:noProof/>
                <w:sz w:val="24"/>
                <w:szCs w:val="24"/>
              </w:rPr>
              <w:t>1. Качественные методы определения рисков ИП реконструкции ПС «Батово»</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_Toc450920841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42" w:history="1">
            <w:r w:rsidR="003B43FE" w:rsidRPr="003B43FE">
              <w:rPr>
                <w:rStyle w:val="af1"/>
                <w:rFonts w:ascii="Times New Roman" w:eastAsiaTheme="majorEastAsia" w:hAnsi="Times New Roman" w:cs="Times New Roman"/>
                <w:bCs/>
                <w:noProof/>
                <w:sz w:val="24"/>
                <w:szCs w:val="24"/>
              </w:rPr>
              <w:t>Маркетинговые риски</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_Toc450920842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43" w:history="1">
            <w:r w:rsidR="003B43FE" w:rsidRPr="003B43FE">
              <w:rPr>
                <w:rStyle w:val="af1"/>
                <w:rFonts w:ascii="Times New Roman" w:eastAsiaTheme="majorEastAsia" w:hAnsi="Times New Roman" w:cs="Times New Roman"/>
                <w:bCs/>
                <w:noProof/>
                <w:sz w:val="24"/>
                <w:szCs w:val="24"/>
              </w:rPr>
              <w:t>Риск несоблюдения графика и превышения бюджета проекта</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_Toc450920843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44" w:history="1">
            <w:r w:rsidR="003B43FE" w:rsidRPr="003B43FE">
              <w:rPr>
                <w:rStyle w:val="af1"/>
                <w:rFonts w:ascii="Times New Roman" w:eastAsiaTheme="majorEastAsia" w:hAnsi="Times New Roman" w:cs="Times New Roman"/>
                <w:bCs/>
                <w:noProof/>
                <w:sz w:val="24"/>
                <w:szCs w:val="24"/>
              </w:rPr>
              <w:t>Общеэкономические риски</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_Toc450920844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3B43FE" w:rsidRPr="003B43FE">
              <w:rPr>
                <w:rFonts w:ascii="Times New Roman" w:hAnsi="Times New Roman" w:cs="Times New Roman"/>
                <w:noProof/>
                <w:webHidden/>
                <w:sz w:val="24"/>
                <w:szCs w:val="24"/>
              </w:rPr>
              <w:fldChar w:fldCharType="end"/>
            </w:r>
          </w:hyperlink>
        </w:p>
        <w:p w:rsidR="003B43FE" w:rsidRPr="003B43FE" w:rsidRDefault="00322F14" w:rsidP="003B43FE">
          <w:pPr>
            <w:pStyle w:val="25"/>
            <w:tabs>
              <w:tab w:val="right" w:leader="dot" w:pos="9345"/>
            </w:tabs>
            <w:ind w:left="440"/>
            <w:rPr>
              <w:rFonts w:ascii="Times New Roman" w:eastAsiaTheme="minorEastAsia" w:hAnsi="Times New Roman" w:cs="Times New Roman"/>
              <w:noProof/>
              <w:sz w:val="24"/>
              <w:szCs w:val="24"/>
              <w:lang w:eastAsia="ru-RU"/>
            </w:rPr>
          </w:pPr>
          <w:hyperlink w:anchor="_Toc450920845" w:history="1">
            <w:r w:rsidR="003B43FE" w:rsidRPr="003B43FE">
              <w:rPr>
                <w:rStyle w:val="af1"/>
                <w:rFonts w:ascii="Times New Roman" w:eastAsiaTheme="majorEastAsia" w:hAnsi="Times New Roman" w:cs="Times New Roman"/>
                <w:bCs/>
                <w:noProof/>
                <w:sz w:val="24"/>
                <w:szCs w:val="24"/>
              </w:rPr>
              <w:t>2.2.2. Количественные методы определения рисков ИП реконструкции ПС «Батово»</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_Toc450920845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3B43FE" w:rsidRPr="003B43FE">
              <w:rPr>
                <w:rFonts w:ascii="Times New Roman" w:hAnsi="Times New Roman" w:cs="Times New Roman"/>
                <w:noProof/>
                <w:webHidden/>
                <w:sz w:val="24"/>
                <w:szCs w:val="24"/>
              </w:rPr>
              <w:fldChar w:fldCharType="end"/>
            </w:r>
          </w:hyperlink>
        </w:p>
        <w:p w:rsidR="003B43FE" w:rsidRPr="003B43FE" w:rsidRDefault="00322F14" w:rsidP="003B43FE">
          <w:pPr>
            <w:pStyle w:val="11"/>
            <w:ind w:firstLine="0"/>
            <w:rPr>
              <w:rFonts w:eastAsiaTheme="minorEastAsia"/>
              <w:noProof/>
              <w:szCs w:val="24"/>
              <w:lang w:eastAsia="ru-RU"/>
            </w:rPr>
          </w:pPr>
          <w:hyperlink w:anchor="_Toc450920846" w:history="1">
            <w:r w:rsidR="003B43FE" w:rsidRPr="003B43FE">
              <w:rPr>
                <w:rStyle w:val="af1"/>
                <w:rFonts w:eastAsiaTheme="majorEastAsia"/>
                <w:noProof/>
                <w:szCs w:val="24"/>
              </w:rPr>
              <w:t>2.3. Поиск исходных данных для расчета экономической</w:t>
            </w:r>
            <w:r w:rsidR="003B43FE" w:rsidRPr="003B43FE">
              <w:rPr>
                <w:rStyle w:val="af1"/>
                <w:rFonts w:eastAsiaTheme="majorEastAsia"/>
                <w:bCs/>
                <w:noProof/>
                <w:szCs w:val="24"/>
              </w:rPr>
              <w:t xml:space="preserve"> эффективности ИП</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_Toc450920846 \h </w:instrText>
            </w:r>
            <w:r w:rsidR="003B43FE" w:rsidRPr="003B43FE">
              <w:rPr>
                <w:noProof/>
                <w:webHidden/>
                <w:szCs w:val="24"/>
              </w:rPr>
            </w:r>
            <w:r w:rsidR="003B43FE" w:rsidRPr="003B43FE">
              <w:rPr>
                <w:noProof/>
                <w:webHidden/>
                <w:szCs w:val="24"/>
              </w:rPr>
              <w:fldChar w:fldCharType="separate"/>
            </w:r>
            <w:r>
              <w:rPr>
                <w:noProof/>
                <w:webHidden/>
                <w:szCs w:val="24"/>
              </w:rPr>
              <w:t>39</w:t>
            </w:r>
            <w:r w:rsidR="003B43FE" w:rsidRPr="003B43FE">
              <w:rPr>
                <w:noProof/>
                <w:webHidden/>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47" w:history="1">
            <w:r w:rsidR="003B43FE" w:rsidRPr="003B43FE">
              <w:rPr>
                <w:rStyle w:val="af1"/>
                <w:rFonts w:ascii="Times New Roman" w:eastAsiaTheme="majorEastAsia" w:hAnsi="Times New Roman" w:cs="Times New Roman"/>
                <w:bCs/>
                <w:noProof/>
                <w:sz w:val="24"/>
                <w:szCs w:val="24"/>
              </w:rPr>
              <w:t>2.3.1. Величина инвестиционных вложений</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_Toc450920847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48" w:history="1">
            <w:r w:rsidR="003B43FE" w:rsidRPr="003B43FE">
              <w:rPr>
                <w:rStyle w:val="af1"/>
                <w:rFonts w:ascii="Times New Roman" w:eastAsiaTheme="majorEastAsia" w:hAnsi="Times New Roman" w:cs="Times New Roman"/>
                <w:bCs/>
                <w:noProof/>
                <w:sz w:val="24"/>
                <w:szCs w:val="24"/>
              </w:rPr>
              <w:t>2.3.2. Структура и стоимость капитала</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_Toc450920848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49" w:history="1">
            <w:r w:rsidR="003B43FE" w:rsidRPr="003B43FE">
              <w:rPr>
                <w:rStyle w:val="af1"/>
                <w:rFonts w:ascii="Times New Roman" w:eastAsiaTheme="majorEastAsia" w:hAnsi="Times New Roman" w:cs="Times New Roman"/>
                <w:bCs/>
                <w:noProof/>
                <w:sz w:val="24"/>
                <w:szCs w:val="24"/>
              </w:rPr>
              <w:t>2.3.3. Доходная часть денежного потока</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_Toc450920849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50" w:history="1">
            <w:r w:rsidR="003B43FE" w:rsidRPr="003B43FE">
              <w:rPr>
                <w:rStyle w:val="af1"/>
                <w:rFonts w:ascii="Times New Roman" w:eastAsiaTheme="majorEastAsia" w:hAnsi="Times New Roman" w:cs="Times New Roman"/>
                <w:bCs/>
                <w:noProof/>
                <w:sz w:val="24"/>
                <w:szCs w:val="24"/>
              </w:rPr>
              <w:t>2.3.4. Расходная часть денежного потока</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_Toc450920850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3B43FE" w:rsidRPr="003B43FE">
              <w:rPr>
                <w:rFonts w:ascii="Times New Roman" w:hAnsi="Times New Roman" w:cs="Times New Roman"/>
                <w:noProof/>
                <w:webHidden/>
                <w:sz w:val="24"/>
                <w:szCs w:val="24"/>
              </w:rPr>
              <w:fldChar w:fldCharType="end"/>
            </w:r>
          </w:hyperlink>
        </w:p>
        <w:p w:rsidR="003B43FE" w:rsidRPr="003B43FE" w:rsidRDefault="00322F14" w:rsidP="003B43FE">
          <w:pPr>
            <w:pStyle w:val="11"/>
            <w:ind w:firstLine="0"/>
            <w:rPr>
              <w:rFonts w:eastAsiaTheme="minorEastAsia"/>
              <w:noProof/>
              <w:szCs w:val="24"/>
              <w:lang w:eastAsia="ru-RU"/>
            </w:rPr>
          </w:pPr>
          <w:hyperlink w:anchor="_Toc450920851" w:history="1">
            <w:r w:rsidR="003B43FE" w:rsidRPr="003B43FE">
              <w:rPr>
                <w:rStyle w:val="af1"/>
                <w:rFonts w:eastAsiaTheme="majorEastAsia"/>
                <w:bCs/>
                <w:noProof/>
                <w:szCs w:val="24"/>
              </w:rPr>
              <w:t>2.4. Расчет экономической эффективности инвестиционного проекта</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_Toc450920851 \h </w:instrText>
            </w:r>
            <w:r w:rsidR="003B43FE" w:rsidRPr="003B43FE">
              <w:rPr>
                <w:noProof/>
                <w:webHidden/>
                <w:szCs w:val="24"/>
              </w:rPr>
            </w:r>
            <w:r w:rsidR="003B43FE" w:rsidRPr="003B43FE">
              <w:rPr>
                <w:noProof/>
                <w:webHidden/>
                <w:szCs w:val="24"/>
              </w:rPr>
              <w:fldChar w:fldCharType="separate"/>
            </w:r>
            <w:r>
              <w:rPr>
                <w:noProof/>
                <w:webHidden/>
                <w:szCs w:val="24"/>
              </w:rPr>
              <w:t>43</w:t>
            </w:r>
            <w:r w:rsidR="003B43FE" w:rsidRPr="003B43FE">
              <w:rPr>
                <w:noProof/>
                <w:webHidden/>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52" w:history="1">
            <w:r w:rsidR="003B43FE" w:rsidRPr="003B43FE">
              <w:rPr>
                <w:rStyle w:val="af1"/>
                <w:rFonts w:ascii="Times New Roman" w:eastAsiaTheme="majorEastAsia" w:hAnsi="Times New Roman" w:cs="Times New Roman"/>
                <w:bCs/>
                <w:noProof/>
                <w:sz w:val="24"/>
                <w:szCs w:val="24"/>
              </w:rPr>
              <w:t>2.4.1. Традиционные методы оценки ИП</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_Toc450920852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25"/>
            <w:tabs>
              <w:tab w:val="right" w:leader="dot" w:pos="9345"/>
            </w:tabs>
            <w:rPr>
              <w:rFonts w:ascii="Times New Roman" w:eastAsiaTheme="minorEastAsia" w:hAnsi="Times New Roman" w:cs="Times New Roman"/>
              <w:noProof/>
              <w:sz w:val="24"/>
              <w:szCs w:val="24"/>
              <w:lang w:eastAsia="ru-RU"/>
            </w:rPr>
          </w:pPr>
          <w:hyperlink w:anchor="_Toc450920853" w:history="1">
            <w:r w:rsidR="003B43FE" w:rsidRPr="003B43FE">
              <w:rPr>
                <w:rStyle w:val="af1"/>
                <w:rFonts w:ascii="Times New Roman" w:eastAsia="Times New Roman" w:hAnsi="Times New Roman" w:cs="Times New Roman"/>
                <w:bCs/>
                <w:noProof/>
                <w:sz w:val="24"/>
                <w:szCs w:val="24"/>
                <w:lang w:eastAsia="ru-RU"/>
              </w:rPr>
              <w:t>2.4.2. Метод реальных опционов</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_Toc450920853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54" w:history="1">
            <w:r w:rsidR="003B43FE" w:rsidRPr="003B43FE">
              <w:rPr>
                <w:rStyle w:val="af1"/>
                <w:rFonts w:ascii="Times New Roman" w:eastAsia="Times New Roman" w:hAnsi="Times New Roman" w:cs="Times New Roman"/>
                <w:bCs/>
                <w:noProof/>
                <w:sz w:val="24"/>
                <w:szCs w:val="24"/>
                <w:lang w:eastAsia="ru-RU"/>
              </w:rPr>
              <w:t>Модель Блека-Шоулза</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_Toc450920854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3B43FE" w:rsidRPr="003B43FE">
              <w:rPr>
                <w:rFonts w:ascii="Times New Roman" w:hAnsi="Times New Roman" w:cs="Times New Roman"/>
                <w:noProof/>
                <w:webHidden/>
                <w:sz w:val="24"/>
                <w:szCs w:val="24"/>
              </w:rPr>
              <w:fldChar w:fldCharType="end"/>
            </w:r>
          </w:hyperlink>
        </w:p>
        <w:p w:rsidR="003B43FE" w:rsidRPr="003B43FE" w:rsidRDefault="00322F14">
          <w:pPr>
            <w:pStyle w:val="33"/>
            <w:tabs>
              <w:tab w:val="right" w:leader="dot" w:pos="9345"/>
            </w:tabs>
            <w:rPr>
              <w:rFonts w:ascii="Times New Roman" w:eastAsiaTheme="minorEastAsia" w:hAnsi="Times New Roman" w:cs="Times New Roman"/>
              <w:noProof/>
              <w:sz w:val="24"/>
              <w:szCs w:val="24"/>
              <w:lang w:eastAsia="ru-RU"/>
            </w:rPr>
          </w:pPr>
          <w:hyperlink w:anchor="_Toc450920855" w:history="1">
            <w:r w:rsidR="003B43FE" w:rsidRPr="003B43FE">
              <w:rPr>
                <w:rStyle w:val="af1"/>
                <w:rFonts w:ascii="Times New Roman" w:eastAsiaTheme="majorEastAsia" w:hAnsi="Times New Roman" w:cs="Times New Roman"/>
                <w:bCs/>
                <w:noProof/>
                <w:sz w:val="24"/>
                <w:szCs w:val="24"/>
              </w:rPr>
              <w:t>Биноминальная модель</w:t>
            </w:r>
            <w:r w:rsidR="003B43FE" w:rsidRPr="003B43FE">
              <w:rPr>
                <w:rFonts w:ascii="Times New Roman" w:hAnsi="Times New Roman" w:cs="Times New Roman"/>
                <w:noProof/>
                <w:webHidden/>
                <w:sz w:val="24"/>
                <w:szCs w:val="24"/>
              </w:rPr>
              <w:tab/>
            </w:r>
            <w:r w:rsidR="003B43FE" w:rsidRPr="003B43FE">
              <w:rPr>
                <w:rFonts w:ascii="Times New Roman" w:hAnsi="Times New Roman" w:cs="Times New Roman"/>
                <w:noProof/>
                <w:webHidden/>
                <w:sz w:val="24"/>
                <w:szCs w:val="24"/>
              </w:rPr>
              <w:fldChar w:fldCharType="begin"/>
            </w:r>
            <w:r w:rsidR="003B43FE" w:rsidRPr="003B43FE">
              <w:rPr>
                <w:rFonts w:ascii="Times New Roman" w:hAnsi="Times New Roman" w:cs="Times New Roman"/>
                <w:noProof/>
                <w:webHidden/>
                <w:sz w:val="24"/>
                <w:szCs w:val="24"/>
              </w:rPr>
              <w:instrText xml:space="preserve"> PAGEREF _Toc450920855 \h </w:instrText>
            </w:r>
            <w:r w:rsidR="003B43FE" w:rsidRPr="003B43FE">
              <w:rPr>
                <w:rFonts w:ascii="Times New Roman" w:hAnsi="Times New Roman" w:cs="Times New Roman"/>
                <w:noProof/>
                <w:webHidden/>
                <w:sz w:val="24"/>
                <w:szCs w:val="24"/>
              </w:rPr>
            </w:r>
            <w:r w:rsidR="003B43FE" w:rsidRPr="003B43F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3B43FE" w:rsidRPr="003B43FE">
              <w:rPr>
                <w:rFonts w:ascii="Times New Roman" w:hAnsi="Times New Roman" w:cs="Times New Roman"/>
                <w:noProof/>
                <w:webHidden/>
                <w:sz w:val="24"/>
                <w:szCs w:val="24"/>
              </w:rPr>
              <w:fldChar w:fldCharType="end"/>
            </w:r>
          </w:hyperlink>
        </w:p>
        <w:p w:rsidR="003B43FE" w:rsidRPr="003B43FE" w:rsidRDefault="00322F14" w:rsidP="003B43FE">
          <w:pPr>
            <w:pStyle w:val="11"/>
            <w:ind w:firstLine="0"/>
            <w:rPr>
              <w:rFonts w:eastAsiaTheme="minorEastAsia"/>
              <w:noProof/>
              <w:szCs w:val="24"/>
              <w:lang w:eastAsia="ru-RU"/>
            </w:rPr>
          </w:pPr>
          <w:hyperlink w:anchor="_Toc450920856" w:history="1">
            <w:r w:rsidR="003B43FE" w:rsidRPr="003B43FE">
              <w:rPr>
                <w:rStyle w:val="af1"/>
                <w:rFonts w:eastAsiaTheme="majorEastAsia"/>
                <w:bCs/>
                <w:noProof/>
                <w:szCs w:val="24"/>
              </w:rPr>
              <w:t>Выводы к главе 2</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_Toc450920856 \h </w:instrText>
            </w:r>
            <w:r w:rsidR="003B43FE" w:rsidRPr="003B43FE">
              <w:rPr>
                <w:noProof/>
                <w:webHidden/>
                <w:szCs w:val="24"/>
              </w:rPr>
            </w:r>
            <w:r w:rsidR="003B43FE" w:rsidRPr="003B43FE">
              <w:rPr>
                <w:noProof/>
                <w:webHidden/>
                <w:szCs w:val="24"/>
              </w:rPr>
              <w:fldChar w:fldCharType="separate"/>
            </w:r>
            <w:r>
              <w:rPr>
                <w:noProof/>
                <w:webHidden/>
                <w:szCs w:val="24"/>
              </w:rPr>
              <w:t>47</w:t>
            </w:r>
            <w:r w:rsidR="003B43FE" w:rsidRPr="003B43FE">
              <w:rPr>
                <w:noProof/>
                <w:webHidden/>
                <w:szCs w:val="24"/>
              </w:rPr>
              <w:fldChar w:fldCharType="end"/>
            </w:r>
          </w:hyperlink>
        </w:p>
        <w:p w:rsidR="003B43FE" w:rsidRPr="003B43FE" w:rsidRDefault="00322F14" w:rsidP="003B43FE">
          <w:pPr>
            <w:pStyle w:val="11"/>
            <w:ind w:firstLine="0"/>
            <w:rPr>
              <w:rFonts w:eastAsiaTheme="minorEastAsia"/>
              <w:noProof/>
              <w:szCs w:val="24"/>
              <w:lang w:eastAsia="ru-RU"/>
            </w:rPr>
          </w:pPr>
          <w:hyperlink w:anchor="_Toc450920857" w:history="1">
            <w:r w:rsidR="003B43FE" w:rsidRPr="003B43FE">
              <w:rPr>
                <w:rStyle w:val="af1"/>
                <w:noProof/>
                <w:szCs w:val="24"/>
              </w:rPr>
              <w:t>Заключение</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_Toc450920857 \h </w:instrText>
            </w:r>
            <w:r w:rsidR="003B43FE" w:rsidRPr="003B43FE">
              <w:rPr>
                <w:noProof/>
                <w:webHidden/>
                <w:szCs w:val="24"/>
              </w:rPr>
            </w:r>
            <w:r w:rsidR="003B43FE" w:rsidRPr="003B43FE">
              <w:rPr>
                <w:noProof/>
                <w:webHidden/>
                <w:szCs w:val="24"/>
              </w:rPr>
              <w:fldChar w:fldCharType="separate"/>
            </w:r>
            <w:r>
              <w:rPr>
                <w:noProof/>
                <w:webHidden/>
                <w:szCs w:val="24"/>
              </w:rPr>
              <w:t>49</w:t>
            </w:r>
            <w:r w:rsidR="003B43FE" w:rsidRPr="003B43FE">
              <w:rPr>
                <w:noProof/>
                <w:webHidden/>
                <w:szCs w:val="24"/>
              </w:rPr>
              <w:fldChar w:fldCharType="end"/>
            </w:r>
          </w:hyperlink>
        </w:p>
        <w:p w:rsidR="003B43FE" w:rsidRPr="003B43FE" w:rsidRDefault="00322F14" w:rsidP="003B43FE">
          <w:pPr>
            <w:pStyle w:val="11"/>
            <w:ind w:firstLine="0"/>
            <w:rPr>
              <w:rFonts w:eastAsiaTheme="minorEastAsia"/>
              <w:noProof/>
              <w:szCs w:val="24"/>
              <w:lang w:eastAsia="ru-RU"/>
            </w:rPr>
          </w:pPr>
          <w:hyperlink w:anchor="_Toc450920858" w:history="1">
            <w:r w:rsidR="003B43FE" w:rsidRPr="003B43FE">
              <w:rPr>
                <w:rStyle w:val="af1"/>
                <w:noProof/>
                <w:szCs w:val="24"/>
              </w:rPr>
              <w:t>Список литературы</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_Toc450920858 \h </w:instrText>
            </w:r>
            <w:r w:rsidR="003B43FE" w:rsidRPr="003B43FE">
              <w:rPr>
                <w:noProof/>
                <w:webHidden/>
                <w:szCs w:val="24"/>
              </w:rPr>
            </w:r>
            <w:r w:rsidR="003B43FE" w:rsidRPr="003B43FE">
              <w:rPr>
                <w:noProof/>
                <w:webHidden/>
                <w:szCs w:val="24"/>
              </w:rPr>
              <w:fldChar w:fldCharType="separate"/>
            </w:r>
            <w:r>
              <w:rPr>
                <w:noProof/>
                <w:webHidden/>
                <w:szCs w:val="24"/>
              </w:rPr>
              <w:t>52</w:t>
            </w:r>
            <w:r w:rsidR="003B43FE" w:rsidRPr="003B43FE">
              <w:rPr>
                <w:noProof/>
                <w:webHidden/>
                <w:szCs w:val="24"/>
              </w:rPr>
              <w:fldChar w:fldCharType="end"/>
            </w:r>
          </w:hyperlink>
        </w:p>
        <w:p w:rsidR="003B43FE" w:rsidRPr="003B43FE" w:rsidRDefault="00322F14" w:rsidP="003B43FE">
          <w:pPr>
            <w:pStyle w:val="11"/>
            <w:ind w:firstLine="0"/>
            <w:rPr>
              <w:rFonts w:eastAsiaTheme="minorEastAsia"/>
              <w:noProof/>
              <w:szCs w:val="24"/>
              <w:lang w:eastAsia="ru-RU"/>
            </w:rPr>
          </w:pPr>
          <w:hyperlink w:anchor="_Toc450920859" w:history="1">
            <w:r w:rsidR="003B43FE" w:rsidRPr="003B43FE">
              <w:rPr>
                <w:rStyle w:val="af1"/>
                <w:noProof/>
                <w:szCs w:val="24"/>
              </w:rPr>
              <w:t>Приложения</w:t>
            </w:r>
            <w:r w:rsidR="003B43FE" w:rsidRPr="003B43FE">
              <w:rPr>
                <w:noProof/>
                <w:webHidden/>
                <w:szCs w:val="24"/>
              </w:rPr>
              <w:tab/>
            </w:r>
            <w:r w:rsidR="003B43FE" w:rsidRPr="003B43FE">
              <w:rPr>
                <w:noProof/>
                <w:webHidden/>
                <w:szCs w:val="24"/>
              </w:rPr>
              <w:fldChar w:fldCharType="begin"/>
            </w:r>
            <w:r w:rsidR="003B43FE" w:rsidRPr="003B43FE">
              <w:rPr>
                <w:noProof/>
                <w:webHidden/>
                <w:szCs w:val="24"/>
              </w:rPr>
              <w:instrText xml:space="preserve"> PAGEREF _Toc450920859 \h </w:instrText>
            </w:r>
            <w:r w:rsidR="003B43FE" w:rsidRPr="003B43FE">
              <w:rPr>
                <w:noProof/>
                <w:webHidden/>
                <w:szCs w:val="24"/>
              </w:rPr>
            </w:r>
            <w:r w:rsidR="003B43FE" w:rsidRPr="003B43FE">
              <w:rPr>
                <w:noProof/>
                <w:webHidden/>
                <w:szCs w:val="24"/>
              </w:rPr>
              <w:fldChar w:fldCharType="separate"/>
            </w:r>
            <w:r>
              <w:rPr>
                <w:noProof/>
                <w:webHidden/>
                <w:szCs w:val="24"/>
              </w:rPr>
              <w:t>54</w:t>
            </w:r>
            <w:r w:rsidR="003B43FE" w:rsidRPr="003B43FE">
              <w:rPr>
                <w:noProof/>
                <w:webHidden/>
                <w:szCs w:val="24"/>
              </w:rPr>
              <w:fldChar w:fldCharType="end"/>
            </w:r>
          </w:hyperlink>
        </w:p>
        <w:p w:rsidR="002B173C" w:rsidRPr="00C245D2" w:rsidRDefault="002B173C" w:rsidP="00C245D2">
          <w:pPr>
            <w:jc w:val="both"/>
            <w:rPr>
              <w:rFonts w:ascii="Times New Roman" w:hAnsi="Times New Roman" w:cs="Times New Roman"/>
              <w:sz w:val="24"/>
              <w:szCs w:val="24"/>
            </w:rPr>
          </w:pPr>
          <w:r w:rsidRPr="00C245D2">
            <w:rPr>
              <w:rFonts w:ascii="Times New Roman" w:hAnsi="Times New Roman" w:cs="Times New Roman"/>
              <w:b/>
              <w:bCs/>
              <w:sz w:val="24"/>
              <w:szCs w:val="24"/>
            </w:rPr>
            <w:fldChar w:fldCharType="end"/>
          </w:r>
        </w:p>
      </w:sdtContent>
    </w:sdt>
    <w:p w:rsidR="00692D96" w:rsidRDefault="00692D96" w:rsidP="00E82D69">
      <w:pPr>
        <w:pStyle w:val="1"/>
        <w:jc w:val="center"/>
      </w:pPr>
      <w:bookmarkStart w:id="0" w:name="_Toc450920815"/>
    </w:p>
    <w:p w:rsidR="00692D96" w:rsidRPr="00692D96" w:rsidRDefault="00692D96" w:rsidP="00784E82">
      <w:pPr>
        <w:pStyle w:val="2"/>
        <w:rPr>
          <w:rFonts w:ascii="Times New Roman" w:eastAsia="Calibri" w:hAnsi="Times New Roman" w:cs="Times New Roman"/>
          <w:sz w:val="24"/>
        </w:rPr>
      </w:pPr>
      <w:r>
        <w:br w:type="page"/>
      </w:r>
      <w:bookmarkStart w:id="1" w:name="_GoBack"/>
      <w:bookmarkEnd w:id="1"/>
    </w:p>
    <w:p w:rsidR="00E8267A" w:rsidRPr="00C245D2" w:rsidRDefault="00E8267A" w:rsidP="00E82D69">
      <w:pPr>
        <w:pStyle w:val="1"/>
        <w:jc w:val="center"/>
      </w:pPr>
      <w:r w:rsidRPr="00C245D2">
        <w:lastRenderedPageBreak/>
        <w:t>Введение</w:t>
      </w:r>
      <w:bookmarkEnd w:id="0"/>
    </w:p>
    <w:p w:rsidR="00E8267A" w:rsidRPr="00C245D2" w:rsidRDefault="00E8267A" w:rsidP="00C245D2">
      <w:pPr>
        <w:jc w:val="both"/>
        <w:rPr>
          <w:rFonts w:ascii="Times New Roman" w:hAnsi="Times New Roman" w:cs="Times New Roman"/>
          <w:sz w:val="24"/>
          <w:szCs w:val="24"/>
        </w:rPr>
      </w:pPr>
    </w:p>
    <w:p w:rsidR="00E8267A" w:rsidRPr="00C245D2" w:rsidRDefault="0082652E" w:rsidP="00C245D2">
      <w:pPr>
        <w:spacing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Основой поступательного развития экономики любого государства является рост его ВВП. Ту же закономерность можно пронаблюдать и на менее крупном масштабе, например, в экономике предприятия или </w:t>
      </w:r>
      <w:r w:rsidR="00CA72EA" w:rsidRPr="00C245D2">
        <w:rPr>
          <w:rFonts w:ascii="Times New Roman" w:hAnsi="Times New Roman" w:cs="Times New Roman"/>
          <w:sz w:val="24"/>
          <w:szCs w:val="24"/>
        </w:rPr>
        <w:t>в рамках</w:t>
      </w:r>
      <w:r w:rsidRPr="00C245D2">
        <w:rPr>
          <w:rFonts w:ascii="Times New Roman" w:hAnsi="Times New Roman" w:cs="Times New Roman"/>
          <w:sz w:val="24"/>
          <w:szCs w:val="24"/>
        </w:rPr>
        <w:t xml:space="preserve"> инвестиционного проекта: все их участники заинтересованы в росте внутренней стоимости в результате увеличения доходов при меньшем или отсутствующем вовсе росте издержек.</w:t>
      </w:r>
      <w:r w:rsidR="008939E3" w:rsidRPr="00C245D2">
        <w:rPr>
          <w:rFonts w:ascii="Times New Roman" w:hAnsi="Times New Roman" w:cs="Times New Roman"/>
          <w:sz w:val="24"/>
          <w:szCs w:val="24"/>
        </w:rPr>
        <w:t xml:space="preserve"> Наибольший рост стоимости обеспечивается за счет проведения операций инвестирования, однако принятие данного решения и выбор конкретного объекта вложения денежных средств должны иметь под собой веские, расчётно подкрепленные обоснования. </w:t>
      </w:r>
      <w:r w:rsidRPr="00C245D2">
        <w:rPr>
          <w:rFonts w:ascii="Times New Roman" w:hAnsi="Times New Roman" w:cs="Times New Roman"/>
          <w:sz w:val="24"/>
          <w:szCs w:val="24"/>
        </w:rPr>
        <w:t>Было проведено большое количество разработок и выявлено множество методов определения эффективности тех или иных проектов, посредством которых можно установить целесообразность их реализации.</w:t>
      </w:r>
      <w:r w:rsidR="008939E3" w:rsidRPr="00C245D2">
        <w:rPr>
          <w:rFonts w:ascii="Times New Roman" w:hAnsi="Times New Roman" w:cs="Times New Roman"/>
          <w:sz w:val="24"/>
          <w:szCs w:val="24"/>
        </w:rPr>
        <w:t xml:space="preserve"> Однако ни один из них не позволяет однозначно ответить на этот вопрос в силу своих ограничений. Каждый из этих методов имеет как</w:t>
      </w:r>
      <w:r w:rsidR="00CA72EA" w:rsidRPr="00C245D2">
        <w:rPr>
          <w:rFonts w:ascii="Times New Roman" w:hAnsi="Times New Roman" w:cs="Times New Roman"/>
          <w:sz w:val="24"/>
          <w:szCs w:val="24"/>
        </w:rPr>
        <w:t xml:space="preserve"> слабые, так и сильные стороны, поэтому выбор методики будет обуславливаться каждой конкретной ситуации в отдельности. Более того, процесс усложняется неоднозначным влиянием факторов неопределенности</w:t>
      </w:r>
      <w:r w:rsidR="005E31C2" w:rsidRPr="00C245D2">
        <w:rPr>
          <w:rFonts w:ascii="Times New Roman" w:hAnsi="Times New Roman" w:cs="Times New Roman"/>
          <w:sz w:val="24"/>
          <w:szCs w:val="24"/>
        </w:rPr>
        <w:t>, касающихся исходных прогнозных данных и непосредственно влияющих на конечный результат</w:t>
      </w:r>
      <w:r w:rsidR="00CA72EA" w:rsidRPr="00C245D2">
        <w:rPr>
          <w:rFonts w:ascii="Times New Roman" w:hAnsi="Times New Roman" w:cs="Times New Roman"/>
          <w:sz w:val="24"/>
          <w:szCs w:val="24"/>
        </w:rPr>
        <w:t>,</w:t>
      </w:r>
      <w:r w:rsidR="006726EA" w:rsidRPr="00C245D2">
        <w:rPr>
          <w:rFonts w:ascii="Times New Roman" w:hAnsi="Times New Roman" w:cs="Times New Roman"/>
          <w:sz w:val="24"/>
          <w:szCs w:val="24"/>
        </w:rPr>
        <w:t xml:space="preserve"> </w:t>
      </w:r>
      <w:r w:rsidR="005E31C2" w:rsidRPr="00C245D2">
        <w:rPr>
          <w:rFonts w:ascii="Times New Roman" w:hAnsi="Times New Roman" w:cs="Times New Roman"/>
          <w:sz w:val="24"/>
          <w:szCs w:val="24"/>
        </w:rPr>
        <w:t>что</w:t>
      </w:r>
      <w:r w:rsidR="00CA72EA" w:rsidRPr="00C245D2">
        <w:rPr>
          <w:rFonts w:ascii="Times New Roman" w:hAnsi="Times New Roman" w:cs="Times New Roman"/>
          <w:sz w:val="24"/>
          <w:szCs w:val="24"/>
        </w:rPr>
        <w:t xml:space="preserve"> так же следует учесть. Именно в необходимости нахождения оптимального метода для обоснования инвестиционного решения </w:t>
      </w:r>
      <w:r w:rsidR="006726EA" w:rsidRPr="00C245D2">
        <w:rPr>
          <w:rFonts w:ascii="Times New Roman" w:hAnsi="Times New Roman" w:cs="Times New Roman"/>
          <w:sz w:val="24"/>
          <w:szCs w:val="24"/>
        </w:rPr>
        <w:t xml:space="preserve">в условиях неопределенности </w:t>
      </w:r>
      <w:r w:rsidR="00CA72EA" w:rsidRPr="00C245D2">
        <w:rPr>
          <w:rFonts w:ascii="Times New Roman" w:hAnsi="Times New Roman" w:cs="Times New Roman"/>
          <w:sz w:val="24"/>
          <w:szCs w:val="24"/>
        </w:rPr>
        <w:t>и заключается актуальность данной темы.</w:t>
      </w:r>
    </w:p>
    <w:p w:rsidR="00CA72EA" w:rsidRPr="00C245D2" w:rsidRDefault="00CA72EA" w:rsidP="00C245D2">
      <w:pPr>
        <w:spacing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Исходя из этого, целью работы </w:t>
      </w:r>
      <w:r w:rsidR="005A5E97" w:rsidRPr="00C245D2">
        <w:rPr>
          <w:rFonts w:ascii="Times New Roman" w:hAnsi="Times New Roman" w:cs="Times New Roman"/>
          <w:sz w:val="24"/>
          <w:szCs w:val="24"/>
        </w:rPr>
        <w:t xml:space="preserve">является </w:t>
      </w:r>
      <w:r w:rsidR="005A5E97">
        <w:rPr>
          <w:rFonts w:ascii="Times New Roman" w:hAnsi="Times New Roman" w:cs="Times New Roman"/>
          <w:sz w:val="24"/>
          <w:szCs w:val="24"/>
        </w:rPr>
        <w:t xml:space="preserve">выявление наиболее оптимальных методов оценки эффективности </w:t>
      </w:r>
      <w:r w:rsidRPr="00C245D2">
        <w:rPr>
          <w:rFonts w:ascii="Times New Roman" w:hAnsi="Times New Roman" w:cs="Times New Roman"/>
          <w:sz w:val="24"/>
          <w:szCs w:val="24"/>
        </w:rPr>
        <w:t>инвестиционных проекто</w:t>
      </w:r>
      <w:r w:rsidR="005A5E97">
        <w:rPr>
          <w:rFonts w:ascii="Times New Roman" w:hAnsi="Times New Roman" w:cs="Times New Roman"/>
          <w:sz w:val="24"/>
          <w:szCs w:val="24"/>
        </w:rPr>
        <w:t>в в условиях неопределенности.</w:t>
      </w:r>
    </w:p>
    <w:p w:rsidR="009C33AF" w:rsidRPr="00C245D2" w:rsidRDefault="009C33AF" w:rsidP="00C245D2">
      <w:pPr>
        <w:spacing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Реализация указанной цели потребовала решения следующих исследовательских задач.</w:t>
      </w:r>
    </w:p>
    <w:p w:rsidR="009C33AF" w:rsidRPr="00C245D2" w:rsidRDefault="009C33AF" w:rsidP="00C245D2">
      <w:pPr>
        <w:pStyle w:val="a3"/>
        <w:numPr>
          <w:ilvl w:val="0"/>
          <w:numId w:val="17"/>
        </w:numPr>
        <w:spacing w:line="360" w:lineRule="auto"/>
        <w:jc w:val="both"/>
        <w:rPr>
          <w:rFonts w:ascii="Times New Roman" w:hAnsi="Times New Roman" w:cs="Times New Roman"/>
          <w:sz w:val="24"/>
          <w:szCs w:val="24"/>
        </w:rPr>
      </w:pPr>
      <w:r w:rsidRPr="00C245D2">
        <w:rPr>
          <w:rFonts w:ascii="Times New Roman" w:hAnsi="Times New Roman" w:cs="Times New Roman"/>
          <w:sz w:val="24"/>
          <w:szCs w:val="24"/>
        </w:rPr>
        <w:t>О</w:t>
      </w:r>
      <w:r w:rsidR="005A5E97">
        <w:rPr>
          <w:rFonts w:ascii="Times New Roman" w:hAnsi="Times New Roman" w:cs="Times New Roman"/>
          <w:sz w:val="24"/>
          <w:szCs w:val="24"/>
        </w:rPr>
        <w:t>ценить преимущества и недостатки</w:t>
      </w:r>
      <w:r w:rsidRPr="00C245D2">
        <w:rPr>
          <w:rFonts w:ascii="Times New Roman" w:hAnsi="Times New Roman" w:cs="Times New Roman"/>
          <w:sz w:val="24"/>
          <w:szCs w:val="24"/>
        </w:rPr>
        <w:t xml:space="preserve"> </w:t>
      </w:r>
      <w:r w:rsidR="005A5E97">
        <w:rPr>
          <w:rFonts w:ascii="Times New Roman" w:hAnsi="Times New Roman" w:cs="Times New Roman"/>
          <w:sz w:val="24"/>
          <w:szCs w:val="24"/>
        </w:rPr>
        <w:t>традиционных методов</w:t>
      </w:r>
      <w:r w:rsidRPr="00C245D2">
        <w:rPr>
          <w:rFonts w:ascii="Times New Roman" w:hAnsi="Times New Roman" w:cs="Times New Roman"/>
          <w:sz w:val="24"/>
          <w:szCs w:val="24"/>
        </w:rPr>
        <w:t xml:space="preserve"> определения </w:t>
      </w:r>
      <w:r w:rsidR="005A5E97">
        <w:rPr>
          <w:rFonts w:ascii="Times New Roman" w:hAnsi="Times New Roman" w:cs="Times New Roman"/>
          <w:sz w:val="24"/>
          <w:szCs w:val="24"/>
        </w:rPr>
        <w:t>экономической целесообразности</w:t>
      </w:r>
      <w:r w:rsidRPr="00C245D2">
        <w:rPr>
          <w:rFonts w:ascii="Times New Roman" w:hAnsi="Times New Roman" w:cs="Times New Roman"/>
          <w:sz w:val="24"/>
          <w:szCs w:val="24"/>
        </w:rPr>
        <w:t xml:space="preserve"> инвестиционного проекта (ИП).</w:t>
      </w:r>
    </w:p>
    <w:p w:rsidR="009C33AF" w:rsidRPr="00C245D2" w:rsidRDefault="009C33AF" w:rsidP="00C245D2">
      <w:pPr>
        <w:pStyle w:val="a3"/>
        <w:numPr>
          <w:ilvl w:val="0"/>
          <w:numId w:val="17"/>
        </w:numPr>
        <w:spacing w:line="360" w:lineRule="auto"/>
        <w:jc w:val="both"/>
        <w:rPr>
          <w:rFonts w:ascii="Times New Roman" w:hAnsi="Times New Roman" w:cs="Times New Roman"/>
          <w:sz w:val="24"/>
          <w:szCs w:val="24"/>
        </w:rPr>
      </w:pPr>
      <w:r w:rsidRPr="00C245D2">
        <w:rPr>
          <w:rFonts w:ascii="Times New Roman" w:hAnsi="Times New Roman" w:cs="Times New Roman"/>
          <w:sz w:val="24"/>
          <w:szCs w:val="24"/>
        </w:rPr>
        <w:t xml:space="preserve">Разграничить понятия </w:t>
      </w:r>
      <w:r w:rsidR="005A5E97">
        <w:rPr>
          <w:rFonts w:ascii="Times New Roman" w:hAnsi="Times New Roman" w:cs="Times New Roman"/>
          <w:sz w:val="24"/>
          <w:szCs w:val="24"/>
        </w:rPr>
        <w:t>не</w:t>
      </w:r>
      <w:r w:rsidRPr="00C245D2">
        <w:rPr>
          <w:rFonts w:ascii="Times New Roman" w:hAnsi="Times New Roman" w:cs="Times New Roman"/>
          <w:sz w:val="24"/>
          <w:szCs w:val="24"/>
        </w:rPr>
        <w:t>определенности и риска.</w:t>
      </w:r>
    </w:p>
    <w:p w:rsidR="009C33AF" w:rsidRPr="00C245D2" w:rsidRDefault="009C33AF" w:rsidP="00C245D2">
      <w:pPr>
        <w:pStyle w:val="a3"/>
        <w:numPr>
          <w:ilvl w:val="0"/>
          <w:numId w:val="17"/>
        </w:numPr>
        <w:spacing w:line="360" w:lineRule="auto"/>
        <w:jc w:val="both"/>
        <w:rPr>
          <w:rFonts w:ascii="Times New Roman" w:hAnsi="Times New Roman" w:cs="Times New Roman"/>
          <w:sz w:val="24"/>
          <w:szCs w:val="24"/>
        </w:rPr>
      </w:pPr>
      <w:r w:rsidRPr="00C245D2">
        <w:rPr>
          <w:rFonts w:ascii="Times New Roman" w:hAnsi="Times New Roman" w:cs="Times New Roman"/>
          <w:sz w:val="24"/>
          <w:szCs w:val="24"/>
        </w:rPr>
        <w:t>Установить основные методы учета риска при анализе эффективности ИП.</w:t>
      </w:r>
    </w:p>
    <w:p w:rsidR="009C33AF" w:rsidRPr="00C245D2" w:rsidRDefault="009C33AF" w:rsidP="00C245D2">
      <w:pPr>
        <w:pStyle w:val="a3"/>
        <w:numPr>
          <w:ilvl w:val="0"/>
          <w:numId w:val="17"/>
        </w:numPr>
        <w:spacing w:line="360" w:lineRule="auto"/>
        <w:jc w:val="both"/>
        <w:rPr>
          <w:rFonts w:ascii="Times New Roman" w:hAnsi="Times New Roman" w:cs="Times New Roman"/>
          <w:sz w:val="24"/>
          <w:szCs w:val="24"/>
        </w:rPr>
      </w:pPr>
      <w:r w:rsidRPr="00C245D2">
        <w:rPr>
          <w:rFonts w:ascii="Times New Roman" w:hAnsi="Times New Roman" w:cs="Times New Roman"/>
          <w:sz w:val="24"/>
          <w:szCs w:val="24"/>
        </w:rPr>
        <w:t>Рассмотреть метод реальных опционов как эффективный инструмент учета риска и определения стоимости инвестиционного проекта.</w:t>
      </w:r>
    </w:p>
    <w:p w:rsidR="00805291" w:rsidRPr="00805291" w:rsidRDefault="00805291" w:rsidP="00805291">
      <w:pPr>
        <w:pStyle w:val="a3"/>
        <w:numPr>
          <w:ilvl w:val="0"/>
          <w:numId w:val="17"/>
        </w:numPr>
        <w:rPr>
          <w:rFonts w:ascii="Times New Roman" w:hAnsi="Times New Roman" w:cs="Times New Roman"/>
          <w:sz w:val="24"/>
          <w:szCs w:val="24"/>
        </w:rPr>
      </w:pPr>
      <w:r w:rsidRPr="00805291">
        <w:rPr>
          <w:rFonts w:ascii="Times New Roman" w:hAnsi="Times New Roman" w:cs="Times New Roman"/>
          <w:sz w:val="24"/>
          <w:szCs w:val="24"/>
        </w:rPr>
        <w:t>Соотнести теорию и практику оценки эффективности инвестиционных проектов и сделать соответствующие выводы.</w:t>
      </w:r>
    </w:p>
    <w:p w:rsidR="009C33AF" w:rsidRPr="00C245D2" w:rsidRDefault="009C33AF" w:rsidP="00C245D2">
      <w:pPr>
        <w:spacing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lastRenderedPageBreak/>
        <w:t xml:space="preserve">Реализация указанных цели и задач обусловила структуру и логику работы. Она состоит из </w:t>
      </w:r>
      <w:r w:rsidR="00FD5E2C">
        <w:rPr>
          <w:rFonts w:ascii="Times New Roman" w:hAnsi="Times New Roman" w:cs="Times New Roman"/>
          <w:sz w:val="24"/>
          <w:szCs w:val="24"/>
        </w:rPr>
        <w:t>2</w:t>
      </w:r>
      <w:r w:rsidRPr="00C245D2">
        <w:rPr>
          <w:rFonts w:ascii="Times New Roman" w:hAnsi="Times New Roman" w:cs="Times New Roman"/>
          <w:sz w:val="24"/>
          <w:szCs w:val="24"/>
        </w:rPr>
        <w:t xml:space="preserve"> глав, </w:t>
      </w:r>
      <w:r w:rsidR="00805291">
        <w:rPr>
          <w:rFonts w:ascii="Times New Roman" w:hAnsi="Times New Roman" w:cs="Times New Roman"/>
          <w:sz w:val="24"/>
          <w:szCs w:val="24"/>
        </w:rPr>
        <w:t>спис</w:t>
      </w:r>
      <w:r w:rsidR="005A5E97">
        <w:rPr>
          <w:rFonts w:ascii="Times New Roman" w:hAnsi="Times New Roman" w:cs="Times New Roman"/>
          <w:sz w:val="24"/>
          <w:szCs w:val="24"/>
        </w:rPr>
        <w:t>ка</w:t>
      </w:r>
      <w:r w:rsidRPr="00C245D2">
        <w:rPr>
          <w:rFonts w:ascii="Times New Roman" w:hAnsi="Times New Roman" w:cs="Times New Roman"/>
          <w:sz w:val="24"/>
          <w:szCs w:val="24"/>
        </w:rPr>
        <w:t xml:space="preserve"> литературы</w:t>
      </w:r>
      <w:r w:rsidR="00805291">
        <w:rPr>
          <w:rFonts w:ascii="Times New Roman" w:hAnsi="Times New Roman" w:cs="Times New Roman"/>
          <w:sz w:val="24"/>
          <w:szCs w:val="24"/>
        </w:rPr>
        <w:t xml:space="preserve"> и</w:t>
      </w:r>
      <w:r w:rsidRPr="00C245D2">
        <w:rPr>
          <w:rFonts w:ascii="Times New Roman" w:hAnsi="Times New Roman" w:cs="Times New Roman"/>
          <w:sz w:val="24"/>
          <w:szCs w:val="24"/>
        </w:rPr>
        <w:t xml:space="preserve"> приложения.</w:t>
      </w:r>
    </w:p>
    <w:p w:rsidR="007214BA" w:rsidRPr="00C245D2" w:rsidRDefault="007214BA" w:rsidP="00C245D2">
      <w:pPr>
        <w:spacing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Методологической основой работы являются статьи современных отечественных экономистов, ведущих исследования в области оценки эффективности ИП, а так же труды зарубежных авторов, озабоченных конструированием новой модели, отвечающей всем требованиям экономической науки наших дней. </w:t>
      </w:r>
      <w:r w:rsidR="00805291">
        <w:rPr>
          <w:rFonts w:ascii="Times New Roman" w:hAnsi="Times New Roman" w:cs="Times New Roman"/>
          <w:sz w:val="24"/>
          <w:szCs w:val="24"/>
        </w:rPr>
        <w:t>Для второго раздела работы были использованы фактические данные, полученные в результате прохождения производственной практики в ПАО «Ленэнерго».</w:t>
      </w:r>
    </w:p>
    <w:p w:rsidR="009C33AF" w:rsidRDefault="009C33AF" w:rsidP="00C245D2">
      <w:pPr>
        <w:spacing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Первая глава посвящена рассмотрению </w:t>
      </w:r>
      <w:r w:rsidR="008A3DB5" w:rsidRPr="00C245D2">
        <w:rPr>
          <w:rFonts w:ascii="Times New Roman" w:hAnsi="Times New Roman" w:cs="Times New Roman"/>
          <w:sz w:val="24"/>
          <w:szCs w:val="24"/>
        </w:rPr>
        <w:t>стандартных методов определения эффективности проекта, самым широко известным из которых является метод чистой приведенной стоимости</w:t>
      </w:r>
      <w:r w:rsidRPr="00C245D2">
        <w:rPr>
          <w:rFonts w:ascii="Times New Roman" w:hAnsi="Times New Roman" w:cs="Times New Roman"/>
          <w:sz w:val="24"/>
          <w:szCs w:val="24"/>
        </w:rPr>
        <w:t xml:space="preserve">. </w:t>
      </w:r>
      <w:r w:rsidR="008A3DB5" w:rsidRPr="00C245D2">
        <w:rPr>
          <w:rFonts w:ascii="Times New Roman" w:hAnsi="Times New Roman" w:cs="Times New Roman"/>
          <w:sz w:val="24"/>
          <w:szCs w:val="24"/>
        </w:rPr>
        <w:t>Однако насколько точными бы ни были расчёты, результат не будет однозначным до тех пор, пока не будет элиминирован элемент неопределенности. На практике это сделать невозможно, поэтому для получения наиболее достоверных оценок необходимо учесть фактор риска. Именно эти методы и п</w:t>
      </w:r>
      <w:r w:rsidR="00373CF7">
        <w:rPr>
          <w:rFonts w:ascii="Times New Roman" w:hAnsi="Times New Roman" w:cs="Times New Roman"/>
          <w:sz w:val="24"/>
          <w:szCs w:val="24"/>
        </w:rPr>
        <w:t>одходы будут проанализированы дале</w:t>
      </w:r>
      <w:r w:rsidR="008A3DB5" w:rsidRPr="00C245D2">
        <w:rPr>
          <w:rFonts w:ascii="Times New Roman" w:hAnsi="Times New Roman" w:cs="Times New Roman"/>
          <w:sz w:val="24"/>
          <w:szCs w:val="24"/>
        </w:rPr>
        <w:t xml:space="preserve">е. </w:t>
      </w:r>
      <w:r w:rsidR="00FD5E2C">
        <w:rPr>
          <w:rFonts w:ascii="Times New Roman" w:hAnsi="Times New Roman" w:cs="Times New Roman"/>
          <w:sz w:val="24"/>
          <w:szCs w:val="24"/>
        </w:rPr>
        <w:t>Здесь же будут представл</w:t>
      </w:r>
      <w:r w:rsidR="008A3DB5" w:rsidRPr="00C245D2">
        <w:rPr>
          <w:rFonts w:ascii="Times New Roman" w:hAnsi="Times New Roman" w:cs="Times New Roman"/>
          <w:sz w:val="24"/>
          <w:szCs w:val="24"/>
        </w:rPr>
        <w:t>е</w:t>
      </w:r>
      <w:r w:rsidR="00FD5E2C">
        <w:rPr>
          <w:rFonts w:ascii="Times New Roman" w:hAnsi="Times New Roman" w:cs="Times New Roman"/>
          <w:sz w:val="24"/>
          <w:szCs w:val="24"/>
        </w:rPr>
        <w:t>ны</w:t>
      </w:r>
      <w:r w:rsidR="008A3DB5" w:rsidRPr="00C245D2">
        <w:rPr>
          <w:rFonts w:ascii="Times New Roman" w:hAnsi="Times New Roman" w:cs="Times New Roman"/>
          <w:sz w:val="24"/>
          <w:szCs w:val="24"/>
        </w:rPr>
        <w:t xml:space="preserve"> характеристик</w:t>
      </w:r>
      <w:r w:rsidR="00FD5E2C">
        <w:rPr>
          <w:rFonts w:ascii="Times New Roman" w:hAnsi="Times New Roman" w:cs="Times New Roman"/>
          <w:sz w:val="24"/>
          <w:szCs w:val="24"/>
        </w:rPr>
        <w:t>а</w:t>
      </w:r>
      <w:r w:rsidR="008A3DB5" w:rsidRPr="00C245D2">
        <w:rPr>
          <w:rFonts w:ascii="Times New Roman" w:hAnsi="Times New Roman" w:cs="Times New Roman"/>
          <w:sz w:val="24"/>
          <w:szCs w:val="24"/>
        </w:rPr>
        <w:t xml:space="preserve"> и методологи</w:t>
      </w:r>
      <w:r w:rsidR="00FD5E2C">
        <w:rPr>
          <w:rFonts w:ascii="Times New Roman" w:hAnsi="Times New Roman" w:cs="Times New Roman"/>
          <w:sz w:val="24"/>
          <w:szCs w:val="24"/>
        </w:rPr>
        <w:t>я</w:t>
      </w:r>
      <w:r w:rsidR="008A3DB5" w:rsidRPr="00C245D2">
        <w:rPr>
          <w:rFonts w:ascii="Times New Roman" w:hAnsi="Times New Roman" w:cs="Times New Roman"/>
          <w:sz w:val="24"/>
          <w:szCs w:val="24"/>
        </w:rPr>
        <w:t xml:space="preserve"> теории реальных опцион</w:t>
      </w:r>
      <w:r w:rsidR="005E31C2" w:rsidRPr="00C245D2">
        <w:rPr>
          <w:rFonts w:ascii="Times New Roman" w:hAnsi="Times New Roman" w:cs="Times New Roman"/>
          <w:sz w:val="24"/>
          <w:szCs w:val="24"/>
        </w:rPr>
        <w:t>ов</w:t>
      </w:r>
      <w:r w:rsidR="008A3DB5" w:rsidRPr="00C245D2">
        <w:rPr>
          <w:rFonts w:ascii="Times New Roman" w:hAnsi="Times New Roman" w:cs="Times New Roman"/>
          <w:sz w:val="24"/>
          <w:szCs w:val="24"/>
        </w:rPr>
        <w:t xml:space="preserve"> как инструмента анализа, связующего </w:t>
      </w:r>
      <w:r w:rsidR="007214BA" w:rsidRPr="00C245D2">
        <w:rPr>
          <w:rFonts w:ascii="Times New Roman" w:hAnsi="Times New Roman" w:cs="Times New Roman"/>
          <w:sz w:val="24"/>
          <w:szCs w:val="24"/>
        </w:rPr>
        <w:t xml:space="preserve">два </w:t>
      </w:r>
      <w:r w:rsidR="00373CF7">
        <w:rPr>
          <w:rFonts w:ascii="Times New Roman" w:hAnsi="Times New Roman" w:cs="Times New Roman"/>
          <w:sz w:val="24"/>
          <w:szCs w:val="24"/>
        </w:rPr>
        <w:t>элемента, о которых говорилось ранее</w:t>
      </w:r>
      <w:r w:rsidR="007214BA" w:rsidRPr="00C245D2">
        <w:rPr>
          <w:rFonts w:ascii="Times New Roman" w:hAnsi="Times New Roman" w:cs="Times New Roman"/>
          <w:sz w:val="24"/>
          <w:szCs w:val="24"/>
        </w:rPr>
        <w:t xml:space="preserve">: во-первых, </w:t>
      </w:r>
      <w:r w:rsidR="008A3DB5" w:rsidRPr="00C245D2">
        <w:rPr>
          <w:rFonts w:ascii="Times New Roman" w:hAnsi="Times New Roman" w:cs="Times New Roman"/>
          <w:sz w:val="24"/>
          <w:szCs w:val="24"/>
        </w:rPr>
        <w:t>определение стоимости проекта после прове</w:t>
      </w:r>
      <w:r w:rsidR="007214BA" w:rsidRPr="00C245D2">
        <w:rPr>
          <w:rFonts w:ascii="Times New Roman" w:hAnsi="Times New Roman" w:cs="Times New Roman"/>
          <w:sz w:val="24"/>
          <w:szCs w:val="24"/>
        </w:rPr>
        <w:t>дения процедуры инвестирования, а во-вторых, влияние</w:t>
      </w:r>
      <w:r w:rsidR="008A3DB5" w:rsidRPr="00C245D2">
        <w:rPr>
          <w:rFonts w:ascii="Times New Roman" w:hAnsi="Times New Roman" w:cs="Times New Roman"/>
          <w:sz w:val="24"/>
          <w:szCs w:val="24"/>
        </w:rPr>
        <w:t xml:space="preserve"> </w:t>
      </w:r>
      <w:r w:rsidR="007214BA" w:rsidRPr="00C245D2">
        <w:rPr>
          <w:rFonts w:ascii="Times New Roman" w:hAnsi="Times New Roman" w:cs="Times New Roman"/>
          <w:sz w:val="24"/>
          <w:szCs w:val="24"/>
        </w:rPr>
        <w:t>управленческих решений на конечный финансовый результат как реакцию на нестабильные факторы внешней среды</w:t>
      </w:r>
      <w:r w:rsidR="008A3DB5" w:rsidRPr="00C245D2">
        <w:rPr>
          <w:rFonts w:ascii="Times New Roman" w:hAnsi="Times New Roman" w:cs="Times New Roman"/>
          <w:sz w:val="24"/>
          <w:szCs w:val="24"/>
        </w:rPr>
        <w:t xml:space="preserve">. </w:t>
      </w:r>
      <w:r w:rsidR="00F20E2F" w:rsidRPr="00C245D2">
        <w:rPr>
          <w:rFonts w:ascii="Times New Roman" w:hAnsi="Times New Roman" w:cs="Times New Roman"/>
          <w:sz w:val="24"/>
          <w:szCs w:val="24"/>
        </w:rPr>
        <w:t xml:space="preserve">На основе анализа будет сделан вывод о наиболее качественном методе оценки эффективности инвестиционного проекта в условиях неопределенности. </w:t>
      </w:r>
      <w:r w:rsidR="008A3DB5" w:rsidRPr="00C245D2">
        <w:rPr>
          <w:rFonts w:ascii="Times New Roman" w:hAnsi="Times New Roman" w:cs="Times New Roman"/>
          <w:sz w:val="24"/>
          <w:szCs w:val="24"/>
        </w:rPr>
        <w:t xml:space="preserve"> </w:t>
      </w:r>
    </w:p>
    <w:p w:rsidR="00805291" w:rsidRPr="00941E42" w:rsidRDefault="00805291" w:rsidP="00805291">
      <w:pPr>
        <w:spacing w:line="360" w:lineRule="auto"/>
        <w:ind w:firstLine="708"/>
        <w:rPr>
          <w:rFonts w:ascii="Times New Roman" w:hAnsi="Times New Roman" w:cs="Times New Roman"/>
          <w:sz w:val="24"/>
        </w:rPr>
      </w:pPr>
      <w:r>
        <w:rPr>
          <w:rFonts w:ascii="Times New Roman" w:hAnsi="Times New Roman" w:cs="Times New Roman"/>
          <w:sz w:val="24"/>
          <w:szCs w:val="24"/>
        </w:rPr>
        <w:t>Во второ</w:t>
      </w:r>
      <w:r w:rsidR="00373CF7">
        <w:rPr>
          <w:rFonts w:ascii="Times New Roman" w:hAnsi="Times New Roman" w:cs="Times New Roman"/>
          <w:sz w:val="24"/>
          <w:szCs w:val="24"/>
        </w:rPr>
        <w:t xml:space="preserve">й главе </w:t>
      </w:r>
      <w:r>
        <w:rPr>
          <w:rFonts w:ascii="Times New Roman" w:hAnsi="Times New Roman" w:cs="Times New Roman"/>
          <w:sz w:val="24"/>
          <w:szCs w:val="24"/>
        </w:rPr>
        <w:t xml:space="preserve">для </w:t>
      </w:r>
      <w:r>
        <w:rPr>
          <w:rFonts w:ascii="Times New Roman" w:hAnsi="Times New Roman" w:cs="Times New Roman"/>
          <w:sz w:val="24"/>
        </w:rPr>
        <w:t>реализации вышеперечисленных задач в качестве примера будет рассмотрен один из приоритетных инвестиционных проектов, входящих в инвестиционную программу предприятия ПАО «Ленэнерго».</w:t>
      </w:r>
    </w:p>
    <w:p w:rsidR="00665792" w:rsidRPr="00C245D2" w:rsidRDefault="00665792" w:rsidP="00C245D2">
      <w:pPr>
        <w:jc w:val="both"/>
        <w:rPr>
          <w:rFonts w:ascii="Times New Roman" w:hAnsi="Times New Roman" w:cs="Times New Roman"/>
          <w:sz w:val="24"/>
          <w:szCs w:val="24"/>
        </w:rPr>
      </w:pPr>
      <w:r w:rsidRPr="00C245D2">
        <w:rPr>
          <w:rFonts w:ascii="Times New Roman" w:hAnsi="Times New Roman" w:cs="Times New Roman"/>
          <w:sz w:val="24"/>
          <w:szCs w:val="24"/>
        </w:rPr>
        <w:br w:type="page"/>
      </w:r>
    </w:p>
    <w:p w:rsidR="006B09F2" w:rsidRPr="00C245D2" w:rsidRDefault="00665792" w:rsidP="00E82D69">
      <w:pPr>
        <w:pStyle w:val="1"/>
        <w:jc w:val="center"/>
      </w:pPr>
      <w:bookmarkStart w:id="2" w:name="_Toc450920816"/>
      <w:r w:rsidRPr="00C245D2">
        <w:lastRenderedPageBreak/>
        <w:t xml:space="preserve">Глава 1. </w:t>
      </w:r>
      <w:r w:rsidR="005A5E97">
        <w:t>Методы</w:t>
      </w:r>
      <w:r w:rsidRPr="00C245D2">
        <w:t xml:space="preserve"> оценк</w:t>
      </w:r>
      <w:r w:rsidR="005A5E97">
        <w:t>и</w:t>
      </w:r>
      <w:r w:rsidRPr="00C245D2">
        <w:t xml:space="preserve"> экономической эффективности инвестиционных проектов</w:t>
      </w:r>
      <w:r w:rsidR="005A5E97">
        <w:t xml:space="preserve"> в условиях неопределенности и риска</w:t>
      </w:r>
      <w:bookmarkEnd w:id="2"/>
    </w:p>
    <w:p w:rsidR="00665792" w:rsidRPr="00C245D2" w:rsidRDefault="00665792" w:rsidP="00C245D2">
      <w:pPr>
        <w:jc w:val="both"/>
        <w:rPr>
          <w:rFonts w:ascii="Times New Roman" w:hAnsi="Times New Roman" w:cs="Times New Roman"/>
          <w:sz w:val="24"/>
          <w:szCs w:val="24"/>
        </w:rPr>
      </w:pPr>
    </w:p>
    <w:p w:rsidR="00D53517" w:rsidRDefault="008C30CB" w:rsidP="00C245D2">
      <w:pPr>
        <w:pStyle w:val="a4"/>
        <w:spacing w:after="0"/>
        <w:ind w:firstLine="851"/>
        <w:jc w:val="both"/>
        <w:rPr>
          <w:sz w:val="24"/>
          <w:szCs w:val="24"/>
        </w:rPr>
      </w:pPr>
      <w:r>
        <w:rPr>
          <w:sz w:val="24"/>
          <w:szCs w:val="24"/>
        </w:rPr>
        <w:t>Инвестиционный проект является ключевым понятием инвестиционного процесса и инвестици</w:t>
      </w:r>
      <w:r w:rsidR="0002362E">
        <w:rPr>
          <w:sz w:val="24"/>
          <w:szCs w:val="24"/>
        </w:rPr>
        <w:t>онной деятельности, и, в соответствии с ФЗ «О</w:t>
      </w:r>
      <w:r w:rsidR="0002362E" w:rsidRPr="0002362E">
        <w:rPr>
          <w:sz w:val="24"/>
          <w:szCs w:val="24"/>
        </w:rPr>
        <w:t>б инвестицио</w:t>
      </w:r>
      <w:r w:rsidR="0002362E">
        <w:rPr>
          <w:sz w:val="24"/>
          <w:szCs w:val="24"/>
        </w:rPr>
        <w:t>нной деятельности в Российской Ф</w:t>
      </w:r>
      <w:r w:rsidR="0002362E" w:rsidRPr="0002362E">
        <w:rPr>
          <w:sz w:val="24"/>
          <w:szCs w:val="24"/>
        </w:rPr>
        <w:t>едерации,</w:t>
      </w:r>
      <w:r w:rsidR="0002362E">
        <w:rPr>
          <w:sz w:val="24"/>
          <w:szCs w:val="24"/>
        </w:rPr>
        <w:t xml:space="preserve"> </w:t>
      </w:r>
      <w:r w:rsidR="0002362E" w:rsidRPr="0002362E">
        <w:rPr>
          <w:sz w:val="24"/>
          <w:szCs w:val="24"/>
        </w:rPr>
        <w:t>осуществляемой в форме капитальных вложений</w:t>
      </w:r>
      <w:r w:rsidR="0002362E">
        <w:rPr>
          <w:sz w:val="24"/>
          <w:szCs w:val="24"/>
        </w:rPr>
        <w:t>», определяется как «</w:t>
      </w:r>
      <w:r w:rsidR="0002362E" w:rsidRPr="0002362E">
        <w:rPr>
          <w:sz w:val="24"/>
          <w:szCs w:val="24"/>
        </w:rPr>
        <w:t>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w:t>
      </w:r>
      <w:r w:rsidR="0002362E">
        <w:rPr>
          <w:sz w:val="24"/>
          <w:szCs w:val="24"/>
        </w:rPr>
        <w:t>ствлению инвестиций»</w:t>
      </w:r>
      <w:r w:rsidR="0002362E">
        <w:rPr>
          <w:rStyle w:val="a8"/>
          <w:sz w:val="24"/>
          <w:szCs w:val="24"/>
        </w:rPr>
        <w:footnoteReference w:id="1"/>
      </w:r>
      <w:r w:rsidR="0002362E">
        <w:rPr>
          <w:sz w:val="24"/>
          <w:szCs w:val="24"/>
        </w:rPr>
        <w:t>.</w:t>
      </w:r>
      <w:r w:rsidR="00B4103D">
        <w:rPr>
          <w:sz w:val="24"/>
          <w:szCs w:val="24"/>
        </w:rPr>
        <w:t xml:space="preserve"> Исходя из этого, неизбежным,</w:t>
      </w:r>
      <w:r w:rsidR="001B5518" w:rsidRPr="00C245D2">
        <w:rPr>
          <w:sz w:val="24"/>
          <w:szCs w:val="24"/>
        </w:rPr>
        <w:t xml:space="preserve"> наиболее стратегически важным </w:t>
      </w:r>
      <w:r w:rsidR="00D53517" w:rsidRPr="00C245D2">
        <w:rPr>
          <w:sz w:val="24"/>
          <w:szCs w:val="24"/>
        </w:rPr>
        <w:t xml:space="preserve">и ответственным </w:t>
      </w:r>
      <w:r w:rsidR="001B5518" w:rsidRPr="00C245D2">
        <w:rPr>
          <w:sz w:val="24"/>
          <w:szCs w:val="24"/>
        </w:rPr>
        <w:t>этапом прединвестиционной стадии инвестиционного проекта является обоснование его экономической</w:t>
      </w:r>
      <w:r w:rsidR="00B4103D">
        <w:rPr>
          <w:sz w:val="24"/>
          <w:szCs w:val="24"/>
        </w:rPr>
        <w:t xml:space="preserve"> эффективности</w:t>
      </w:r>
      <w:r w:rsidR="001B5518" w:rsidRPr="00C245D2">
        <w:rPr>
          <w:sz w:val="24"/>
          <w:szCs w:val="24"/>
        </w:rPr>
        <w:t xml:space="preserve"> на основе анализа и интегральной оценки всей и</w:t>
      </w:r>
      <w:r w:rsidR="00B4103D">
        <w:rPr>
          <w:sz w:val="24"/>
          <w:szCs w:val="24"/>
        </w:rPr>
        <w:t>меющейся технико-экономической</w:t>
      </w:r>
      <w:r w:rsidR="001B5518" w:rsidRPr="00C245D2">
        <w:rPr>
          <w:sz w:val="24"/>
          <w:szCs w:val="24"/>
        </w:rPr>
        <w:t xml:space="preserve"> и финансовой информации.</w:t>
      </w:r>
      <w:r w:rsidR="00D53517" w:rsidRPr="00C245D2">
        <w:rPr>
          <w:sz w:val="24"/>
          <w:szCs w:val="24"/>
        </w:rPr>
        <w:t xml:space="preserve"> Оценка эффективности инвестиций занимает центральное место в процессе осуществления предпринимательского решения о реализации данного проекта вложения средств в реальные активы. Обоснованность этого решения напрямую зависит от того, насколько объективно и всесторонне проведена эта оценка. </w:t>
      </w:r>
    </w:p>
    <w:p w:rsidR="008C30CB" w:rsidRDefault="008C30CB" w:rsidP="00C245D2">
      <w:pPr>
        <w:pStyle w:val="a4"/>
        <w:spacing w:after="0"/>
        <w:ind w:firstLine="851"/>
        <w:jc w:val="both"/>
        <w:rPr>
          <w:sz w:val="24"/>
          <w:szCs w:val="24"/>
        </w:rPr>
      </w:pPr>
    </w:p>
    <w:p w:rsidR="008C30CB" w:rsidRPr="00C245D2" w:rsidRDefault="008C30CB" w:rsidP="008C30CB">
      <w:pPr>
        <w:pStyle w:val="2"/>
        <w:jc w:val="center"/>
      </w:pPr>
      <w:bookmarkStart w:id="3" w:name="_Toc450920817"/>
      <w:r>
        <w:t>1.1 Традиционные методы оценки эффективности инвестиционного проекта</w:t>
      </w:r>
      <w:bookmarkEnd w:id="3"/>
    </w:p>
    <w:p w:rsidR="008C30CB" w:rsidRDefault="008C30CB" w:rsidP="00C245D2">
      <w:pPr>
        <w:pStyle w:val="a4"/>
        <w:spacing w:after="0"/>
        <w:ind w:firstLine="851"/>
        <w:jc w:val="both"/>
        <w:rPr>
          <w:sz w:val="24"/>
          <w:szCs w:val="24"/>
        </w:rPr>
      </w:pPr>
    </w:p>
    <w:p w:rsidR="00D53517" w:rsidRPr="00C245D2" w:rsidRDefault="00D53517" w:rsidP="00C245D2">
      <w:pPr>
        <w:pStyle w:val="a4"/>
        <w:spacing w:after="0"/>
        <w:ind w:firstLine="851"/>
        <w:jc w:val="both"/>
        <w:rPr>
          <w:sz w:val="24"/>
          <w:szCs w:val="24"/>
        </w:rPr>
      </w:pPr>
      <w:r w:rsidRPr="00C245D2">
        <w:rPr>
          <w:sz w:val="24"/>
          <w:szCs w:val="24"/>
        </w:rPr>
        <w:t xml:space="preserve">В основе оценки эффективности инвестиционного проекта лежит система показателей, </w:t>
      </w:r>
      <w:r w:rsidR="008F46CC" w:rsidRPr="00C245D2">
        <w:rPr>
          <w:sz w:val="24"/>
          <w:szCs w:val="24"/>
        </w:rPr>
        <w:t>соизмеряющая</w:t>
      </w:r>
      <w:r w:rsidRPr="00C245D2">
        <w:rPr>
          <w:sz w:val="24"/>
          <w:szCs w:val="24"/>
        </w:rPr>
        <w:t xml:space="preserve"> полученный эффект </w:t>
      </w:r>
      <w:r w:rsidR="008F46CC" w:rsidRPr="00C245D2">
        <w:rPr>
          <w:sz w:val="24"/>
          <w:szCs w:val="24"/>
        </w:rPr>
        <w:t>от осуществления</w:t>
      </w:r>
      <w:r w:rsidRPr="00C245D2">
        <w:rPr>
          <w:sz w:val="24"/>
          <w:szCs w:val="24"/>
        </w:rPr>
        <w:t xml:space="preserve"> проекта с его инвестиционными затратами. Эффект представляется в виде генерируемых денежных потоков </w:t>
      </w:r>
      <w:r w:rsidR="008F46CC" w:rsidRPr="00C245D2">
        <w:rPr>
          <w:sz w:val="24"/>
          <w:szCs w:val="24"/>
        </w:rPr>
        <w:t>–</w:t>
      </w:r>
      <w:r w:rsidRPr="00C245D2">
        <w:rPr>
          <w:sz w:val="24"/>
          <w:szCs w:val="24"/>
        </w:rPr>
        <w:t xml:space="preserve"> </w:t>
      </w:r>
      <w:r w:rsidR="008F46CC" w:rsidRPr="00C245D2">
        <w:rPr>
          <w:sz w:val="24"/>
          <w:szCs w:val="24"/>
        </w:rPr>
        <w:t>совокупность распределённых во времени поступлений и выплат денежных средств от реализации инвестиционного проекта.</w:t>
      </w:r>
    </w:p>
    <w:p w:rsidR="008C30CB" w:rsidRDefault="00073878" w:rsidP="008C30CB">
      <w:pPr>
        <w:pStyle w:val="a4"/>
        <w:spacing w:after="0"/>
        <w:ind w:firstLine="851"/>
        <w:jc w:val="both"/>
        <w:rPr>
          <w:sz w:val="24"/>
          <w:szCs w:val="24"/>
        </w:rPr>
      </w:pPr>
      <w:r w:rsidRPr="00C245D2">
        <w:rPr>
          <w:sz w:val="24"/>
          <w:szCs w:val="24"/>
        </w:rPr>
        <w:t>Согласно методике Мирового банка реконструкции и развития, с</w:t>
      </w:r>
      <w:r w:rsidR="008F46CC" w:rsidRPr="00C245D2">
        <w:rPr>
          <w:sz w:val="24"/>
          <w:szCs w:val="24"/>
        </w:rPr>
        <w:t xml:space="preserve">реди современных методов оценки эффективности инвестиционных </w:t>
      </w:r>
      <w:r w:rsidR="00995AA3" w:rsidRPr="00C245D2">
        <w:rPr>
          <w:sz w:val="24"/>
          <w:szCs w:val="24"/>
        </w:rPr>
        <w:t>проектов по методу учета фактора времени в расчетах</w:t>
      </w:r>
      <w:r w:rsidR="008F46CC" w:rsidRPr="00C245D2">
        <w:rPr>
          <w:sz w:val="24"/>
          <w:szCs w:val="24"/>
        </w:rPr>
        <w:t xml:space="preserve"> можно выделить две груп</w:t>
      </w:r>
      <w:r w:rsidR="008C30CB">
        <w:rPr>
          <w:sz w:val="24"/>
          <w:szCs w:val="24"/>
        </w:rPr>
        <w:t>пы: статические и динамические.</w:t>
      </w:r>
    </w:p>
    <w:p w:rsidR="00166CEC" w:rsidRPr="00C245D2" w:rsidRDefault="00166CEC" w:rsidP="008C30CB">
      <w:pPr>
        <w:pStyle w:val="a4"/>
        <w:spacing w:after="0"/>
        <w:ind w:firstLine="851"/>
        <w:jc w:val="both"/>
        <w:rPr>
          <w:sz w:val="24"/>
          <w:szCs w:val="24"/>
        </w:rPr>
      </w:pPr>
      <w:r w:rsidRPr="00C245D2">
        <w:rPr>
          <w:sz w:val="24"/>
          <w:szCs w:val="24"/>
        </w:rPr>
        <w:t>Характерной особенностью динамических методов является использование процедуры дисконтирования разновременных результатов и затрат, связанных с инвестиционным проектом.</w:t>
      </w:r>
      <w:r w:rsidRPr="00C245D2">
        <w:rPr>
          <w:sz w:val="24"/>
          <w:szCs w:val="24"/>
        </w:rPr>
        <w:tab/>
      </w:r>
    </w:p>
    <w:p w:rsidR="00600C0E" w:rsidRPr="00C245D2" w:rsidRDefault="00600C0E" w:rsidP="00C245D2">
      <w:pPr>
        <w:pStyle w:val="21"/>
        <w:tabs>
          <w:tab w:val="center" w:pos="4677"/>
        </w:tabs>
        <w:spacing w:after="0"/>
        <w:ind w:left="0" w:firstLine="851"/>
        <w:jc w:val="both"/>
        <w:rPr>
          <w:sz w:val="24"/>
          <w:szCs w:val="24"/>
        </w:rPr>
      </w:pPr>
      <w:r w:rsidRPr="00C245D2">
        <w:rPr>
          <w:sz w:val="24"/>
          <w:szCs w:val="24"/>
        </w:rPr>
        <w:lastRenderedPageBreak/>
        <w:t>Процедура дисконтирования разновременно поступающих денежных потоков производится при помощи ставки дисконта, корректно</w:t>
      </w:r>
      <w:r w:rsidR="005D209A" w:rsidRPr="00C245D2">
        <w:rPr>
          <w:sz w:val="24"/>
          <w:szCs w:val="24"/>
        </w:rPr>
        <w:t>е обоснование которой напрямую влияет</w:t>
      </w:r>
      <w:r w:rsidRPr="00C245D2">
        <w:rPr>
          <w:sz w:val="24"/>
          <w:szCs w:val="24"/>
        </w:rPr>
        <w:t xml:space="preserve"> на результаты расчетов. </w:t>
      </w:r>
    </w:p>
    <w:p w:rsidR="00600C0E" w:rsidRPr="00C245D2" w:rsidRDefault="00600C0E" w:rsidP="00C245D2">
      <w:pPr>
        <w:pStyle w:val="21"/>
        <w:tabs>
          <w:tab w:val="center" w:pos="4677"/>
        </w:tabs>
        <w:ind w:left="0" w:firstLine="851"/>
        <w:jc w:val="both"/>
        <w:rPr>
          <w:sz w:val="24"/>
          <w:szCs w:val="24"/>
        </w:rPr>
      </w:pPr>
      <w:r w:rsidRPr="00C245D2">
        <w:rPr>
          <w:sz w:val="24"/>
          <w:szCs w:val="24"/>
        </w:rPr>
        <w:t>Экономический смысл ставки дисконтирования заключается в том, что это минимальная альтернативная (сопоставимая по риску) доходность на вложенный капитал, требуемая инвесторами. Таким образом, она должна включать минимальный гарантированный уровень доходности, не зависящий от направлений инвестиционных вложений, коррекцию на инфляцию, премию за риск конкретного инвестирования. Все это так или иначе учитывается в основных подходах формирования ставки дисконта:</w:t>
      </w:r>
    </w:p>
    <w:p w:rsidR="00600C0E" w:rsidRPr="00C245D2" w:rsidRDefault="00600C0E" w:rsidP="00C245D2">
      <w:pPr>
        <w:pStyle w:val="21"/>
        <w:numPr>
          <w:ilvl w:val="0"/>
          <w:numId w:val="10"/>
        </w:numPr>
        <w:tabs>
          <w:tab w:val="center" w:pos="4677"/>
        </w:tabs>
        <w:spacing w:after="0"/>
        <w:jc w:val="both"/>
        <w:rPr>
          <w:sz w:val="24"/>
          <w:szCs w:val="24"/>
        </w:rPr>
      </w:pPr>
      <w:r w:rsidRPr="00C245D2">
        <w:rPr>
          <w:sz w:val="24"/>
          <w:szCs w:val="24"/>
        </w:rPr>
        <w:t xml:space="preserve">метод экспертных оценок – определяется на основе мнения специалистов в области инвестиционного анализа, применяется в случае неполноты или отсутствия информации, невозможностью формализовать оцениваемые объекты и т.д; </w:t>
      </w:r>
    </w:p>
    <w:p w:rsidR="00600C0E" w:rsidRPr="00C245D2" w:rsidRDefault="00600C0E" w:rsidP="00C245D2">
      <w:pPr>
        <w:pStyle w:val="21"/>
        <w:numPr>
          <w:ilvl w:val="0"/>
          <w:numId w:val="10"/>
        </w:numPr>
        <w:tabs>
          <w:tab w:val="center" w:pos="4677"/>
        </w:tabs>
        <w:spacing w:after="0"/>
        <w:jc w:val="both"/>
        <w:rPr>
          <w:sz w:val="24"/>
          <w:szCs w:val="24"/>
        </w:rPr>
      </w:pPr>
      <w:r w:rsidRPr="00C245D2">
        <w:rPr>
          <w:sz w:val="24"/>
          <w:szCs w:val="24"/>
        </w:rPr>
        <w:t>нормативный метод – определяется через использование расчетных или рекомендуемых нормативных ставок в зависимости от характеристик проекта (вида, размера и т.д.), находит применение в регламентации стратегии инвестиционной деятельности крупных компаний, холдингов, а также в требованиях к осуществлению инвестиций за счет бюджетного софинансирования органами государственного или муниципального управления;</w:t>
      </w:r>
    </w:p>
    <w:p w:rsidR="00600C0E" w:rsidRPr="00C245D2" w:rsidRDefault="00600C0E" w:rsidP="00C245D2">
      <w:pPr>
        <w:pStyle w:val="21"/>
        <w:numPr>
          <w:ilvl w:val="0"/>
          <w:numId w:val="10"/>
        </w:numPr>
        <w:tabs>
          <w:tab w:val="center" w:pos="4677"/>
        </w:tabs>
        <w:spacing w:after="0"/>
        <w:jc w:val="both"/>
        <w:rPr>
          <w:sz w:val="24"/>
          <w:szCs w:val="24"/>
        </w:rPr>
      </w:pPr>
      <w:r w:rsidRPr="00C245D2">
        <w:rPr>
          <w:sz w:val="24"/>
          <w:szCs w:val="24"/>
        </w:rPr>
        <w:t>кумулятивный метод – наилучшим образом учитывает все виды как специфических, так и общеэкономических и отраслевых инвестиционных рисков, используется, когда фондовый рынок не развит или акции компании не обращаются на рынке, а предприятие-аналог найти невозможно;</w:t>
      </w:r>
    </w:p>
    <w:p w:rsidR="00600C0E" w:rsidRPr="00C245D2" w:rsidRDefault="00600C0E" w:rsidP="00C245D2">
      <w:pPr>
        <w:pStyle w:val="21"/>
        <w:numPr>
          <w:ilvl w:val="0"/>
          <w:numId w:val="10"/>
        </w:numPr>
        <w:tabs>
          <w:tab w:val="center" w:pos="4677"/>
        </w:tabs>
        <w:spacing w:after="0"/>
        <w:jc w:val="both"/>
        <w:rPr>
          <w:sz w:val="24"/>
          <w:szCs w:val="24"/>
        </w:rPr>
      </w:pPr>
      <w:r w:rsidRPr="00C245D2">
        <w:rPr>
          <w:sz w:val="24"/>
          <w:szCs w:val="24"/>
        </w:rPr>
        <w:t xml:space="preserve">метод стоимости собственного капитала – используется только стоимость собственного </w:t>
      </w:r>
      <w:r w:rsidR="005B3CB7" w:rsidRPr="00C245D2">
        <w:rPr>
          <w:sz w:val="24"/>
          <w:szCs w:val="24"/>
        </w:rPr>
        <w:t>капитала</w:t>
      </w:r>
      <w:r w:rsidRPr="00C245D2">
        <w:rPr>
          <w:sz w:val="24"/>
          <w:szCs w:val="24"/>
        </w:rPr>
        <w:t xml:space="preserve">, </w:t>
      </w:r>
      <w:r w:rsidR="005B3CB7" w:rsidRPr="00C245D2">
        <w:rPr>
          <w:sz w:val="24"/>
          <w:szCs w:val="24"/>
        </w:rPr>
        <w:t>которая</w:t>
      </w:r>
      <w:r w:rsidRPr="00C245D2">
        <w:rPr>
          <w:sz w:val="24"/>
          <w:szCs w:val="24"/>
        </w:rPr>
        <w:t xml:space="preserve"> может быть </w:t>
      </w:r>
      <w:r w:rsidR="005B3CB7" w:rsidRPr="00C245D2">
        <w:rPr>
          <w:sz w:val="24"/>
          <w:szCs w:val="24"/>
        </w:rPr>
        <w:t>рассчитана</w:t>
      </w:r>
      <w:r w:rsidRPr="00C245D2">
        <w:rPr>
          <w:sz w:val="24"/>
          <w:szCs w:val="24"/>
        </w:rPr>
        <w:t xml:space="preserve"> такими методами, как модель </w:t>
      </w:r>
      <w:r w:rsidR="002019B2">
        <w:rPr>
          <w:sz w:val="24"/>
          <w:szCs w:val="24"/>
          <w:lang w:val="en-US"/>
        </w:rPr>
        <w:t>CA</w:t>
      </w:r>
      <w:r w:rsidRPr="00C245D2">
        <w:rPr>
          <w:sz w:val="24"/>
          <w:szCs w:val="24"/>
          <w:lang w:val="en-US"/>
        </w:rPr>
        <w:t>P</w:t>
      </w:r>
      <w:r w:rsidR="002019B2">
        <w:rPr>
          <w:sz w:val="24"/>
          <w:szCs w:val="24"/>
        </w:rPr>
        <w:t>М</w:t>
      </w:r>
      <w:r w:rsidRPr="00C245D2">
        <w:rPr>
          <w:sz w:val="24"/>
          <w:szCs w:val="24"/>
        </w:rPr>
        <w:t xml:space="preserve">, модель дисконтирования дивидендов, различные мультипликаторы и т.д, используется, когда предприятие использует </w:t>
      </w:r>
      <w:r w:rsidR="005B3CB7" w:rsidRPr="00C245D2">
        <w:rPr>
          <w:sz w:val="24"/>
          <w:szCs w:val="24"/>
        </w:rPr>
        <w:t>только</w:t>
      </w:r>
      <w:r w:rsidRPr="00C245D2">
        <w:rPr>
          <w:sz w:val="24"/>
          <w:szCs w:val="24"/>
        </w:rPr>
        <w:t xml:space="preserve"> собственный капитал;</w:t>
      </w:r>
    </w:p>
    <w:p w:rsidR="00600C0E" w:rsidRPr="00C245D2" w:rsidRDefault="00600C0E" w:rsidP="00C245D2">
      <w:pPr>
        <w:pStyle w:val="21"/>
        <w:numPr>
          <w:ilvl w:val="0"/>
          <w:numId w:val="10"/>
        </w:numPr>
        <w:tabs>
          <w:tab w:val="center" w:pos="4677"/>
        </w:tabs>
        <w:spacing w:after="0"/>
        <w:jc w:val="both"/>
        <w:rPr>
          <w:sz w:val="24"/>
          <w:szCs w:val="24"/>
        </w:rPr>
      </w:pPr>
      <w:r w:rsidRPr="00C245D2">
        <w:rPr>
          <w:sz w:val="24"/>
          <w:szCs w:val="24"/>
        </w:rPr>
        <w:t>метод средневзвешенной стоимости капитала (WACC) – средневзвешенная стоимость каждой единицы дополнительно привлекаемых средств для финансирования будущих проектов</w:t>
      </w:r>
      <w:r w:rsidR="005A556D" w:rsidRPr="00C245D2">
        <w:rPr>
          <w:rStyle w:val="a8"/>
          <w:sz w:val="24"/>
          <w:szCs w:val="24"/>
        </w:rPr>
        <w:footnoteReference w:id="2"/>
      </w:r>
      <w:r w:rsidRPr="00C245D2">
        <w:rPr>
          <w:sz w:val="24"/>
          <w:szCs w:val="24"/>
        </w:rPr>
        <w:t>.</w:t>
      </w:r>
    </w:p>
    <w:p w:rsidR="00BA4B63" w:rsidRPr="00C245D2" w:rsidRDefault="00600C0E" w:rsidP="00C245D2">
      <w:pPr>
        <w:pStyle w:val="21"/>
        <w:tabs>
          <w:tab w:val="center" w:pos="4677"/>
        </w:tabs>
        <w:spacing w:after="0"/>
        <w:ind w:left="0" w:firstLine="851"/>
        <w:jc w:val="both"/>
        <w:rPr>
          <w:sz w:val="24"/>
          <w:szCs w:val="24"/>
        </w:rPr>
      </w:pPr>
      <w:r w:rsidRPr="00C245D2">
        <w:rPr>
          <w:sz w:val="24"/>
          <w:szCs w:val="24"/>
        </w:rPr>
        <w:t xml:space="preserve">Каждый из вышеперечисленных методов имеет как свои слабые, так и сильные стороны, так что при выборе ставки дисконта для конкретного инвестиционного проекта следует исходить из его специфических особенностей, а так же для получения более точных </w:t>
      </w:r>
      <w:r w:rsidRPr="00C245D2">
        <w:rPr>
          <w:sz w:val="24"/>
          <w:szCs w:val="24"/>
        </w:rPr>
        <w:lastRenderedPageBreak/>
        <w:t xml:space="preserve">усредненных расчетов пользоваться сразу несколькими методами формирования ставки дисконтирования. </w:t>
      </w:r>
    </w:p>
    <w:p w:rsidR="002019B2" w:rsidRDefault="002019B2" w:rsidP="00C245D2">
      <w:pPr>
        <w:pStyle w:val="21"/>
        <w:tabs>
          <w:tab w:val="center" w:pos="4677"/>
        </w:tabs>
        <w:spacing w:after="0"/>
        <w:ind w:left="0" w:firstLine="851"/>
        <w:jc w:val="both"/>
        <w:rPr>
          <w:sz w:val="24"/>
          <w:szCs w:val="24"/>
        </w:rPr>
      </w:pPr>
    </w:p>
    <w:p w:rsidR="0099059D" w:rsidRPr="00C245D2" w:rsidRDefault="009B4610" w:rsidP="00C245D2">
      <w:pPr>
        <w:pStyle w:val="21"/>
        <w:tabs>
          <w:tab w:val="center" w:pos="4677"/>
        </w:tabs>
        <w:spacing w:after="0"/>
        <w:ind w:left="0" w:firstLine="851"/>
        <w:jc w:val="both"/>
        <w:rPr>
          <w:sz w:val="24"/>
          <w:szCs w:val="24"/>
        </w:rPr>
      </w:pPr>
      <w:r w:rsidRPr="00C245D2">
        <w:rPr>
          <w:sz w:val="24"/>
          <w:szCs w:val="24"/>
        </w:rPr>
        <w:t>Современные динамические методы</w:t>
      </w:r>
      <w:r w:rsidR="005A556D" w:rsidRPr="00C245D2">
        <w:rPr>
          <w:sz w:val="24"/>
          <w:szCs w:val="24"/>
        </w:rPr>
        <w:t xml:space="preserve"> оценки эффективности инвестиционных проектов</w:t>
      </w:r>
      <w:r w:rsidRPr="00C245D2">
        <w:rPr>
          <w:sz w:val="24"/>
          <w:szCs w:val="24"/>
        </w:rPr>
        <w:t xml:space="preserve"> вошли в нашу экономику в 1994 в рамках Методических рекомендаций, которые практически представляли упрощённую версию методики ЮНИДО. </w:t>
      </w:r>
      <w:r w:rsidR="00166CEC" w:rsidRPr="00C245D2">
        <w:rPr>
          <w:sz w:val="24"/>
          <w:szCs w:val="24"/>
        </w:rPr>
        <w:t>В документе «</w:t>
      </w:r>
      <w:r w:rsidR="0099059D" w:rsidRPr="00C245D2">
        <w:rPr>
          <w:sz w:val="24"/>
          <w:szCs w:val="24"/>
        </w:rPr>
        <w:t>Методические рекомендации по оценке эффективности</w:t>
      </w:r>
      <w:r w:rsidR="008D2EE0" w:rsidRPr="00C245D2">
        <w:rPr>
          <w:sz w:val="24"/>
          <w:szCs w:val="24"/>
        </w:rPr>
        <w:t xml:space="preserve"> и</w:t>
      </w:r>
      <w:r w:rsidR="0099059D" w:rsidRPr="00C245D2">
        <w:rPr>
          <w:sz w:val="24"/>
          <w:szCs w:val="24"/>
        </w:rPr>
        <w:t>нвестиционных проектов</w:t>
      </w:r>
      <w:r w:rsidR="00166CEC" w:rsidRPr="00C245D2">
        <w:rPr>
          <w:sz w:val="24"/>
          <w:szCs w:val="24"/>
        </w:rPr>
        <w:t>»</w:t>
      </w:r>
      <w:r w:rsidR="0099059D" w:rsidRPr="00C245D2">
        <w:rPr>
          <w:rStyle w:val="a8"/>
          <w:sz w:val="24"/>
          <w:szCs w:val="24"/>
        </w:rPr>
        <w:footnoteReference w:id="3"/>
      </w:r>
      <w:r w:rsidR="00166CEC" w:rsidRPr="00C245D2">
        <w:rPr>
          <w:sz w:val="24"/>
          <w:szCs w:val="24"/>
        </w:rPr>
        <w:t xml:space="preserve"> в</w:t>
      </w:r>
      <w:r w:rsidR="0099059D" w:rsidRPr="00C245D2">
        <w:rPr>
          <w:sz w:val="24"/>
          <w:szCs w:val="24"/>
        </w:rPr>
        <w:t xml:space="preserve"> качестве основных показателей, используемых для расчетов эффективнос</w:t>
      </w:r>
      <w:r w:rsidR="00166CEC" w:rsidRPr="00C245D2">
        <w:rPr>
          <w:sz w:val="24"/>
          <w:szCs w:val="24"/>
        </w:rPr>
        <w:t>ти ИП, ре</w:t>
      </w:r>
      <w:r w:rsidR="0099059D" w:rsidRPr="00C245D2">
        <w:rPr>
          <w:sz w:val="24"/>
          <w:szCs w:val="24"/>
        </w:rPr>
        <w:t>комендуются:</w:t>
      </w:r>
    </w:p>
    <w:p w:rsidR="00166CEC" w:rsidRPr="00C245D2" w:rsidRDefault="0099059D" w:rsidP="00C245D2">
      <w:pPr>
        <w:pStyle w:val="21"/>
        <w:numPr>
          <w:ilvl w:val="0"/>
          <w:numId w:val="8"/>
        </w:numPr>
        <w:tabs>
          <w:tab w:val="center" w:pos="4677"/>
        </w:tabs>
        <w:spacing w:line="276" w:lineRule="auto"/>
        <w:jc w:val="both"/>
        <w:rPr>
          <w:sz w:val="24"/>
          <w:szCs w:val="24"/>
        </w:rPr>
      </w:pPr>
      <w:r w:rsidRPr="00C245D2">
        <w:rPr>
          <w:sz w:val="24"/>
          <w:szCs w:val="24"/>
        </w:rPr>
        <w:t>чистый доход;</w:t>
      </w:r>
    </w:p>
    <w:p w:rsidR="0099059D" w:rsidRPr="00C245D2" w:rsidRDefault="0099059D" w:rsidP="002019B2">
      <w:pPr>
        <w:pStyle w:val="21"/>
        <w:numPr>
          <w:ilvl w:val="0"/>
          <w:numId w:val="8"/>
        </w:numPr>
        <w:tabs>
          <w:tab w:val="center" w:pos="4677"/>
        </w:tabs>
        <w:spacing w:line="276" w:lineRule="auto"/>
        <w:jc w:val="both"/>
        <w:rPr>
          <w:sz w:val="24"/>
          <w:szCs w:val="24"/>
        </w:rPr>
      </w:pPr>
      <w:r w:rsidRPr="00C245D2">
        <w:rPr>
          <w:sz w:val="24"/>
          <w:szCs w:val="24"/>
        </w:rPr>
        <w:t>чистый дисконтированный доход</w:t>
      </w:r>
      <w:r w:rsidR="002019B2">
        <w:rPr>
          <w:sz w:val="24"/>
          <w:szCs w:val="24"/>
        </w:rPr>
        <w:t xml:space="preserve"> (чистая текущая стоимость, ч</w:t>
      </w:r>
      <w:r w:rsidR="002019B2" w:rsidRPr="002019B2">
        <w:rPr>
          <w:sz w:val="24"/>
          <w:szCs w:val="24"/>
        </w:rPr>
        <w:t>истая приведенная стоимость</w:t>
      </w:r>
      <w:r w:rsidR="002019B2">
        <w:rPr>
          <w:sz w:val="24"/>
          <w:szCs w:val="24"/>
        </w:rPr>
        <w:t xml:space="preserve"> – в зависимости от перевода)</w:t>
      </w:r>
      <w:r w:rsidRPr="00C245D2">
        <w:rPr>
          <w:sz w:val="24"/>
          <w:szCs w:val="24"/>
        </w:rPr>
        <w:t>;</w:t>
      </w:r>
    </w:p>
    <w:p w:rsidR="0099059D" w:rsidRPr="00C245D2" w:rsidRDefault="0099059D" w:rsidP="00C245D2">
      <w:pPr>
        <w:pStyle w:val="21"/>
        <w:numPr>
          <w:ilvl w:val="0"/>
          <w:numId w:val="8"/>
        </w:numPr>
        <w:tabs>
          <w:tab w:val="center" w:pos="4677"/>
        </w:tabs>
        <w:spacing w:line="276" w:lineRule="auto"/>
        <w:jc w:val="both"/>
        <w:rPr>
          <w:sz w:val="24"/>
          <w:szCs w:val="24"/>
        </w:rPr>
      </w:pPr>
      <w:r w:rsidRPr="00C245D2">
        <w:rPr>
          <w:sz w:val="24"/>
          <w:szCs w:val="24"/>
        </w:rPr>
        <w:t>внутренняя норма доходности;</w:t>
      </w:r>
    </w:p>
    <w:p w:rsidR="0099059D" w:rsidRPr="00C245D2" w:rsidRDefault="0099059D" w:rsidP="00C245D2">
      <w:pPr>
        <w:pStyle w:val="21"/>
        <w:numPr>
          <w:ilvl w:val="0"/>
          <w:numId w:val="8"/>
        </w:numPr>
        <w:tabs>
          <w:tab w:val="center" w:pos="4677"/>
        </w:tabs>
        <w:spacing w:line="276" w:lineRule="auto"/>
        <w:jc w:val="both"/>
        <w:rPr>
          <w:sz w:val="24"/>
          <w:szCs w:val="24"/>
        </w:rPr>
      </w:pPr>
      <w:r w:rsidRPr="00C245D2">
        <w:rPr>
          <w:sz w:val="24"/>
          <w:szCs w:val="24"/>
        </w:rPr>
        <w:t>потребность в дополнительном финансирова</w:t>
      </w:r>
      <w:r w:rsidR="00166CEC" w:rsidRPr="00C245D2">
        <w:rPr>
          <w:sz w:val="24"/>
          <w:szCs w:val="24"/>
        </w:rPr>
        <w:t>нии (другие названия — ПФ, стои</w:t>
      </w:r>
      <w:r w:rsidRPr="00C245D2">
        <w:rPr>
          <w:sz w:val="24"/>
          <w:szCs w:val="24"/>
        </w:rPr>
        <w:t>мость проекта, капитал риска);</w:t>
      </w:r>
    </w:p>
    <w:p w:rsidR="0099059D" w:rsidRPr="00C245D2" w:rsidRDefault="0099059D" w:rsidP="00C245D2">
      <w:pPr>
        <w:pStyle w:val="21"/>
        <w:numPr>
          <w:ilvl w:val="0"/>
          <w:numId w:val="8"/>
        </w:numPr>
        <w:tabs>
          <w:tab w:val="center" w:pos="4677"/>
        </w:tabs>
        <w:spacing w:line="276" w:lineRule="auto"/>
        <w:jc w:val="both"/>
        <w:rPr>
          <w:sz w:val="24"/>
          <w:szCs w:val="24"/>
        </w:rPr>
      </w:pPr>
      <w:r w:rsidRPr="00C245D2">
        <w:rPr>
          <w:sz w:val="24"/>
          <w:szCs w:val="24"/>
        </w:rPr>
        <w:t>индексы доходности затрат и инвестиций;</w:t>
      </w:r>
    </w:p>
    <w:p w:rsidR="0099059D" w:rsidRPr="00C245D2" w:rsidRDefault="0099059D" w:rsidP="00C245D2">
      <w:pPr>
        <w:pStyle w:val="21"/>
        <w:numPr>
          <w:ilvl w:val="0"/>
          <w:numId w:val="8"/>
        </w:numPr>
        <w:tabs>
          <w:tab w:val="center" w:pos="4677"/>
        </w:tabs>
        <w:spacing w:line="276" w:lineRule="auto"/>
        <w:jc w:val="both"/>
        <w:rPr>
          <w:sz w:val="24"/>
          <w:szCs w:val="24"/>
        </w:rPr>
      </w:pPr>
      <w:r w:rsidRPr="00C245D2">
        <w:rPr>
          <w:sz w:val="24"/>
          <w:szCs w:val="24"/>
        </w:rPr>
        <w:t>срок окупаемости;</w:t>
      </w:r>
    </w:p>
    <w:p w:rsidR="00166CEC" w:rsidRPr="00C245D2" w:rsidRDefault="0099059D" w:rsidP="00C245D2">
      <w:pPr>
        <w:pStyle w:val="21"/>
        <w:numPr>
          <w:ilvl w:val="0"/>
          <w:numId w:val="8"/>
        </w:numPr>
        <w:tabs>
          <w:tab w:val="center" w:pos="4677"/>
        </w:tabs>
        <w:spacing w:line="276" w:lineRule="auto"/>
        <w:jc w:val="both"/>
        <w:rPr>
          <w:sz w:val="24"/>
          <w:szCs w:val="24"/>
        </w:rPr>
      </w:pPr>
      <w:r w:rsidRPr="00C245D2">
        <w:rPr>
          <w:sz w:val="24"/>
          <w:szCs w:val="24"/>
        </w:rPr>
        <w:t>группа показателей, характеризующих финансо</w:t>
      </w:r>
      <w:r w:rsidR="00166CEC" w:rsidRPr="00C245D2">
        <w:rPr>
          <w:sz w:val="24"/>
          <w:szCs w:val="24"/>
        </w:rPr>
        <w:t>вое состояние предприятия — уча</w:t>
      </w:r>
      <w:r w:rsidRPr="00C245D2">
        <w:rPr>
          <w:sz w:val="24"/>
          <w:szCs w:val="24"/>
        </w:rPr>
        <w:t xml:space="preserve">стника проекта. </w:t>
      </w:r>
    </w:p>
    <w:p w:rsidR="006B30DF" w:rsidRPr="00C245D2" w:rsidRDefault="006F04D4" w:rsidP="00C245D2">
      <w:pPr>
        <w:pStyle w:val="21"/>
        <w:tabs>
          <w:tab w:val="center" w:pos="4677"/>
        </w:tabs>
        <w:spacing w:after="0"/>
        <w:ind w:left="0" w:firstLine="851"/>
        <w:jc w:val="both"/>
        <w:rPr>
          <w:sz w:val="24"/>
          <w:szCs w:val="24"/>
        </w:rPr>
      </w:pPr>
      <w:r w:rsidRPr="00C245D2">
        <w:rPr>
          <w:sz w:val="24"/>
          <w:szCs w:val="24"/>
        </w:rPr>
        <w:t>Однако данные рекомендации не описывают конкретные алгоритмы оценки</w:t>
      </w:r>
      <w:r w:rsidR="006B30DF" w:rsidRPr="00C245D2">
        <w:rPr>
          <w:sz w:val="24"/>
          <w:szCs w:val="24"/>
        </w:rPr>
        <w:t xml:space="preserve"> </w:t>
      </w:r>
      <w:r w:rsidRPr="00C245D2">
        <w:rPr>
          <w:sz w:val="24"/>
          <w:szCs w:val="24"/>
        </w:rPr>
        <w:t>эффективности во всех случаях, которые могут встретиться на практике. Для учета</w:t>
      </w:r>
      <w:r w:rsidR="006B30DF" w:rsidRPr="00C245D2">
        <w:rPr>
          <w:sz w:val="24"/>
          <w:szCs w:val="24"/>
        </w:rPr>
        <w:t xml:space="preserve"> </w:t>
      </w:r>
      <w:r w:rsidRPr="00C245D2">
        <w:rPr>
          <w:sz w:val="24"/>
          <w:szCs w:val="24"/>
        </w:rPr>
        <w:t>особенностей оценки отдельных типов ИП органы государственного управления и</w:t>
      </w:r>
      <w:r w:rsidR="006B30DF" w:rsidRPr="00C245D2">
        <w:rPr>
          <w:sz w:val="24"/>
          <w:szCs w:val="24"/>
        </w:rPr>
        <w:t xml:space="preserve"> </w:t>
      </w:r>
      <w:r w:rsidRPr="00C245D2">
        <w:rPr>
          <w:sz w:val="24"/>
          <w:szCs w:val="24"/>
        </w:rPr>
        <w:t>коммерческие структуры могут разрабатывать соответствующие методические документы,</w:t>
      </w:r>
      <w:r w:rsidR="006B30DF" w:rsidRPr="00C245D2">
        <w:rPr>
          <w:sz w:val="24"/>
          <w:szCs w:val="24"/>
        </w:rPr>
        <w:t xml:space="preserve"> </w:t>
      </w:r>
      <w:r w:rsidRPr="00C245D2">
        <w:rPr>
          <w:sz w:val="24"/>
          <w:szCs w:val="24"/>
        </w:rPr>
        <w:t>базируясь на общих положениях Рекомендаций, на статьи 77 и 78 Федеральный закон «Об</w:t>
      </w:r>
      <w:r w:rsidR="006B30DF" w:rsidRPr="00C245D2">
        <w:rPr>
          <w:sz w:val="24"/>
          <w:szCs w:val="24"/>
        </w:rPr>
        <w:t xml:space="preserve"> </w:t>
      </w:r>
      <w:r w:rsidRPr="00C245D2">
        <w:rPr>
          <w:sz w:val="24"/>
          <w:szCs w:val="24"/>
        </w:rPr>
        <w:t>охране окружающей среды» и на ст. 15 Гражданского кодекса Российской Федерации</w:t>
      </w:r>
      <w:r w:rsidR="006B30DF" w:rsidRPr="00C245D2">
        <w:rPr>
          <w:rStyle w:val="a8"/>
          <w:sz w:val="24"/>
          <w:szCs w:val="24"/>
        </w:rPr>
        <w:footnoteReference w:id="4"/>
      </w:r>
      <w:r w:rsidRPr="00C245D2">
        <w:rPr>
          <w:sz w:val="24"/>
          <w:szCs w:val="24"/>
        </w:rPr>
        <w:t xml:space="preserve">. </w:t>
      </w:r>
      <w:r w:rsidR="00DA7939" w:rsidRPr="00C245D2">
        <w:rPr>
          <w:sz w:val="24"/>
          <w:szCs w:val="24"/>
        </w:rPr>
        <w:t xml:space="preserve">Исходя из этого, предприятие </w:t>
      </w:r>
      <w:r w:rsidR="009B4610" w:rsidRPr="00C245D2">
        <w:rPr>
          <w:sz w:val="24"/>
          <w:szCs w:val="24"/>
        </w:rPr>
        <w:t xml:space="preserve">может </w:t>
      </w:r>
      <w:r w:rsidR="00DA7939" w:rsidRPr="00C245D2">
        <w:rPr>
          <w:sz w:val="24"/>
          <w:szCs w:val="24"/>
        </w:rPr>
        <w:t>само</w:t>
      </w:r>
      <w:r w:rsidR="009B4610" w:rsidRPr="00C245D2">
        <w:rPr>
          <w:sz w:val="24"/>
          <w:szCs w:val="24"/>
        </w:rPr>
        <w:t>стоятельно</w:t>
      </w:r>
      <w:r w:rsidR="00DA7939" w:rsidRPr="00C245D2">
        <w:rPr>
          <w:sz w:val="24"/>
          <w:szCs w:val="24"/>
        </w:rPr>
        <w:t xml:space="preserve"> решать, какие методы стоит использовать.</w:t>
      </w:r>
    </w:p>
    <w:p w:rsidR="00DA7939" w:rsidRPr="00C245D2" w:rsidRDefault="008976C8" w:rsidP="00C245D2">
      <w:pPr>
        <w:pStyle w:val="21"/>
        <w:tabs>
          <w:tab w:val="center" w:pos="4677"/>
        </w:tabs>
        <w:ind w:left="0" w:firstLine="851"/>
        <w:jc w:val="both"/>
        <w:rPr>
          <w:sz w:val="24"/>
          <w:szCs w:val="24"/>
        </w:rPr>
      </w:pPr>
      <w:r w:rsidRPr="00C245D2">
        <w:rPr>
          <w:sz w:val="24"/>
          <w:szCs w:val="24"/>
        </w:rPr>
        <w:tab/>
        <w:t>К наиболее популярным динамическим показателям одноименных методов оценки эффективности инвестиционных проектов относятся:</w:t>
      </w:r>
    </w:p>
    <w:p w:rsidR="008976C8" w:rsidRPr="00C245D2" w:rsidRDefault="008976C8" w:rsidP="00C245D2">
      <w:pPr>
        <w:pStyle w:val="21"/>
        <w:numPr>
          <w:ilvl w:val="0"/>
          <w:numId w:val="9"/>
        </w:numPr>
        <w:tabs>
          <w:tab w:val="center" w:pos="4677"/>
        </w:tabs>
        <w:jc w:val="both"/>
        <w:rPr>
          <w:sz w:val="24"/>
          <w:szCs w:val="24"/>
        </w:rPr>
      </w:pPr>
      <w:r w:rsidRPr="00C245D2">
        <w:rPr>
          <w:sz w:val="24"/>
          <w:szCs w:val="24"/>
        </w:rPr>
        <w:lastRenderedPageBreak/>
        <w:t>чистая текущая стоимость NPV (Net Present Value)</w:t>
      </w:r>
    </w:p>
    <w:p w:rsidR="008976C8" w:rsidRPr="00C245D2" w:rsidRDefault="008976C8" w:rsidP="00C245D2">
      <w:pPr>
        <w:pStyle w:val="21"/>
        <w:numPr>
          <w:ilvl w:val="0"/>
          <w:numId w:val="9"/>
        </w:numPr>
        <w:tabs>
          <w:tab w:val="center" w:pos="4677"/>
        </w:tabs>
        <w:jc w:val="both"/>
        <w:rPr>
          <w:sz w:val="24"/>
          <w:szCs w:val="24"/>
          <w:lang w:val="en-US"/>
        </w:rPr>
      </w:pPr>
      <w:r w:rsidRPr="00C245D2">
        <w:rPr>
          <w:sz w:val="24"/>
          <w:szCs w:val="24"/>
        </w:rPr>
        <w:t>внутренняя</w:t>
      </w:r>
      <w:r w:rsidRPr="00C245D2">
        <w:rPr>
          <w:sz w:val="24"/>
          <w:szCs w:val="24"/>
          <w:lang w:val="en-US"/>
        </w:rPr>
        <w:t xml:space="preserve"> </w:t>
      </w:r>
      <w:r w:rsidRPr="00C245D2">
        <w:rPr>
          <w:sz w:val="24"/>
          <w:szCs w:val="24"/>
        </w:rPr>
        <w:t>норма</w:t>
      </w:r>
      <w:r w:rsidRPr="00C245D2">
        <w:rPr>
          <w:sz w:val="24"/>
          <w:szCs w:val="24"/>
          <w:lang w:val="en-US"/>
        </w:rPr>
        <w:t xml:space="preserve"> </w:t>
      </w:r>
      <w:r w:rsidRPr="00C245D2">
        <w:rPr>
          <w:sz w:val="24"/>
          <w:szCs w:val="24"/>
        </w:rPr>
        <w:t>рентабельности</w:t>
      </w:r>
      <w:r w:rsidRPr="00C245D2">
        <w:rPr>
          <w:sz w:val="24"/>
          <w:szCs w:val="24"/>
          <w:lang w:val="en-US"/>
        </w:rPr>
        <w:t xml:space="preserve"> IRR (Internal Rate of Return)</w:t>
      </w:r>
    </w:p>
    <w:p w:rsidR="008976C8" w:rsidRPr="00C245D2" w:rsidRDefault="008976C8" w:rsidP="00C245D2">
      <w:pPr>
        <w:pStyle w:val="21"/>
        <w:numPr>
          <w:ilvl w:val="0"/>
          <w:numId w:val="9"/>
        </w:numPr>
        <w:tabs>
          <w:tab w:val="center" w:pos="4677"/>
        </w:tabs>
        <w:jc w:val="both"/>
        <w:rPr>
          <w:sz w:val="24"/>
          <w:szCs w:val="24"/>
          <w:lang w:val="en-US"/>
        </w:rPr>
      </w:pPr>
      <w:r w:rsidRPr="00C245D2">
        <w:rPr>
          <w:sz w:val="24"/>
          <w:szCs w:val="24"/>
        </w:rPr>
        <w:t>индекс</w:t>
      </w:r>
      <w:r w:rsidRPr="00C245D2">
        <w:rPr>
          <w:sz w:val="24"/>
          <w:szCs w:val="24"/>
          <w:lang w:val="en-US"/>
        </w:rPr>
        <w:t xml:space="preserve"> </w:t>
      </w:r>
      <w:r w:rsidRPr="00C245D2">
        <w:rPr>
          <w:sz w:val="24"/>
          <w:szCs w:val="24"/>
        </w:rPr>
        <w:t>прибыльности</w:t>
      </w:r>
      <w:r w:rsidRPr="00C245D2">
        <w:rPr>
          <w:sz w:val="24"/>
          <w:szCs w:val="24"/>
          <w:lang w:val="en-US"/>
        </w:rPr>
        <w:t xml:space="preserve"> PI (Profitability Index)</w:t>
      </w:r>
    </w:p>
    <w:p w:rsidR="008976C8" w:rsidRPr="00C245D2" w:rsidRDefault="008976C8" w:rsidP="00C245D2">
      <w:pPr>
        <w:pStyle w:val="21"/>
        <w:numPr>
          <w:ilvl w:val="0"/>
          <w:numId w:val="9"/>
        </w:numPr>
        <w:tabs>
          <w:tab w:val="center" w:pos="4677"/>
        </w:tabs>
        <w:spacing w:after="480"/>
        <w:ind w:left="2273" w:hanging="357"/>
        <w:jc w:val="both"/>
        <w:rPr>
          <w:sz w:val="24"/>
          <w:szCs w:val="24"/>
          <w:lang w:val="en-US"/>
        </w:rPr>
      </w:pPr>
      <w:r w:rsidRPr="00C245D2">
        <w:rPr>
          <w:sz w:val="24"/>
          <w:szCs w:val="24"/>
        </w:rPr>
        <w:t>динамический</w:t>
      </w:r>
      <w:r w:rsidRPr="00C245D2">
        <w:rPr>
          <w:sz w:val="24"/>
          <w:szCs w:val="24"/>
          <w:lang w:val="en-US"/>
        </w:rPr>
        <w:t xml:space="preserve"> </w:t>
      </w:r>
      <w:r w:rsidRPr="00C245D2">
        <w:rPr>
          <w:sz w:val="24"/>
          <w:szCs w:val="24"/>
        </w:rPr>
        <w:t>срок</w:t>
      </w:r>
      <w:r w:rsidRPr="00C245D2">
        <w:rPr>
          <w:sz w:val="24"/>
          <w:szCs w:val="24"/>
          <w:lang w:val="en-US"/>
        </w:rPr>
        <w:t xml:space="preserve"> </w:t>
      </w:r>
      <w:r w:rsidRPr="00C245D2">
        <w:rPr>
          <w:sz w:val="24"/>
          <w:szCs w:val="24"/>
        </w:rPr>
        <w:t>окупаемости</w:t>
      </w:r>
      <w:r w:rsidRPr="00C245D2">
        <w:rPr>
          <w:sz w:val="24"/>
          <w:szCs w:val="24"/>
          <w:lang w:val="en-US"/>
        </w:rPr>
        <w:t xml:space="preserve"> DPP (Discounted Payback Period)</w:t>
      </w:r>
      <w:r w:rsidR="00BA4B63" w:rsidRPr="00C245D2">
        <w:rPr>
          <w:sz w:val="24"/>
          <w:szCs w:val="24"/>
          <w:lang w:val="en-US"/>
        </w:rPr>
        <w:t>.</w:t>
      </w:r>
    </w:p>
    <w:p w:rsidR="008976C8" w:rsidRPr="00C245D2" w:rsidRDefault="00B4103D" w:rsidP="00C245D2">
      <w:pPr>
        <w:pStyle w:val="3"/>
        <w:jc w:val="both"/>
        <w:rPr>
          <w:rFonts w:ascii="Times New Roman" w:hAnsi="Times New Roman" w:cs="Times New Roman"/>
          <w:sz w:val="24"/>
          <w:szCs w:val="24"/>
        </w:rPr>
      </w:pPr>
      <w:bookmarkStart w:id="4" w:name="_Toc450920818"/>
      <w:r>
        <w:rPr>
          <w:rFonts w:ascii="Times New Roman" w:hAnsi="Times New Roman" w:cs="Times New Roman"/>
          <w:sz w:val="24"/>
          <w:szCs w:val="24"/>
        </w:rPr>
        <w:t>1.1</w:t>
      </w:r>
      <w:r w:rsidR="00837011" w:rsidRPr="00C245D2">
        <w:rPr>
          <w:rFonts w:ascii="Times New Roman" w:hAnsi="Times New Roman" w:cs="Times New Roman"/>
          <w:sz w:val="24"/>
          <w:szCs w:val="24"/>
        </w:rPr>
        <w:t xml:space="preserve">.1. </w:t>
      </w:r>
      <w:r w:rsidR="008976C8" w:rsidRPr="00C245D2">
        <w:rPr>
          <w:rFonts w:ascii="Times New Roman" w:hAnsi="Times New Roman" w:cs="Times New Roman"/>
          <w:sz w:val="24"/>
          <w:szCs w:val="24"/>
        </w:rPr>
        <w:t>Метод чистой текущей стоимости NPV</w:t>
      </w:r>
      <w:bookmarkEnd w:id="4"/>
      <w:r w:rsidR="008976C8" w:rsidRPr="00C245D2">
        <w:rPr>
          <w:rFonts w:ascii="Times New Roman" w:hAnsi="Times New Roman" w:cs="Times New Roman"/>
          <w:sz w:val="24"/>
          <w:szCs w:val="24"/>
        </w:rPr>
        <w:t xml:space="preserve"> </w:t>
      </w:r>
    </w:p>
    <w:p w:rsidR="005A556D" w:rsidRPr="00C245D2" w:rsidRDefault="005A556D" w:rsidP="00C245D2">
      <w:pPr>
        <w:spacing w:after="0"/>
        <w:jc w:val="both"/>
        <w:rPr>
          <w:rFonts w:ascii="Times New Roman" w:hAnsi="Times New Roman" w:cs="Times New Roman"/>
          <w:sz w:val="24"/>
          <w:szCs w:val="24"/>
        </w:rPr>
      </w:pPr>
    </w:p>
    <w:p w:rsidR="00AD53A4" w:rsidRPr="00C245D2" w:rsidRDefault="008976C8" w:rsidP="00C245D2">
      <w:pPr>
        <w:pStyle w:val="21"/>
        <w:tabs>
          <w:tab w:val="center" w:pos="4677"/>
        </w:tabs>
        <w:spacing w:after="0"/>
        <w:ind w:left="0" w:firstLine="851"/>
        <w:jc w:val="both"/>
        <w:rPr>
          <w:sz w:val="24"/>
          <w:szCs w:val="24"/>
        </w:rPr>
      </w:pPr>
      <w:r w:rsidRPr="00C245D2">
        <w:rPr>
          <w:sz w:val="24"/>
          <w:szCs w:val="24"/>
        </w:rPr>
        <w:tab/>
        <w:t>В настоящее время одной из наиболее эффективных концепций менеджмента является стоимостная концепция управления предприятиями</w:t>
      </w:r>
      <w:r w:rsidR="00A90258" w:rsidRPr="00C245D2">
        <w:rPr>
          <w:rStyle w:val="a8"/>
          <w:sz w:val="24"/>
          <w:szCs w:val="24"/>
        </w:rPr>
        <w:footnoteReference w:id="5"/>
      </w:r>
      <w:r w:rsidRPr="00C245D2">
        <w:rPr>
          <w:sz w:val="24"/>
          <w:szCs w:val="24"/>
        </w:rPr>
        <w:t>. Ее суть заключатся в том, что главной целью функционирования предприятия является увеличение ее рыночной стоимости, что в свою очередь наращивает благосостояние собственников и, опосредованно, менеджмента и персонала организации. Метод чистой текущей стоимости как раз таки и основан на сопоставлении инвестиций, совершенных в начальный период времени, и денежных потоков,</w:t>
      </w:r>
      <w:r w:rsidR="00AD53A4" w:rsidRPr="00C245D2">
        <w:rPr>
          <w:sz w:val="24"/>
          <w:szCs w:val="24"/>
        </w:rPr>
        <w:t xml:space="preserve"> </w:t>
      </w:r>
      <w:r w:rsidRPr="00C245D2">
        <w:rPr>
          <w:sz w:val="24"/>
          <w:szCs w:val="24"/>
        </w:rPr>
        <w:t xml:space="preserve">поступающих от реализации этого </w:t>
      </w:r>
      <w:r w:rsidR="00AD53A4" w:rsidRPr="00C245D2">
        <w:rPr>
          <w:sz w:val="24"/>
          <w:szCs w:val="24"/>
        </w:rPr>
        <w:t>инвестиционного</w:t>
      </w:r>
      <w:r w:rsidRPr="00C245D2">
        <w:rPr>
          <w:sz w:val="24"/>
          <w:szCs w:val="24"/>
        </w:rPr>
        <w:t xml:space="preserve"> проекта, приведенными на тот же </w:t>
      </w:r>
      <w:r w:rsidR="00AD53A4" w:rsidRPr="00C245D2">
        <w:rPr>
          <w:sz w:val="24"/>
          <w:szCs w:val="24"/>
        </w:rPr>
        <w:t>начальный период времени, что позволяет судить о вкладе проекта в стоимость организации.</w:t>
      </w:r>
    </w:p>
    <w:p w:rsidR="00AD53A4" w:rsidRPr="00C245D2" w:rsidRDefault="00AD53A4" w:rsidP="00C245D2">
      <w:pPr>
        <w:pStyle w:val="21"/>
        <w:tabs>
          <w:tab w:val="center" w:pos="4677"/>
        </w:tabs>
        <w:ind w:left="0" w:firstLine="851"/>
        <w:jc w:val="both"/>
        <w:rPr>
          <w:sz w:val="24"/>
          <w:szCs w:val="24"/>
        </w:rPr>
      </w:pPr>
      <w:r w:rsidRPr="00C245D2">
        <w:rPr>
          <w:sz w:val="24"/>
          <w:szCs w:val="24"/>
        </w:rPr>
        <w:t xml:space="preserve">Величина </w:t>
      </w:r>
      <w:r w:rsidRPr="00C245D2">
        <w:rPr>
          <w:sz w:val="24"/>
          <w:szCs w:val="24"/>
          <w:lang w:val="en-US"/>
        </w:rPr>
        <w:t>NPV</w:t>
      </w:r>
      <w:r w:rsidRPr="00C245D2">
        <w:rPr>
          <w:sz w:val="24"/>
          <w:szCs w:val="24"/>
        </w:rPr>
        <w:t xml:space="preserve"> вычисляется с помощью следующей формулы: </w:t>
      </w:r>
    </w:p>
    <w:p w:rsidR="008976C8" w:rsidRPr="00C245D2" w:rsidRDefault="00AD53A4" w:rsidP="00C245D2">
      <w:pPr>
        <w:pStyle w:val="21"/>
        <w:tabs>
          <w:tab w:val="center" w:pos="4677"/>
        </w:tabs>
        <w:ind w:left="0" w:firstLine="851"/>
        <w:jc w:val="both"/>
        <w:rPr>
          <w:sz w:val="24"/>
          <w:szCs w:val="24"/>
        </w:rPr>
      </w:pPr>
      <m:oMath>
        <m:r>
          <w:rPr>
            <w:rFonts w:ascii="Cambria Math" w:hAnsi="Cambria Math"/>
            <w:sz w:val="36"/>
            <w:szCs w:val="24"/>
          </w:rPr>
          <m:t>NPV=-I+</m:t>
        </m:r>
        <m:nary>
          <m:naryPr>
            <m:chr m:val="∑"/>
            <m:limLoc m:val="undOvr"/>
            <m:ctrlPr>
              <w:rPr>
                <w:rFonts w:ascii="Cambria Math" w:hAnsi="Cambria Math"/>
                <w:i/>
                <w:sz w:val="36"/>
                <w:szCs w:val="24"/>
              </w:rPr>
            </m:ctrlPr>
          </m:naryPr>
          <m:sub>
            <m:r>
              <w:rPr>
                <w:rFonts w:ascii="Cambria Math" w:hAnsi="Cambria Math"/>
                <w:sz w:val="36"/>
                <w:szCs w:val="24"/>
              </w:rPr>
              <m:t>t=1</m:t>
            </m:r>
          </m:sub>
          <m:sup>
            <m:r>
              <w:rPr>
                <w:rFonts w:ascii="Cambria Math" w:hAnsi="Cambria Math"/>
                <w:sz w:val="36"/>
                <w:szCs w:val="24"/>
              </w:rPr>
              <m:t>n</m:t>
            </m:r>
          </m:sup>
          <m:e>
            <m:f>
              <m:fPr>
                <m:ctrlPr>
                  <w:rPr>
                    <w:rFonts w:ascii="Cambria Math" w:hAnsi="Cambria Math"/>
                    <w:i/>
                    <w:sz w:val="36"/>
                    <w:szCs w:val="24"/>
                  </w:rPr>
                </m:ctrlPr>
              </m:fPr>
              <m:num>
                <m:sSub>
                  <m:sSubPr>
                    <m:ctrlPr>
                      <w:rPr>
                        <w:rFonts w:ascii="Cambria Math" w:hAnsi="Cambria Math"/>
                        <w:i/>
                        <w:sz w:val="36"/>
                        <w:szCs w:val="24"/>
                      </w:rPr>
                    </m:ctrlPr>
                  </m:sSubPr>
                  <m:e>
                    <m:r>
                      <w:rPr>
                        <w:rFonts w:ascii="Cambria Math" w:hAnsi="Cambria Math"/>
                        <w:sz w:val="36"/>
                        <w:szCs w:val="24"/>
                      </w:rPr>
                      <m:t>CF</m:t>
                    </m:r>
                  </m:e>
                  <m:sub>
                    <m:r>
                      <w:rPr>
                        <w:rFonts w:ascii="Cambria Math" w:hAnsi="Cambria Math"/>
                        <w:sz w:val="36"/>
                        <w:szCs w:val="24"/>
                      </w:rPr>
                      <m:t>t</m:t>
                    </m:r>
                  </m:sub>
                </m:sSub>
              </m:num>
              <m:den>
                <m:sSup>
                  <m:sSupPr>
                    <m:ctrlPr>
                      <w:rPr>
                        <w:rFonts w:ascii="Cambria Math" w:hAnsi="Cambria Math"/>
                        <w:i/>
                        <w:sz w:val="36"/>
                        <w:szCs w:val="24"/>
                      </w:rPr>
                    </m:ctrlPr>
                  </m:sSupPr>
                  <m:e>
                    <m:r>
                      <w:rPr>
                        <w:rFonts w:ascii="Cambria Math" w:hAnsi="Cambria Math"/>
                        <w:sz w:val="36"/>
                        <w:szCs w:val="24"/>
                      </w:rPr>
                      <m:t>(1+i)</m:t>
                    </m:r>
                  </m:e>
                  <m:sup>
                    <m:r>
                      <w:rPr>
                        <w:rFonts w:ascii="Cambria Math" w:hAnsi="Cambria Math"/>
                        <w:sz w:val="36"/>
                        <w:szCs w:val="24"/>
                      </w:rPr>
                      <m:t>t</m:t>
                    </m:r>
                  </m:sup>
                </m:sSup>
              </m:den>
            </m:f>
          </m:e>
        </m:nary>
      </m:oMath>
      <w:r w:rsidR="008976C8" w:rsidRPr="00C245D2">
        <w:rPr>
          <w:sz w:val="24"/>
          <w:szCs w:val="24"/>
        </w:rPr>
        <w:t xml:space="preserve"> </w:t>
      </w:r>
      <w:r w:rsidR="0084581E" w:rsidRPr="00C245D2">
        <w:rPr>
          <w:sz w:val="24"/>
          <w:szCs w:val="24"/>
        </w:rPr>
        <w:t xml:space="preserve">, </w:t>
      </w:r>
      <w:r w:rsidR="006943A7">
        <w:rPr>
          <w:sz w:val="24"/>
          <w:szCs w:val="24"/>
        </w:rPr>
        <w:tab/>
      </w:r>
      <w:r w:rsidR="006943A7">
        <w:rPr>
          <w:sz w:val="24"/>
          <w:szCs w:val="24"/>
        </w:rPr>
        <w:tab/>
      </w:r>
      <w:r w:rsidR="006943A7">
        <w:rPr>
          <w:sz w:val="24"/>
          <w:szCs w:val="24"/>
        </w:rPr>
        <w:tab/>
      </w:r>
      <w:r w:rsidR="006943A7">
        <w:rPr>
          <w:sz w:val="24"/>
          <w:szCs w:val="24"/>
        </w:rPr>
        <w:tab/>
      </w:r>
      <w:r w:rsidR="006943A7">
        <w:rPr>
          <w:sz w:val="24"/>
          <w:szCs w:val="24"/>
        </w:rPr>
        <w:tab/>
      </w:r>
      <w:r w:rsidR="006943A7">
        <w:rPr>
          <w:sz w:val="24"/>
          <w:szCs w:val="24"/>
        </w:rPr>
        <w:tab/>
      </w:r>
      <w:r w:rsidR="006943A7">
        <w:rPr>
          <w:sz w:val="24"/>
          <w:szCs w:val="24"/>
        </w:rPr>
        <w:tab/>
        <w:t>(1)</w:t>
      </w:r>
    </w:p>
    <w:p w:rsidR="0084581E" w:rsidRPr="00C245D2" w:rsidRDefault="0084581E" w:rsidP="00C245D2">
      <w:pPr>
        <w:pStyle w:val="21"/>
        <w:tabs>
          <w:tab w:val="center" w:pos="4677"/>
        </w:tabs>
        <w:spacing w:after="0" w:line="240" w:lineRule="auto"/>
        <w:ind w:left="0" w:firstLine="851"/>
        <w:jc w:val="both"/>
        <w:rPr>
          <w:sz w:val="24"/>
          <w:szCs w:val="24"/>
        </w:rPr>
      </w:pPr>
      <w:r w:rsidRPr="00C245D2">
        <w:rPr>
          <w:sz w:val="24"/>
          <w:szCs w:val="24"/>
        </w:rPr>
        <w:t xml:space="preserve">где </w:t>
      </w:r>
      <w:r w:rsidRPr="00C245D2">
        <w:rPr>
          <w:sz w:val="24"/>
          <w:szCs w:val="24"/>
          <w:lang w:val="en-US"/>
        </w:rPr>
        <w:t>I</w:t>
      </w:r>
      <w:r w:rsidRPr="00C245D2">
        <w:rPr>
          <w:sz w:val="24"/>
          <w:szCs w:val="24"/>
        </w:rPr>
        <w:t xml:space="preserve"> – первоначальные инвестиции</w:t>
      </w:r>
    </w:p>
    <w:p w:rsidR="0084581E" w:rsidRPr="00C245D2" w:rsidRDefault="0084581E" w:rsidP="00C245D2">
      <w:pPr>
        <w:pStyle w:val="21"/>
        <w:tabs>
          <w:tab w:val="center" w:pos="4677"/>
        </w:tabs>
        <w:spacing w:after="0" w:line="240" w:lineRule="auto"/>
        <w:ind w:left="0" w:firstLine="851"/>
        <w:jc w:val="both"/>
        <w:rPr>
          <w:sz w:val="24"/>
          <w:szCs w:val="24"/>
        </w:rPr>
      </w:pPr>
      <w:r w:rsidRPr="00C245D2">
        <w:rPr>
          <w:sz w:val="24"/>
          <w:szCs w:val="24"/>
          <w:lang w:val="en-US"/>
        </w:rPr>
        <w:t>CF</w:t>
      </w:r>
      <w:r w:rsidRPr="00C245D2">
        <w:rPr>
          <w:sz w:val="24"/>
          <w:szCs w:val="24"/>
          <w:vertAlign w:val="subscript"/>
          <w:lang w:val="en-US"/>
        </w:rPr>
        <w:t>t</w:t>
      </w:r>
      <w:r w:rsidRPr="00C245D2">
        <w:rPr>
          <w:sz w:val="24"/>
          <w:szCs w:val="24"/>
          <w:vertAlign w:val="subscript"/>
        </w:rPr>
        <w:t xml:space="preserve"> </w:t>
      </w:r>
      <w:r w:rsidRPr="00C245D2">
        <w:rPr>
          <w:sz w:val="24"/>
          <w:szCs w:val="24"/>
        </w:rPr>
        <w:t xml:space="preserve">– денжный поток за период </w:t>
      </w:r>
      <w:r w:rsidRPr="00C245D2">
        <w:rPr>
          <w:sz w:val="24"/>
          <w:szCs w:val="24"/>
          <w:lang w:val="en-US"/>
        </w:rPr>
        <w:t>t</w:t>
      </w:r>
    </w:p>
    <w:p w:rsidR="0084581E" w:rsidRPr="00C245D2" w:rsidRDefault="0084581E" w:rsidP="00C245D2">
      <w:pPr>
        <w:pStyle w:val="21"/>
        <w:tabs>
          <w:tab w:val="center" w:pos="4677"/>
        </w:tabs>
        <w:spacing w:after="0" w:line="240" w:lineRule="auto"/>
        <w:ind w:left="0" w:firstLine="851"/>
        <w:jc w:val="both"/>
        <w:rPr>
          <w:sz w:val="24"/>
          <w:szCs w:val="24"/>
        </w:rPr>
      </w:pPr>
      <w:r w:rsidRPr="00C245D2">
        <w:rPr>
          <w:sz w:val="24"/>
          <w:szCs w:val="24"/>
          <w:lang w:val="en-US"/>
        </w:rPr>
        <w:t>i</w:t>
      </w:r>
      <w:r w:rsidRPr="00C245D2">
        <w:rPr>
          <w:sz w:val="24"/>
          <w:szCs w:val="24"/>
        </w:rPr>
        <w:t xml:space="preserve"> – ставка дисконтирования</w:t>
      </w:r>
    </w:p>
    <w:p w:rsidR="0084581E" w:rsidRPr="00C245D2" w:rsidRDefault="0084581E" w:rsidP="00C245D2">
      <w:pPr>
        <w:pStyle w:val="21"/>
        <w:tabs>
          <w:tab w:val="center" w:pos="4677"/>
        </w:tabs>
        <w:spacing w:after="0" w:line="240" w:lineRule="auto"/>
        <w:ind w:left="0" w:firstLine="851"/>
        <w:jc w:val="both"/>
        <w:rPr>
          <w:sz w:val="24"/>
          <w:szCs w:val="24"/>
        </w:rPr>
      </w:pPr>
      <w:r w:rsidRPr="00C245D2">
        <w:rPr>
          <w:sz w:val="24"/>
          <w:szCs w:val="24"/>
          <w:lang w:val="en-US"/>
        </w:rPr>
        <w:t>n</w:t>
      </w:r>
      <w:r w:rsidRPr="00C245D2">
        <w:rPr>
          <w:sz w:val="24"/>
          <w:szCs w:val="24"/>
        </w:rPr>
        <w:t xml:space="preserve"> – число периодов</w:t>
      </w:r>
    </w:p>
    <w:p w:rsidR="0084581E" w:rsidRPr="00C245D2" w:rsidRDefault="0084581E" w:rsidP="00C245D2">
      <w:pPr>
        <w:pStyle w:val="21"/>
        <w:tabs>
          <w:tab w:val="center" w:pos="4677"/>
        </w:tabs>
        <w:spacing w:after="0" w:line="240" w:lineRule="auto"/>
        <w:ind w:left="0" w:firstLine="851"/>
        <w:jc w:val="both"/>
        <w:rPr>
          <w:sz w:val="24"/>
          <w:szCs w:val="24"/>
        </w:rPr>
      </w:pPr>
    </w:p>
    <w:p w:rsidR="008976C8" w:rsidRPr="00C245D2" w:rsidRDefault="008976C8" w:rsidP="00C245D2">
      <w:pPr>
        <w:pStyle w:val="21"/>
        <w:tabs>
          <w:tab w:val="center" w:pos="4677"/>
        </w:tabs>
        <w:spacing w:after="0"/>
        <w:ind w:left="0" w:firstLine="851"/>
        <w:jc w:val="both"/>
        <w:rPr>
          <w:sz w:val="24"/>
          <w:szCs w:val="24"/>
        </w:rPr>
      </w:pPr>
      <w:r w:rsidRPr="00C245D2">
        <w:rPr>
          <w:sz w:val="24"/>
          <w:szCs w:val="24"/>
        </w:rPr>
        <w:t>При использовании данного метода предполагается, что целью компании является максимизация ее стоимости. Метод основан на сравнении величины исходных инвестиций с потоками доходов, которые данные инвестиции генерируют на протяжении прогнозного периода. Поскольку денежные потоки распределены во времени, то они дисконтируются с помощью коэффициента r, устанавливаемого аналитиком (инвестором) самостоятельно, исходя из ежегодной нормы (процента) возврата капитала, который он хочет или может иметь на инвестируемый им капитал.</w:t>
      </w:r>
    </w:p>
    <w:p w:rsidR="00BA4B63" w:rsidRPr="00C245D2" w:rsidRDefault="008976C8" w:rsidP="00C245D2">
      <w:pPr>
        <w:pStyle w:val="21"/>
        <w:tabs>
          <w:tab w:val="center" w:pos="4677"/>
        </w:tabs>
        <w:spacing w:after="480"/>
        <w:ind w:left="0" w:firstLine="851"/>
        <w:jc w:val="both"/>
        <w:rPr>
          <w:sz w:val="24"/>
          <w:szCs w:val="24"/>
        </w:rPr>
      </w:pPr>
      <w:r w:rsidRPr="00C245D2">
        <w:rPr>
          <w:sz w:val="24"/>
          <w:szCs w:val="24"/>
        </w:rPr>
        <w:lastRenderedPageBreak/>
        <w:t>Критерием эффективности инвестиционного проекта является положительное значение чистого денежного потока, по своей сути означающее прирост рыночной стоимости бизнеса вследствие реализации проекта.</w:t>
      </w:r>
    </w:p>
    <w:p w:rsidR="00D54BC2" w:rsidRPr="00C245D2" w:rsidRDefault="00837011" w:rsidP="00C245D2">
      <w:pPr>
        <w:pStyle w:val="3"/>
        <w:jc w:val="both"/>
        <w:rPr>
          <w:rFonts w:ascii="Times New Roman" w:hAnsi="Times New Roman" w:cs="Times New Roman"/>
          <w:sz w:val="24"/>
          <w:szCs w:val="24"/>
        </w:rPr>
      </w:pPr>
      <w:bookmarkStart w:id="5" w:name="_Toc450920819"/>
      <w:r w:rsidRPr="00C245D2">
        <w:rPr>
          <w:rFonts w:ascii="Times New Roman" w:hAnsi="Times New Roman" w:cs="Times New Roman"/>
          <w:sz w:val="24"/>
          <w:szCs w:val="24"/>
        </w:rPr>
        <w:t>1.</w:t>
      </w:r>
      <w:r w:rsidR="00B4103D">
        <w:rPr>
          <w:rFonts w:ascii="Times New Roman" w:hAnsi="Times New Roman" w:cs="Times New Roman"/>
          <w:sz w:val="24"/>
          <w:szCs w:val="24"/>
        </w:rPr>
        <w:t>1</w:t>
      </w:r>
      <w:r w:rsidRPr="00C245D2">
        <w:rPr>
          <w:rFonts w:ascii="Times New Roman" w:hAnsi="Times New Roman" w:cs="Times New Roman"/>
          <w:sz w:val="24"/>
          <w:szCs w:val="24"/>
        </w:rPr>
        <w:t xml:space="preserve">.2. </w:t>
      </w:r>
      <w:r w:rsidR="00D54BC2" w:rsidRPr="00C245D2">
        <w:rPr>
          <w:rFonts w:ascii="Times New Roman" w:hAnsi="Times New Roman" w:cs="Times New Roman"/>
          <w:sz w:val="24"/>
          <w:szCs w:val="24"/>
        </w:rPr>
        <w:t>Внутренняя норма доходности</w:t>
      </w:r>
      <w:bookmarkEnd w:id="5"/>
    </w:p>
    <w:p w:rsidR="00D54BC2" w:rsidRPr="00C245D2" w:rsidRDefault="00D54BC2" w:rsidP="00C245D2">
      <w:pPr>
        <w:spacing w:after="0"/>
        <w:jc w:val="both"/>
        <w:rPr>
          <w:rFonts w:ascii="Times New Roman" w:hAnsi="Times New Roman" w:cs="Times New Roman"/>
          <w:sz w:val="24"/>
          <w:szCs w:val="24"/>
        </w:rPr>
      </w:pPr>
    </w:p>
    <w:p w:rsidR="00D54BC2" w:rsidRPr="00C245D2" w:rsidRDefault="009E193A" w:rsidP="002019B2">
      <w:pPr>
        <w:pStyle w:val="21"/>
        <w:tabs>
          <w:tab w:val="center" w:pos="4677"/>
        </w:tabs>
        <w:ind w:left="0" w:firstLine="851"/>
        <w:jc w:val="both"/>
        <w:rPr>
          <w:sz w:val="24"/>
          <w:szCs w:val="24"/>
        </w:rPr>
      </w:pPr>
      <w:r w:rsidRPr="00C245D2">
        <w:rPr>
          <w:sz w:val="24"/>
          <w:szCs w:val="24"/>
        </w:rPr>
        <w:t xml:space="preserve">Внутренняя норма доходности – расчетная ставка дисконтирования, при которой чистый дисконтированный доход равен нулю. </w:t>
      </w:r>
    </w:p>
    <w:p w:rsidR="00D54BC2" w:rsidRPr="006943A7" w:rsidRDefault="00322F14" w:rsidP="006943A7">
      <w:pPr>
        <w:pStyle w:val="21"/>
        <w:tabs>
          <w:tab w:val="center" w:pos="4677"/>
        </w:tabs>
        <w:ind w:left="0" w:firstLine="851"/>
        <w:jc w:val="center"/>
        <w:rPr>
          <w:sz w:val="24"/>
          <w:szCs w:val="24"/>
        </w:rPr>
      </w:pPr>
      <m:oMath>
        <m:nary>
          <m:naryPr>
            <m:chr m:val="∑"/>
            <m:limLoc m:val="undOvr"/>
            <m:ctrlPr>
              <w:rPr>
                <w:rFonts w:ascii="Cambria Math" w:hAnsi="Cambria Math"/>
                <w:i/>
                <w:sz w:val="36"/>
                <w:szCs w:val="24"/>
              </w:rPr>
            </m:ctrlPr>
          </m:naryPr>
          <m:sub>
            <m:r>
              <w:rPr>
                <w:rFonts w:ascii="Cambria Math" w:hAnsi="Cambria Math"/>
                <w:sz w:val="36"/>
                <w:szCs w:val="24"/>
              </w:rPr>
              <m:t>t=0</m:t>
            </m:r>
          </m:sub>
          <m:sup>
            <m:r>
              <w:rPr>
                <w:rFonts w:ascii="Cambria Math" w:hAnsi="Cambria Math"/>
                <w:sz w:val="36"/>
                <w:szCs w:val="24"/>
              </w:rPr>
              <m:t>n</m:t>
            </m:r>
          </m:sup>
          <m:e>
            <m:f>
              <m:fPr>
                <m:ctrlPr>
                  <w:rPr>
                    <w:rFonts w:ascii="Cambria Math" w:hAnsi="Cambria Math"/>
                    <w:i/>
                    <w:sz w:val="36"/>
                    <w:szCs w:val="24"/>
                  </w:rPr>
                </m:ctrlPr>
              </m:fPr>
              <m:num>
                <m:sSub>
                  <m:sSubPr>
                    <m:ctrlPr>
                      <w:rPr>
                        <w:rFonts w:ascii="Cambria Math" w:hAnsi="Cambria Math"/>
                        <w:i/>
                        <w:sz w:val="36"/>
                        <w:szCs w:val="24"/>
                      </w:rPr>
                    </m:ctrlPr>
                  </m:sSubPr>
                  <m:e>
                    <m:r>
                      <w:rPr>
                        <w:rFonts w:ascii="Cambria Math" w:hAnsi="Cambria Math"/>
                        <w:sz w:val="36"/>
                        <w:szCs w:val="24"/>
                      </w:rPr>
                      <m:t>CF</m:t>
                    </m:r>
                  </m:e>
                  <m:sub>
                    <m:r>
                      <w:rPr>
                        <w:rFonts w:ascii="Cambria Math" w:hAnsi="Cambria Math"/>
                        <w:sz w:val="36"/>
                        <w:szCs w:val="24"/>
                      </w:rPr>
                      <m:t>t</m:t>
                    </m:r>
                  </m:sub>
                </m:sSub>
              </m:num>
              <m:den>
                <m:sSup>
                  <m:sSupPr>
                    <m:ctrlPr>
                      <w:rPr>
                        <w:rFonts w:ascii="Cambria Math" w:hAnsi="Cambria Math"/>
                        <w:i/>
                        <w:sz w:val="36"/>
                        <w:szCs w:val="24"/>
                      </w:rPr>
                    </m:ctrlPr>
                  </m:sSupPr>
                  <m:e>
                    <m:r>
                      <w:rPr>
                        <w:rFonts w:ascii="Cambria Math" w:hAnsi="Cambria Math"/>
                        <w:sz w:val="36"/>
                        <w:szCs w:val="24"/>
                      </w:rPr>
                      <m:t>(1+IRR)</m:t>
                    </m:r>
                  </m:e>
                  <m:sup>
                    <m:r>
                      <w:rPr>
                        <w:rFonts w:ascii="Cambria Math" w:hAnsi="Cambria Math"/>
                        <w:sz w:val="36"/>
                        <w:szCs w:val="24"/>
                      </w:rPr>
                      <m:t>t</m:t>
                    </m:r>
                  </m:sup>
                </m:sSup>
              </m:den>
            </m:f>
            <m:r>
              <w:rPr>
                <w:rFonts w:ascii="Cambria Math" w:hAnsi="Cambria Math"/>
                <w:sz w:val="36"/>
                <w:szCs w:val="24"/>
              </w:rPr>
              <m:t>=0</m:t>
            </m:r>
          </m:e>
        </m:nary>
      </m:oMath>
      <w:r w:rsidR="006943A7">
        <w:rPr>
          <w:rFonts w:eastAsiaTheme="minorEastAsia"/>
          <w:sz w:val="24"/>
          <w:szCs w:val="24"/>
        </w:rPr>
        <w:tab/>
      </w:r>
      <w:r w:rsidR="006943A7">
        <w:rPr>
          <w:rFonts w:eastAsiaTheme="minorEastAsia"/>
          <w:sz w:val="24"/>
          <w:szCs w:val="24"/>
        </w:rPr>
        <w:tab/>
      </w:r>
      <w:r w:rsidR="006943A7">
        <w:rPr>
          <w:rFonts w:eastAsiaTheme="minorEastAsia"/>
          <w:sz w:val="24"/>
          <w:szCs w:val="24"/>
        </w:rPr>
        <w:tab/>
      </w:r>
      <w:r w:rsidR="006943A7">
        <w:rPr>
          <w:rFonts w:eastAsiaTheme="minorEastAsia"/>
          <w:sz w:val="24"/>
          <w:szCs w:val="24"/>
        </w:rPr>
        <w:tab/>
        <w:t xml:space="preserve">  </w:t>
      </w:r>
      <w:r w:rsidR="006943A7">
        <w:rPr>
          <w:rFonts w:eastAsiaTheme="minorEastAsia"/>
          <w:sz w:val="24"/>
          <w:szCs w:val="24"/>
        </w:rPr>
        <w:tab/>
      </w:r>
      <w:r w:rsidR="006943A7">
        <w:rPr>
          <w:rFonts w:eastAsiaTheme="minorEastAsia"/>
          <w:sz w:val="24"/>
          <w:szCs w:val="24"/>
        </w:rPr>
        <w:tab/>
        <w:t>(2)</w:t>
      </w:r>
    </w:p>
    <w:p w:rsidR="00D54BC2" w:rsidRPr="00C245D2" w:rsidRDefault="00B4103D" w:rsidP="002019B2">
      <w:pPr>
        <w:pStyle w:val="21"/>
        <w:tabs>
          <w:tab w:val="center" w:pos="4677"/>
        </w:tabs>
        <w:ind w:left="0" w:firstLine="851"/>
        <w:jc w:val="both"/>
        <w:rPr>
          <w:sz w:val="24"/>
          <w:szCs w:val="24"/>
        </w:rPr>
      </w:pPr>
      <w:r>
        <w:rPr>
          <w:sz w:val="24"/>
          <w:szCs w:val="24"/>
        </w:rPr>
        <w:t>Е</w:t>
      </w:r>
      <w:r w:rsidR="00D54BC2" w:rsidRPr="00C245D2">
        <w:rPr>
          <w:sz w:val="24"/>
          <w:szCs w:val="24"/>
        </w:rPr>
        <w:t>сли финансирование проекта осуществляется полностью за счет заемных средств, то внутренняя норма доходности должна быть больше процентной ставки по заемным ресурсам, так как в противном случае чистый дисконтированный доход примет значение меньше нуля.</w:t>
      </w:r>
    </w:p>
    <w:p w:rsidR="00D54BC2" w:rsidRPr="00C245D2" w:rsidRDefault="00D54BC2" w:rsidP="002019B2">
      <w:pPr>
        <w:pStyle w:val="21"/>
        <w:tabs>
          <w:tab w:val="center" w:pos="4677"/>
        </w:tabs>
        <w:spacing w:after="480"/>
        <w:ind w:left="0" w:firstLine="851"/>
        <w:jc w:val="both"/>
        <w:rPr>
          <w:sz w:val="24"/>
          <w:szCs w:val="24"/>
        </w:rPr>
      </w:pPr>
      <w:r w:rsidRPr="00C245D2">
        <w:rPr>
          <w:sz w:val="24"/>
          <w:szCs w:val="24"/>
        </w:rPr>
        <w:t>Если проект реализуется за счет собственных и заемных источников финансирования, то внутренняя норма доходности должна быть больше средневзвешенной стоимости капитала, привлекаемого для реализации проекта</w:t>
      </w:r>
      <w:r w:rsidR="0027469C" w:rsidRPr="00C245D2">
        <w:rPr>
          <w:rStyle w:val="a8"/>
          <w:sz w:val="24"/>
          <w:szCs w:val="24"/>
        </w:rPr>
        <w:footnoteReference w:id="6"/>
      </w:r>
      <w:r w:rsidRPr="00C245D2">
        <w:rPr>
          <w:sz w:val="24"/>
          <w:szCs w:val="24"/>
        </w:rPr>
        <w:t>.</w:t>
      </w:r>
    </w:p>
    <w:p w:rsidR="00820F71" w:rsidRPr="00C245D2" w:rsidRDefault="00B4103D" w:rsidP="00C245D2">
      <w:pPr>
        <w:pStyle w:val="3"/>
        <w:jc w:val="both"/>
        <w:rPr>
          <w:rFonts w:ascii="Times New Roman" w:hAnsi="Times New Roman" w:cs="Times New Roman"/>
          <w:sz w:val="24"/>
          <w:szCs w:val="24"/>
        </w:rPr>
      </w:pPr>
      <w:bookmarkStart w:id="6" w:name="_Toc450920820"/>
      <w:r>
        <w:rPr>
          <w:rFonts w:ascii="Times New Roman" w:hAnsi="Times New Roman" w:cs="Times New Roman"/>
          <w:sz w:val="24"/>
          <w:szCs w:val="24"/>
        </w:rPr>
        <w:t>1.1</w:t>
      </w:r>
      <w:r w:rsidR="00837011" w:rsidRPr="00C245D2">
        <w:rPr>
          <w:rFonts w:ascii="Times New Roman" w:hAnsi="Times New Roman" w:cs="Times New Roman"/>
          <w:sz w:val="24"/>
          <w:szCs w:val="24"/>
        </w:rPr>
        <w:t xml:space="preserve">.3. </w:t>
      </w:r>
      <w:r w:rsidR="00820F71" w:rsidRPr="00C245D2">
        <w:rPr>
          <w:rFonts w:ascii="Times New Roman" w:hAnsi="Times New Roman" w:cs="Times New Roman"/>
          <w:sz w:val="24"/>
          <w:szCs w:val="24"/>
        </w:rPr>
        <w:t>Индекс доходности или рентабельности инвестиций</w:t>
      </w:r>
      <w:bookmarkEnd w:id="6"/>
    </w:p>
    <w:p w:rsidR="00820F71" w:rsidRPr="00C245D2" w:rsidRDefault="00820F71" w:rsidP="00C245D2">
      <w:pPr>
        <w:pStyle w:val="21"/>
        <w:tabs>
          <w:tab w:val="center" w:pos="4677"/>
        </w:tabs>
        <w:spacing w:after="0"/>
        <w:ind w:left="709" w:firstLine="851"/>
        <w:jc w:val="both"/>
        <w:rPr>
          <w:sz w:val="24"/>
          <w:szCs w:val="24"/>
        </w:rPr>
      </w:pPr>
    </w:p>
    <w:p w:rsidR="0036385D" w:rsidRPr="00C245D2" w:rsidRDefault="00820F71" w:rsidP="00C245D2">
      <w:pPr>
        <w:pStyle w:val="21"/>
        <w:tabs>
          <w:tab w:val="center" w:pos="4677"/>
        </w:tabs>
        <w:spacing w:after="0"/>
        <w:ind w:left="0" w:firstLine="851"/>
        <w:jc w:val="both"/>
        <w:rPr>
          <w:sz w:val="24"/>
          <w:szCs w:val="24"/>
        </w:rPr>
      </w:pPr>
      <w:r w:rsidRPr="00C245D2">
        <w:rPr>
          <w:sz w:val="24"/>
          <w:szCs w:val="24"/>
        </w:rPr>
        <w:tab/>
        <w:t xml:space="preserve">Данный индекс является относительным показателем эффективности проекта, который количественно характеризует уровень доходности на единицу вложенных ресурсов (инвестиций). </w:t>
      </w:r>
    </w:p>
    <w:p w:rsidR="00820F71" w:rsidRPr="00C245D2" w:rsidRDefault="00820F71" w:rsidP="00C245D2">
      <w:pPr>
        <w:pStyle w:val="21"/>
        <w:tabs>
          <w:tab w:val="center" w:pos="4677"/>
        </w:tabs>
        <w:spacing w:after="0"/>
        <w:ind w:left="0" w:firstLine="851"/>
        <w:jc w:val="both"/>
        <w:rPr>
          <w:sz w:val="24"/>
          <w:szCs w:val="24"/>
        </w:rPr>
      </w:pPr>
      <m:oMath>
        <m:r>
          <w:rPr>
            <w:rFonts w:ascii="Cambria Math" w:hAnsi="Cambria Math"/>
            <w:sz w:val="36"/>
            <w:szCs w:val="24"/>
          </w:rPr>
          <m:t>P</m:t>
        </m:r>
        <m:r>
          <w:rPr>
            <w:rFonts w:ascii="Cambria Math" w:hAnsi="Cambria Math"/>
            <w:sz w:val="36"/>
            <w:szCs w:val="24"/>
            <w:lang w:val="en-US"/>
          </w:rPr>
          <m:t>I</m:t>
        </m:r>
        <m:r>
          <w:rPr>
            <w:rFonts w:ascii="Cambria Math" w:hAnsi="Cambria Math"/>
            <w:sz w:val="36"/>
            <w:szCs w:val="24"/>
          </w:rPr>
          <m:t>=</m:t>
        </m:r>
        <m:f>
          <m:fPr>
            <m:ctrlPr>
              <w:rPr>
                <w:rFonts w:ascii="Cambria Math" w:hAnsi="Cambria Math"/>
                <w:i/>
                <w:sz w:val="36"/>
                <w:szCs w:val="24"/>
              </w:rPr>
            </m:ctrlPr>
          </m:fPr>
          <m:num>
            <m:r>
              <w:rPr>
                <w:rFonts w:ascii="Cambria Math" w:hAnsi="Cambria Math"/>
                <w:sz w:val="36"/>
                <w:szCs w:val="24"/>
              </w:rPr>
              <m:t>PV</m:t>
            </m:r>
          </m:num>
          <m:den>
            <m:r>
              <w:rPr>
                <w:rFonts w:ascii="Cambria Math" w:hAnsi="Cambria Math"/>
                <w:sz w:val="36"/>
                <w:szCs w:val="24"/>
              </w:rPr>
              <m:t>I</m:t>
            </m:r>
          </m:den>
        </m:f>
        <m:r>
          <w:rPr>
            <w:rFonts w:ascii="Cambria Math" w:hAnsi="Cambria Math"/>
            <w:sz w:val="36"/>
            <w:szCs w:val="24"/>
          </w:rPr>
          <m:t>=</m:t>
        </m:r>
        <m:f>
          <m:fPr>
            <m:ctrlPr>
              <w:rPr>
                <w:rFonts w:ascii="Cambria Math" w:hAnsi="Cambria Math"/>
                <w:i/>
                <w:sz w:val="36"/>
                <w:szCs w:val="24"/>
              </w:rPr>
            </m:ctrlPr>
          </m:fPr>
          <m:num>
            <m:nary>
              <m:naryPr>
                <m:chr m:val="∑"/>
                <m:limLoc m:val="undOvr"/>
                <m:ctrlPr>
                  <w:rPr>
                    <w:rFonts w:ascii="Cambria Math" w:hAnsi="Cambria Math"/>
                    <w:i/>
                    <w:sz w:val="36"/>
                    <w:szCs w:val="24"/>
                  </w:rPr>
                </m:ctrlPr>
              </m:naryPr>
              <m:sub>
                <m:r>
                  <w:rPr>
                    <w:rFonts w:ascii="Cambria Math" w:hAnsi="Cambria Math"/>
                    <w:sz w:val="36"/>
                    <w:szCs w:val="24"/>
                  </w:rPr>
                  <m:t>t=1</m:t>
                </m:r>
              </m:sub>
              <m:sup>
                <m:r>
                  <w:rPr>
                    <w:rFonts w:ascii="Cambria Math" w:hAnsi="Cambria Math"/>
                    <w:sz w:val="36"/>
                    <w:szCs w:val="24"/>
                  </w:rPr>
                  <m:t>n</m:t>
                </m:r>
              </m:sup>
              <m:e>
                <m:f>
                  <m:fPr>
                    <m:ctrlPr>
                      <w:rPr>
                        <w:rFonts w:ascii="Cambria Math" w:hAnsi="Cambria Math"/>
                        <w:i/>
                        <w:sz w:val="36"/>
                        <w:szCs w:val="24"/>
                      </w:rPr>
                    </m:ctrlPr>
                  </m:fPr>
                  <m:num>
                    <m:sSub>
                      <m:sSubPr>
                        <m:ctrlPr>
                          <w:rPr>
                            <w:rFonts w:ascii="Cambria Math" w:hAnsi="Cambria Math"/>
                            <w:i/>
                            <w:sz w:val="36"/>
                            <w:szCs w:val="24"/>
                          </w:rPr>
                        </m:ctrlPr>
                      </m:sSubPr>
                      <m:e>
                        <m:r>
                          <w:rPr>
                            <w:rFonts w:ascii="Cambria Math" w:hAnsi="Cambria Math"/>
                            <w:sz w:val="36"/>
                            <w:szCs w:val="24"/>
                          </w:rPr>
                          <m:t>CF</m:t>
                        </m:r>
                      </m:e>
                      <m:sub>
                        <m:r>
                          <w:rPr>
                            <w:rFonts w:ascii="Cambria Math" w:hAnsi="Cambria Math"/>
                            <w:sz w:val="36"/>
                            <w:szCs w:val="24"/>
                          </w:rPr>
                          <m:t>t</m:t>
                        </m:r>
                      </m:sub>
                    </m:sSub>
                  </m:num>
                  <m:den>
                    <m:sSup>
                      <m:sSupPr>
                        <m:ctrlPr>
                          <w:rPr>
                            <w:rFonts w:ascii="Cambria Math" w:hAnsi="Cambria Math"/>
                            <w:i/>
                            <w:sz w:val="36"/>
                            <w:szCs w:val="24"/>
                          </w:rPr>
                        </m:ctrlPr>
                      </m:sSupPr>
                      <m:e>
                        <m:r>
                          <w:rPr>
                            <w:rFonts w:ascii="Cambria Math" w:hAnsi="Cambria Math"/>
                            <w:sz w:val="36"/>
                            <w:szCs w:val="24"/>
                          </w:rPr>
                          <m:t>(1+i)</m:t>
                        </m:r>
                      </m:e>
                      <m:sup>
                        <m:r>
                          <w:rPr>
                            <w:rFonts w:ascii="Cambria Math" w:hAnsi="Cambria Math"/>
                            <w:sz w:val="36"/>
                            <w:szCs w:val="24"/>
                          </w:rPr>
                          <m:t>t</m:t>
                        </m:r>
                      </m:sup>
                    </m:sSup>
                  </m:den>
                </m:f>
              </m:e>
            </m:nary>
          </m:num>
          <m:den>
            <m:r>
              <w:rPr>
                <w:rFonts w:ascii="Cambria Math" w:hAnsi="Cambria Math"/>
                <w:sz w:val="36"/>
                <w:szCs w:val="24"/>
              </w:rPr>
              <m:t>I</m:t>
            </m:r>
          </m:den>
        </m:f>
      </m:oMath>
      <w:r w:rsidR="006943A7">
        <w:rPr>
          <w:rFonts w:eastAsiaTheme="minorEastAsia"/>
          <w:sz w:val="24"/>
          <w:szCs w:val="24"/>
        </w:rPr>
        <w:tab/>
      </w:r>
      <w:r w:rsidR="006943A7">
        <w:rPr>
          <w:rFonts w:eastAsiaTheme="minorEastAsia"/>
          <w:sz w:val="24"/>
          <w:szCs w:val="24"/>
        </w:rPr>
        <w:tab/>
      </w:r>
      <w:r w:rsidR="006943A7">
        <w:rPr>
          <w:rFonts w:eastAsiaTheme="minorEastAsia"/>
          <w:sz w:val="24"/>
          <w:szCs w:val="24"/>
        </w:rPr>
        <w:tab/>
      </w:r>
      <w:r w:rsidR="006943A7">
        <w:rPr>
          <w:rFonts w:eastAsiaTheme="minorEastAsia"/>
          <w:sz w:val="24"/>
          <w:szCs w:val="24"/>
        </w:rPr>
        <w:tab/>
      </w:r>
      <w:r w:rsidR="006943A7">
        <w:rPr>
          <w:rFonts w:eastAsiaTheme="minorEastAsia"/>
          <w:sz w:val="24"/>
          <w:szCs w:val="24"/>
        </w:rPr>
        <w:tab/>
      </w:r>
      <w:r w:rsidR="006943A7">
        <w:rPr>
          <w:rFonts w:eastAsiaTheme="minorEastAsia"/>
          <w:sz w:val="24"/>
          <w:szCs w:val="24"/>
        </w:rPr>
        <w:tab/>
      </w:r>
      <w:r w:rsidR="006943A7">
        <w:rPr>
          <w:rFonts w:eastAsiaTheme="minorEastAsia"/>
          <w:sz w:val="24"/>
          <w:szCs w:val="24"/>
        </w:rPr>
        <w:tab/>
        <w:t>(3)</w:t>
      </w:r>
    </w:p>
    <w:p w:rsidR="00820F71" w:rsidRDefault="00820F71" w:rsidP="00C245D2">
      <w:pPr>
        <w:pStyle w:val="21"/>
        <w:tabs>
          <w:tab w:val="center" w:pos="4677"/>
        </w:tabs>
        <w:spacing w:after="480"/>
        <w:ind w:left="0" w:firstLine="851"/>
        <w:jc w:val="both"/>
        <w:rPr>
          <w:sz w:val="24"/>
          <w:szCs w:val="24"/>
        </w:rPr>
      </w:pPr>
      <w:r w:rsidRPr="00C245D2">
        <w:rPr>
          <w:sz w:val="24"/>
          <w:szCs w:val="24"/>
        </w:rPr>
        <w:t>Проект эффективен, если значение индекса доходности больше 1. Как правило, используется для оценки альтернативных инвестиционных проектов.</w:t>
      </w:r>
    </w:p>
    <w:p w:rsidR="00347239" w:rsidRPr="00C245D2" w:rsidRDefault="00347239" w:rsidP="00C245D2">
      <w:pPr>
        <w:pStyle w:val="21"/>
        <w:tabs>
          <w:tab w:val="center" w:pos="4677"/>
        </w:tabs>
        <w:spacing w:after="480"/>
        <w:ind w:left="0" w:firstLine="851"/>
        <w:jc w:val="both"/>
        <w:rPr>
          <w:sz w:val="24"/>
          <w:szCs w:val="24"/>
        </w:rPr>
      </w:pPr>
    </w:p>
    <w:p w:rsidR="00D54BC2" w:rsidRPr="00C245D2" w:rsidRDefault="00837011" w:rsidP="00C245D2">
      <w:pPr>
        <w:pStyle w:val="3"/>
        <w:jc w:val="both"/>
        <w:rPr>
          <w:rFonts w:ascii="Times New Roman" w:hAnsi="Times New Roman" w:cs="Times New Roman"/>
          <w:sz w:val="24"/>
          <w:szCs w:val="24"/>
        </w:rPr>
      </w:pPr>
      <w:bookmarkStart w:id="7" w:name="_Toc450920821"/>
      <w:r w:rsidRPr="00C245D2">
        <w:rPr>
          <w:rFonts w:ascii="Times New Roman" w:hAnsi="Times New Roman" w:cs="Times New Roman"/>
          <w:sz w:val="24"/>
          <w:szCs w:val="24"/>
        </w:rPr>
        <w:lastRenderedPageBreak/>
        <w:t>1.</w:t>
      </w:r>
      <w:r w:rsidR="00373CF7">
        <w:rPr>
          <w:rFonts w:ascii="Times New Roman" w:hAnsi="Times New Roman" w:cs="Times New Roman"/>
          <w:sz w:val="24"/>
          <w:szCs w:val="24"/>
        </w:rPr>
        <w:t>1</w:t>
      </w:r>
      <w:r w:rsidRPr="00C245D2">
        <w:rPr>
          <w:rFonts w:ascii="Times New Roman" w:hAnsi="Times New Roman" w:cs="Times New Roman"/>
          <w:sz w:val="24"/>
          <w:szCs w:val="24"/>
        </w:rPr>
        <w:t xml:space="preserve">.4. </w:t>
      </w:r>
      <w:r w:rsidR="0027469C" w:rsidRPr="00C245D2">
        <w:rPr>
          <w:rFonts w:ascii="Times New Roman" w:hAnsi="Times New Roman" w:cs="Times New Roman"/>
          <w:sz w:val="24"/>
          <w:szCs w:val="24"/>
        </w:rPr>
        <w:t>Дисконтированный период окупаемости инвестиций</w:t>
      </w:r>
      <w:bookmarkEnd w:id="7"/>
    </w:p>
    <w:p w:rsidR="0027469C" w:rsidRPr="00C245D2" w:rsidRDefault="0027469C" w:rsidP="00C245D2">
      <w:pPr>
        <w:pStyle w:val="21"/>
        <w:tabs>
          <w:tab w:val="center" w:pos="4677"/>
        </w:tabs>
        <w:spacing w:after="0"/>
        <w:ind w:left="0" w:firstLine="851"/>
        <w:jc w:val="both"/>
        <w:rPr>
          <w:sz w:val="24"/>
          <w:szCs w:val="24"/>
        </w:rPr>
      </w:pPr>
    </w:p>
    <w:p w:rsidR="00DA7939" w:rsidRPr="00C245D2" w:rsidRDefault="009E193A" w:rsidP="00C245D2">
      <w:pPr>
        <w:pStyle w:val="21"/>
        <w:tabs>
          <w:tab w:val="center" w:pos="4677"/>
        </w:tabs>
        <w:spacing w:after="0"/>
        <w:ind w:left="0" w:firstLine="851"/>
        <w:jc w:val="both"/>
        <w:rPr>
          <w:sz w:val="24"/>
          <w:szCs w:val="24"/>
        </w:rPr>
      </w:pPr>
      <w:r w:rsidRPr="00C245D2">
        <w:rPr>
          <w:sz w:val="24"/>
          <w:szCs w:val="24"/>
        </w:rPr>
        <w:t>Дисконтированный период окупаемости инвестиций – это период времени, в течение которого суммарный дисконтированный доход станет равным первоначальным инвестициям.</w:t>
      </w:r>
    </w:p>
    <w:p w:rsidR="006B30DF" w:rsidRPr="00C245D2" w:rsidRDefault="0027469C" w:rsidP="00C245D2">
      <w:pPr>
        <w:pStyle w:val="21"/>
        <w:tabs>
          <w:tab w:val="center" w:pos="4677"/>
        </w:tabs>
        <w:ind w:left="0" w:firstLine="851"/>
        <w:jc w:val="both"/>
        <w:rPr>
          <w:sz w:val="24"/>
          <w:szCs w:val="24"/>
        </w:rPr>
      </w:pPr>
      <w:r w:rsidRPr="00C245D2">
        <w:rPr>
          <w:sz w:val="24"/>
          <w:szCs w:val="24"/>
        </w:rPr>
        <w:t>В зависимости от метода финансирования, метод приобретает различный экономический смысл. Если предполагается заёмное финансирование, тогда дисконтированный период окупаемости инвестиций – это срок возврата кредита, если за счет собственных средств – срок, когда доход от проекта станет больше, чем доход по депозиту.</w:t>
      </w:r>
    </w:p>
    <w:p w:rsidR="00043F49" w:rsidRDefault="003F60CD" w:rsidP="00B4103D">
      <w:pPr>
        <w:pStyle w:val="21"/>
        <w:tabs>
          <w:tab w:val="center" w:pos="4677"/>
        </w:tabs>
        <w:ind w:left="0" w:firstLine="851"/>
        <w:rPr>
          <w:sz w:val="24"/>
          <w:szCs w:val="24"/>
        </w:rPr>
      </w:pPr>
      <w:r w:rsidRPr="00C245D2">
        <w:rPr>
          <w:sz w:val="24"/>
          <w:szCs w:val="24"/>
        </w:rPr>
        <w:t xml:space="preserve">Все вышеизложенные модели, как и любые экономические теории и методологии, имеют как сильные, так и слабые стороны, </w:t>
      </w:r>
      <w:r w:rsidR="00B4103D">
        <w:rPr>
          <w:sz w:val="24"/>
          <w:szCs w:val="24"/>
        </w:rPr>
        <w:t>в чем можно убедиться,</w:t>
      </w:r>
      <w:r w:rsidRPr="00C245D2">
        <w:rPr>
          <w:sz w:val="24"/>
          <w:szCs w:val="24"/>
        </w:rPr>
        <w:t xml:space="preserve"> </w:t>
      </w:r>
      <w:r w:rsidR="00B4103D">
        <w:rPr>
          <w:sz w:val="24"/>
          <w:szCs w:val="24"/>
        </w:rPr>
        <w:t xml:space="preserve">изучив положения </w:t>
      </w:r>
      <w:r w:rsidRPr="00C245D2">
        <w:rPr>
          <w:sz w:val="24"/>
          <w:szCs w:val="24"/>
        </w:rPr>
        <w:t>сл</w:t>
      </w:r>
      <w:r w:rsidR="00EF750B" w:rsidRPr="00C245D2">
        <w:rPr>
          <w:sz w:val="24"/>
          <w:szCs w:val="24"/>
        </w:rPr>
        <w:t>ед</w:t>
      </w:r>
      <w:r w:rsidRPr="00C245D2">
        <w:rPr>
          <w:sz w:val="24"/>
          <w:szCs w:val="24"/>
        </w:rPr>
        <w:t>ующей таблиц</w:t>
      </w:r>
      <w:r w:rsidR="00B4103D">
        <w:rPr>
          <w:sz w:val="24"/>
          <w:szCs w:val="24"/>
        </w:rPr>
        <w:t>ы</w:t>
      </w:r>
      <w:r w:rsidR="00043F49">
        <w:rPr>
          <w:sz w:val="24"/>
          <w:szCs w:val="24"/>
        </w:rPr>
        <w:t>(таб.1)</w:t>
      </w:r>
      <w:r w:rsidRPr="00C245D2">
        <w:rPr>
          <w:sz w:val="24"/>
          <w:szCs w:val="24"/>
        </w:rPr>
        <w:t>.</w:t>
      </w:r>
    </w:p>
    <w:p w:rsidR="00043F49" w:rsidRPr="00043F49" w:rsidRDefault="00043F49" w:rsidP="00043F49">
      <w:pPr>
        <w:pStyle w:val="ad"/>
        <w:spacing w:after="0"/>
        <w:ind w:firstLine="851"/>
        <w:jc w:val="both"/>
      </w:pPr>
      <w:r w:rsidRPr="00043F49">
        <w:t xml:space="preserve">Каждый метод, существующий в поле современных исследований и разработок в области оценки эффективности проектов, подразумевает использование прогнозных данных, значение которых подвержено сильнейшей волатильности как вследствие влияния факторов внешней среды (рыночной конъюнктуры, политических событий, юридических нововведений и даже природных явлений), так и под влиянием внутренних (стратегия фирмы, компетентность менеджеров и т.д.).  </w:t>
      </w:r>
    </w:p>
    <w:p w:rsidR="00043F49" w:rsidRPr="00043F49" w:rsidRDefault="00043F49" w:rsidP="00043F49">
      <w:pPr>
        <w:spacing w:after="0" w:line="360" w:lineRule="auto"/>
        <w:ind w:firstLine="851"/>
        <w:jc w:val="both"/>
        <w:rPr>
          <w:rFonts w:ascii="Times New Roman" w:hAnsi="Times New Roman" w:cs="Times New Roman"/>
          <w:sz w:val="24"/>
          <w:szCs w:val="24"/>
        </w:rPr>
      </w:pPr>
      <w:r w:rsidRPr="00043F49">
        <w:rPr>
          <w:rFonts w:ascii="Times New Roman" w:hAnsi="Times New Roman" w:cs="Times New Roman"/>
          <w:sz w:val="24"/>
          <w:szCs w:val="24"/>
        </w:rPr>
        <w:t xml:space="preserve">Ввиду отсутствия строгой детерминированности будущего, предприятия вынуждены прибегать к разнообразным методам оценки и учета риска. Качественные методы помогают выделить потенциальные риски и описать их и методы их нивелирования, в то время как количественные пытаются дать их численную оценку.  </w:t>
      </w:r>
    </w:p>
    <w:p w:rsidR="006162C9" w:rsidRPr="00C245D2" w:rsidRDefault="003F60CD" w:rsidP="00B4103D">
      <w:pPr>
        <w:pStyle w:val="21"/>
        <w:tabs>
          <w:tab w:val="center" w:pos="4677"/>
        </w:tabs>
        <w:ind w:left="0" w:firstLine="851"/>
        <w:rPr>
          <w:sz w:val="24"/>
          <w:szCs w:val="24"/>
        </w:rPr>
        <w:sectPr w:rsidR="006162C9" w:rsidRPr="00C245D2" w:rsidSect="002019B2">
          <w:headerReference w:type="default" r:id="rId8"/>
          <w:footerReference w:type="default" r:id="rId9"/>
          <w:pgSz w:w="11906" w:h="16838"/>
          <w:pgMar w:top="1134" w:right="850" w:bottom="709" w:left="1701" w:header="708" w:footer="708" w:gutter="0"/>
          <w:cols w:space="708"/>
          <w:titlePg/>
          <w:docGrid w:linePitch="360"/>
        </w:sectPr>
      </w:pPr>
      <w:r w:rsidRPr="00C245D2">
        <w:rPr>
          <w:sz w:val="24"/>
          <w:szCs w:val="24"/>
        </w:rPr>
        <w:br w:type="page"/>
      </w:r>
    </w:p>
    <w:tbl>
      <w:tblPr>
        <w:tblStyle w:val="a9"/>
        <w:tblW w:w="0" w:type="auto"/>
        <w:tblLook w:val="04A0" w:firstRow="1" w:lastRow="0" w:firstColumn="1" w:lastColumn="0" w:noHBand="0" w:noVBand="1"/>
      </w:tblPr>
      <w:tblGrid>
        <w:gridCol w:w="1827"/>
        <w:gridCol w:w="5834"/>
        <w:gridCol w:w="6899"/>
      </w:tblGrid>
      <w:tr w:rsidR="006162C9" w:rsidRPr="00C245D2" w:rsidTr="0024404A">
        <w:tc>
          <w:tcPr>
            <w:tcW w:w="1829" w:type="dxa"/>
            <w:vAlign w:val="center"/>
          </w:tcPr>
          <w:p w:rsidR="006162C9" w:rsidRPr="00C245D2" w:rsidRDefault="006162C9" w:rsidP="00C245D2">
            <w:pPr>
              <w:jc w:val="both"/>
              <w:rPr>
                <w:rFonts w:ascii="Times New Roman" w:hAnsi="Times New Roman" w:cs="Times New Roman"/>
                <w:b/>
                <w:szCs w:val="24"/>
              </w:rPr>
            </w:pPr>
            <w:r w:rsidRPr="00C245D2">
              <w:rPr>
                <w:rFonts w:ascii="Times New Roman" w:hAnsi="Times New Roman" w:cs="Times New Roman"/>
                <w:b/>
                <w:szCs w:val="24"/>
              </w:rPr>
              <w:lastRenderedPageBreak/>
              <w:t>Методы оценки эффективности ИП</w:t>
            </w:r>
          </w:p>
        </w:tc>
        <w:tc>
          <w:tcPr>
            <w:tcW w:w="5934" w:type="dxa"/>
            <w:vAlign w:val="center"/>
          </w:tcPr>
          <w:p w:rsidR="006162C9" w:rsidRPr="00C245D2" w:rsidRDefault="006162C9" w:rsidP="00C245D2">
            <w:pPr>
              <w:jc w:val="both"/>
              <w:rPr>
                <w:rFonts w:ascii="Times New Roman" w:hAnsi="Times New Roman" w:cs="Times New Roman"/>
                <w:b/>
                <w:szCs w:val="24"/>
              </w:rPr>
            </w:pPr>
            <w:r w:rsidRPr="00C245D2">
              <w:rPr>
                <w:rFonts w:ascii="Times New Roman" w:hAnsi="Times New Roman" w:cs="Times New Roman"/>
                <w:b/>
                <w:szCs w:val="24"/>
              </w:rPr>
              <w:t>Преимущества</w:t>
            </w:r>
          </w:p>
        </w:tc>
        <w:tc>
          <w:tcPr>
            <w:tcW w:w="7023" w:type="dxa"/>
            <w:vAlign w:val="center"/>
          </w:tcPr>
          <w:p w:rsidR="006162C9" w:rsidRPr="00C245D2" w:rsidRDefault="006162C9" w:rsidP="00C245D2">
            <w:pPr>
              <w:jc w:val="both"/>
              <w:rPr>
                <w:rFonts w:ascii="Times New Roman" w:hAnsi="Times New Roman" w:cs="Times New Roman"/>
                <w:b/>
                <w:szCs w:val="24"/>
              </w:rPr>
            </w:pPr>
            <w:r w:rsidRPr="00C245D2">
              <w:rPr>
                <w:rFonts w:ascii="Times New Roman" w:hAnsi="Times New Roman" w:cs="Times New Roman"/>
                <w:b/>
                <w:szCs w:val="24"/>
              </w:rPr>
              <w:t>Недостатки</w:t>
            </w:r>
          </w:p>
        </w:tc>
      </w:tr>
      <w:tr w:rsidR="006162C9" w:rsidRPr="00C245D2" w:rsidTr="0024404A">
        <w:tc>
          <w:tcPr>
            <w:tcW w:w="1829" w:type="dxa"/>
            <w:vAlign w:val="center"/>
          </w:tcPr>
          <w:p w:rsidR="006162C9" w:rsidRPr="00C245D2" w:rsidRDefault="006162C9" w:rsidP="00C245D2">
            <w:pPr>
              <w:tabs>
                <w:tab w:val="center" w:pos="4677"/>
              </w:tabs>
              <w:spacing w:line="360" w:lineRule="auto"/>
              <w:jc w:val="both"/>
              <w:rPr>
                <w:rFonts w:ascii="Times New Roman" w:hAnsi="Times New Roman" w:cs="Times New Roman"/>
                <w:szCs w:val="24"/>
              </w:rPr>
            </w:pPr>
            <w:r w:rsidRPr="00C245D2">
              <w:rPr>
                <w:rFonts w:ascii="Times New Roman" w:hAnsi="Times New Roman" w:cs="Times New Roman"/>
                <w:szCs w:val="24"/>
              </w:rPr>
              <w:t>Чистая текущая стоимость NPV</w:t>
            </w:r>
          </w:p>
        </w:tc>
        <w:tc>
          <w:tcPr>
            <w:tcW w:w="5934" w:type="dxa"/>
          </w:tcPr>
          <w:p w:rsidR="006162C9" w:rsidRPr="00C245D2" w:rsidRDefault="006162C9" w:rsidP="00C245D2">
            <w:pPr>
              <w:numPr>
                <w:ilvl w:val="0"/>
                <w:numId w:val="18"/>
              </w:numPr>
              <w:ind w:left="317" w:hanging="283"/>
              <w:jc w:val="both"/>
              <w:rPr>
                <w:rFonts w:ascii="Times New Roman" w:hAnsi="Times New Roman" w:cs="Times New Roman"/>
                <w:szCs w:val="24"/>
              </w:rPr>
            </w:pPr>
            <w:r w:rsidRPr="00C245D2">
              <w:rPr>
                <w:rFonts w:ascii="Times New Roman" w:hAnsi="Times New Roman" w:cs="Times New Roman"/>
                <w:szCs w:val="24"/>
              </w:rPr>
              <w:t>Учитывает период жизни ИП и распространение во времени денежных потоков.</w:t>
            </w:r>
          </w:p>
          <w:p w:rsidR="006162C9" w:rsidRPr="00C245D2" w:rsidRDefault="006162C9" w:rsidP="00C245D2">
            <w:pPr>
              <w:numPr>
                <w:ilvl w:val="0"/>
                <w:numId w:val="18"/>
              </w:numPr>
              <w:ind w:left="317" w:hanging="283"/>
              <w:jc w:val="both"/>
              <w:rPr>
                <w:rFonts w:ascii="Times New Roman" w:hAnsi="Times New Roman" w:cs="Times New Roman"/>
                <w:szCs w:val="24"/>
              </w:rPr>
            </w:pPr>
            <w:r w:rsidRPr="00C245D2">
              <w:rPr>
                <w:rFonts w:ascii="Times New Roman" w:hAnsi="Times New Roman" w:cs="Times New Roman"/>
                <w:szCs w:val="24"/>
              </w:rPr>
              <w:t>Выражается в стоимостных единицах текущей стоимости, т. е. учитывает момент времени.</w:t>
            </w:r>
          </w:p>
          <w:p w:rsidR="006162C9" w:rsidRPr="00C245D2" w:rsidRDefault="006162C9" w:rsidP="00C245D2">
            <w:pPr>
              <w:numPr>
                <w:ilvl w:val="0"/>
                <w:numId w:val="18"/>
              </w:numPr>
              <w:ind w:left="317" w:hanging="283"/>
              <w:jc w:val="both"/>
              <w:rPr>
                <w:rFonts w:ascii="Times New Roman" w:hAnsi="Times New Roman" w:cs="Times New Roman"/>
                <w:szCs w:val="24"/>
              </w:rPr>
            </w:pPr>
            <w:r w:rsidRPr="00C245D2">
              <w:rPr>
                <w:rFonts w:ascii="Times New Roman" w:hAnsi="Times New Roman" w:cs="Times New Roman"/>
                <w:szCs w:val="24"/>
              </w:rPr>
              <w:t xml:space="preserve">Коэффициент аддитивен во временном аспекте, т. е. допускается обобщать NPV различных проектов. </w:t>
            </w:r>
          </w:p>
          <w:p w:rsidR="006162C9" w:rsidRPr="00C245D2" w:rsidRDefault="006162C9" w:rsidP="00C245D2">
            <w:pPr>
              <w:numPr>
                <w:ilvl w:val="0"/>
                <w:numId w:val="18"/>
              </w:numPr>
              <w:ind w:left="317" w:hanging="283"/>
              <w:jc w:val="both"/>
              <w:rPr>
                <w:rFonts w:ascii="Times New Roman" w:hAnsi="Times New Roman" w:cs="Times New Roman"/>
                <w:szCs w:val="24"/>
              </w:rPr>
            </w:pPr>
            <w:r w:rsidRPr="00C245D2">
              <w:rPr>
                <w:rFonts w:ascii="Times New Roman" w:hAnsi="Times New Roman" w:cs="Times New Roman"/>
                <w:szCs w:val="24"/>
              </w:rPr>
              <w:t>Отражает прогнозную оценку изменения экономического потенциала предприятия в случае принятия ИП, т. е. модификация «актива».</w:t>
            </w:r>
          </w:p>
          <w:p w:rsidR="006162C9" w:rsidRPr="00C245D2" w:rsidRDefault="006162C9" w:rsidP="00C245D2">
            <w:pPr>
              <w:ind w:left="317" w:hanging="283"/>
              <w:jc w:val="both"/>
              <w:rPr>
                <w:rFonts w:ascii="Times New Roman" w:hAnsi="Times New Roman" w:cs="Times New Roman"/>
                <w:szCs w:val="24"/>
              </w:rPr>
            </w:pPr>
          </w:p>
        </w:tc>
        <w:tc>
          <w:tcPr>
            <w:tcW w:w="7023" w:type="dxa"/>
          </w:tcPr>
          <w:p w:rsidR="006162C9" w:rsidRPr="00E87CA9" w:rsidRDefault="006162C9" w:rsidP="00E87CA9">
            <w:pPr>
              <w:numPr>
                <w:ilvl w:val="0"/>
                <w:numId w:val="18"/>
              </w:numPr>
              <w:ind w:left="317" w:hanging="284"/>
              <w:jc w:val="both"/>
              <w:rPr>
                <w:rFonts w:ascii="Times New Roman" w:hAnsi="Times New Roman" w:cs="Times New Roman"/>
                <w:szCs w:val="24"/>
              </w:rPr>
            </w:pPr>
            <w:r w:rsidRPr="00C245D2">
              <w:rPr>
                <w:rFonts w:ascii="Times New Roman" w:hAnsi="Times New Roman" w:cs="Times New Roman"/>
                <w:szCs w:val="24"/>
              </w:rPr>
              <w:t>Абсолютный показатель, который при сравнении проектов отдает предпочтение более крупным проектам с меньшей доходностью: большее значение NPV не всегда будет соответствовать более эффективному вариа</w:t>
            </w:r>
            <w:r w:rsidR="00E87CA9">
              <w:rPr>
                <w:rFonts w:ascii="Times New Roman" w:hAnsi="Times New Roman" w:cs="Times New Roman"/>
                <w:szCs w:val="24"/>
              </w:rPr>
              <w:t>нту капиталовложений, т.е. не</w:t>
            </w:r>
            <w:r w:rsidRPr="00E87CA9">
              <w:rPr>
                <w:rFonts w:ascii="Times New Roman" w:hAnsi="Times New Roman" w:cs="Times New Roman"/>
                <w:szCs w:val="24"/>
              </w:rPr>
              <w:t xml:space="preserve"> отражает степень эффективности инвестиционного проекта</w:t>
            </w:r>
            <w:r w:rsidRPr="00C245D2">
              <w:rPr>
                <w:rFonts w:ascii="Times New Roman" w:hAnsi="Times New Roman" w:cs="Times New Roman"/>
                <w:szCs w:val="24"/>
                <w:vertAlign w:val="superscript"/>
              </w:rPr>
              <w:footnoteReference w:id="7"/>
            </w:r>
            <w:r w:rsidRPr="00E87CA9">
              <w:rPr>
                <w:rFonts w:ascii="Times New Roman" w:hAnsi="Times New Roman" w:cs="Times New Roman"/>
                <w:szCs w:val="24"/>
              </w:rPr>
              <w:t>.</w:t>
            </w:r>
          </w:p>
          <w:p w:rsidR="006162C9" w:rsidRPr="00C245D2" w:rsidRDefault="006162C9" w:rsidP="00C245D2">
            <w:pPr>
              <w:ind w:left="317" w:hanging="284"/>
              <w:jc w:val="both"/>
              <w:rPr>
                <w:rFonts w:ascii="Times New Roman" w:hAnsi="Times New Roman" w:cs="Times New Roman"/>
                <w:szCs w:val="24"/>
              </w:rPr>
            </w:pPr>
          </w:p>
        </w:tc>
      </w:tr>
      <w:tr w:rsidR="006162C9" w:rsidRPr="00C245D2" w:rsidTr="0024404A">
        <w:tc>
          <w:tcPr>
            <w:tcW w:w="1829" w:type="dxa"/>
            <w:vAlign w:val="center"/>
          </w:tcPr>
          <w:p w:rsidR="006162C9" w:rsidRPr="00E87CA9" w:rsidRDefault="006162C9" w:rsidP="00C245D2">
            <w:pPr>
              <w:tabs>
                <w:tab w:val="center" w:pos="4677"/>
              </w:tabs>
              <w:spacing w:line="360" w:lineRule="auto"/>
              <w:jc w:val="both"/>
              <w:rPr>
                <w:rFonts w:ascii="Times New Roman" w:hAnsi="Times New Roman" w:cs="Times New Roman"/>
                <w:szCs w:val="24"/>
              </w:rPr>
            </w:pPr>
            <w:r w:rsidRPr="00C245D2">
              <w:rPr>
                <w:rFonts w:ascii="Times New Roman" w:hAnsi="Times New Roman" w:cs="Times New Roman"/>
                <w:szCs w:val="24"/>
              </w:rPr>
              <w:t>Внутренняя</w:t>
            </w:r>
            <w:r w:rsidRPr="00E87CA9">
              <w:rPr>
                <w:rFonts w:ascii="Times New Roman" w:hAnsi="Times New Roman" w:cs="Times New Roman"/>
                <w:szCs w:val="24"/>
              </w:rPr>
              <w:t xml:space="preserve"> </w:t>
            </w:r>
            <w:r w:rsidRPr="00C245D2">
              <w:rPr>
                <w:rFonts w:ascii="Times New Roman" w:hAnsi="Times New Roman" w:cs="Times New Roman"/>
                <w:szCs w:val="24"/>
              </w:rPr>
              <w:t>норма</w:t>
            </w:r>
            <w:r w:rsidRPr="00E87CA9">
              <w:rPr>
                <w:rFonts w:ascii="Times New Roman" w:hAnsi="Times New Roman" w:cs="Times New Roman"/>
                <w:szCs w:val="24"/>
              </w:rPr>
              <w:t xml:space="preserve"> </w:t>
            </w:r>
            <w:r w:rsidRPr="00C245D2">
              <w:rPr>
                <w:rFonts w:ascii="Times New Roman" w:hAnsi="Times New Roman" w:cs="Times New Roman"/>
                <w:szCs w:val="24"/>
              </w:rPr>
              <w:t>рентабельности</w:t>
            </w:r>
            <w:r w:rsidRPr="00E87CA9">
              <w:rPr>
                <w:rFonts w:ascii="Times New Roman" w:hAnsi="Times New Roman" w:cs="Times New Roman"/>
                <w:szCs w:val="24"/>
              </w:rPr>
              <w:t xml:space="preserve"> </w:t>
            </w:r>
            <w:r w:rsidRPr="00C245D2">
              <w:rPr>
                <w:rFonts w:ascii="Times New Roman" w:hAnsi="Times New Roman" w:cs="Times New Roman"/>
                <w:szCs w:val="24"/>
                <w:lang w:val="en-US"/>
              </w:rPr>
              <w:t>IRR</w:t>
            </w:r>
          </w:p>
        </w:tc>
        <w:tc>
          <w:tcPr>
            <w:tcW w:w="5934" w:type="dxa"/>
          </w:tcPr>
          <w:p w:rsidR="006162C9" w:rsidRPr="00C245D2" w:rsidRDefault="006162C9" w:rsidP="00C245D2">
            <w:pPr>
              <w:numPr>
                <w:ilvl w:val="0"/>
                <w:numId w:val="19"/>
              </w:numPr>
              <w:ind w:left="317" w:hanging="283"/>
              <w:jc w:val="both"/>
              <w:rPr>
                <w:rFonts w:ascii="Times New Roman" w:hAnsi="Times New Roman" w:cs="Times New Roman"/>
                <w:szCs w:val="24"/>
              </w:rPr>
            </w:pPr>
            <w:r w:rsidRPr="00C245D2">
              <w:rPr>
                <w:rFonts w:ascii="Times New Roman" w:hAnsi="Times New Roman" w:cs="Times New Roman"/>
                <w:szCs w:val="24"/>
              </w:rPr>
              <w:t>Позволяет судить о запасе прочности проекта – позволяет сравнивать проекты с позиции риска.</w:t>
            </w:r>
          </w:p>
          <w:p w:rsidR="006162C9" w:rsidRPr="00C245D2" w:rsidRDefault="006162C9" w:rsidP="00C245D2">
            <w:pPr>
              <w:numPr>
                <w:ilvl w:val="0"/>
                <w:numId w:val="19"/>
              </w:numPr>
              <w:ind w:left="317" w:hanging="283"/>
              <w:jc w:val="both"/>
              <w:rPr>
                <w:rFonts w:ascii="Times New Roman" w:hAnsi="Times New Roman" w:cs="Times New Roman"/>
                <w:szCs w:val="24"/>
              </w:rPr>
            </w:pPr>
            <w:r w:rsidRPr="00C245D2">
              <w:rPr>
                <w:rFonts w:ascii="Times New Roman" w:hAnsi="Times New Roman" w:cs="Times New Roman"/>
                <w:szCs w:val="24"/>
              </w:rPr>
              <w:t>Не требует для расчетов ставку дисконта.</w:t>
            </w:r>
          </w:p>
        </w:tc>
        <w:tc>
          <w:tcPr>
            <w:tcW w:w="7023" w:type="dxa"/>
          </w:tcPr>
          <w:p w:rsidR="006162C9" w:rsidRPr="00C245D2" w:rsidRDefault="006162C9" w:rsidP="00C245D2">
            <w:pPr>
              <w:numPr>
                <w:ilvl w:val="0"/>
                <w:numId w:val="19"/>
              </w:numPr>
              <w:ind w:left="317" w:hanging="284"/>
              <w:jc w:val="both"/>
              <w:rPr>
                <w:rFonts w:ascii="Times New Roman" w:hAnsi="Times New Roman" w:cs="Times New Roman"/>
                <w:szCs w:val="24"/>
              </w:rPr>
            </w:pPr>
            <w:r w:rsidRPr="00C245D2">
              <w:rPr>
                <w:rFonts w:ascii="Times New Roman" w:hAnsi="Times New Roman" w:cs="Times New Roman"/>
                <w:szCs w:val="24"/>
              </w:rPr>
              <w:t>Неаддитивен.</w:t>
            </w:r>
          </w:p>
          <w:p w:rsidR="006162C9" w:rsidRPr="00C245D2" w:rsidRDefault="006162C9" w:rsidP="00C245D2">
            <w:pPr>
              <w:numPr>
                <w:ilvl w:val="0"/>
                <w:numId w:val="19"/>
              </w:numPr>
              <w:ind w:left="317" w:hanging="284"/>
              <w:jc w:val="both"/>
              <w:rPr>
                <w:rFonts w:ascii="Times New Roman" w:hAnsi="Times New Roman" w:cs="Times New Roman"/>
                <w:szCs w:val="24"/>
              </w:rPr>
            </w:pPr>
            <w:r w:rsidRPr="00C245D2">
              <w:rPr>
                <w:rFonts w:ascii="Times New Roman" w:hAnsi="Times New Roman" w:cs="Times New Roman"/>
                <w:szCs w:val="24"/>
              </w:rPr>
              <w:t>Относительный показатель: не позволяет установить «вклад» проекта в стоимость компании и с этой позиции не может являться основой сравнения проектов.</w:t>
            </w:r>
          </w:p>
          <w:p w:rsidR="006162C9" w:rsidRPr="00C245D2" w:rsidRDefault="006162C9" w:rsidP="00C245D2">
            <w:pPr>
              <w:numPr>
                <w:ilvl w:val="0"/>
                <w:numId w:val="19"/>
              </w:numPr>
              <w:ind w:left="317" w:hanging="284"/>
              <w:jc w:val="both"/>
              <w:rPr>
                <w:rFonts w:ascii="Times New Roman" w:hAnsi="Times New Roman" w:cs="Times New Roman"/>
                <w:szCs w:val="24"/>
              </w:rPr>
            </w:pPr>
            <w:r w:rsidRPr="00C245D2">
              <w:rPr>
                <w:rFonts w:ascii="Times New Roman" w:hAnsi="Times New Roman" w:cs="Times New Roman"/>
                <w:szCs w:val="24"/>
              </w:rPr>
              <w:t>Не пригоден для анализа проектов с неординарными ДП.</w:t>
            </w:r>
          </w:p>
          <w:p w:rsidR="006162C9" w:rsidRPr="00C245D2" w:rsidRDefault="006162C9" w:rsidP="00C245D2">
            <w:pPr>
              <w:numPr>
                <w:ilvl w:val="0"/>
                <w:numId w:val="19"/>
              </w:numPr>
              <w:ind w:left="317" w:hanging="284"/>
              <w:jc w:val="both"/>
              <w:rPr>
                <w:rFonts w:ascii="Times New Roman" w:hAnsi="Times New Roman" w:cs="Times New Roman"/>
                <w:szCs w:val="24"/>
              </w:rPr>
            </w:pPr>
            <w:r w:rsidRPr="00C245D2">
              <w:rPr>
                <w:rFonts w:ascii="Times New Roman" w:hAnsi="Times New Roman" w:cs="Times New Roman"/>
                <w:szCs w:val="24"/>
              </w:rPr>
              <w:t xml:space="preserve">Вычисление исходит из предположения, что свободные денежные потоки реинвестируются по ставке равной </w:t>
            </w:r>
            <w:r w:rsidRPr="00C245D2">
              <w:rPr>
                <w:rFonts w:ascii="Times New Roman" w:hAnsi="Times New Roman" w:cs="Times New Roman"/>
                <w:szCs w:val="24"/>
                <w:lang w:val="en-US"/>
              </w:rPr>
              <w:t>IRR</w:t>
            </w:r>
            <w:r w:rsidRPr="00C245D2">
              <w:rPr>
                <w:rFonts w:ascii="Times New Roman" w:hAnsi="Times New Roman" w:cs="Times New Roman"/>
                <w:szCs w:val="24"/>
              </w:rPr>
              <w:t xml:space="preserve"> (по существу такого быть не может).</w:t>
            </w:r>
          </w:p>
          <w:p w:rsidR="006162C9" w:rsidRPr="00C245D2" w:rsidRDefault="006162C9" w:rsidP="00C245D2">
            <w:pPr>
              <w:numPr>
                <w:ilvl w:val="0"/>
                <w:numId w:val="19"/>
              </w:numPr>
              <w:ind w:left="317" w:hanging="284"/>
              <w:jc w:val="both"/>
              <w:rPr>
                <w:rFonts w:ascii="Times New Roman" w:hAnsi="Times New Roman" w:cs="Times New Roman"/>
                <w:szCs w:val="24"/>
              </w:rPr>
            </w:pPr>
            <w:r w:rsidRPr="00C245D2">
              <w:rPr>
                <w:rFonts w:ascii="Times New Roman" w:hAnsi="Times New Roman" w:cs="Times New Roman"/>
                <w:szCs w:val="24"/>
              </w:rPr>
              <w:t>Показывает лишь максимальную стоимость капитала проекта.</w:t>
            </w:r>
          </w:p>
        </w:tc>
      </w:tr>
      <w:tr w:rsidR="006162C9" w:rsidRPr="00C245D2" w:rsidTr="0024404A">
        <w:tc>
          <w:tcPr>
            <w:tcW w:w="1829" w:type="dxa"/>
            <w:vAlign w:val="center"/>
          </w:tcPr>
          <w:p w:rsidR="006162C9" w:rsidRPr="00C245D2" w:rsidRDefault="006162C9" w:rsidP="00C245D2">
            <w:pPr>
              <w:tabs>
                <w:tab w:val="center" w:pos="4677"/>
              </w:tabs>
              <w:spacing w:line="360" w:lineRule="auto"/>
              <w:jc w:val="both"/>
              <w:rPr>
                <w:rFonts w:ascii="Times New Roman" w:hAnsi="Times New Roman" w:cs="Times New Roman"/>
                <w:szCs w:val="24"/>
              </w:rPr>
            </w:pPr>
            <w:r w:rsidRPr="00C245D2">
              <w:rPr>
                <w:rFonts w:ascii="Times New Roman" w:hAnsi="Times New Roman" w:cs="Times New Roman"/>
                <w:szCs w:val="24"/>
              </w:rPr>
              <w:t>Индекс</w:t>
            </w:r>
            <w:r w:rsidRPr="00C245D2">
              <w:rPr>
                <w:rFonts w:ascii="Times New Roman" w:hAnsi="Times New Roman" w:cs="Times New Roman"/>
                <w:szCs w:val="24"/>
                <w:lang w:val="en-US"/>
              </w:rPr>
              <w:t xml:space="preserve"> </w:t>
            </w:r>
            <w:r w:rsidRPr="00C245D2">
              <w:rPr>
                <w:rFonts w:ascii="Times New Roman" w:hAnsi="Times New Roman" w:cs="Times New Roman"/>
                <w:szCs w:val="24"/>
              </w:rPr>
              <w:t>прибыльности</w:t>
            </w:r>
            <w:r w:rsidRPr="00C245D2">
              <w:rPr>
                <w:rFonts w:ascii="Times New Roman" w:hAnsi="Times New Roman" w:cs="Times New Roman"/>
                <w:szCs w:val="24"/>
                <w:lang w:val="en-US"/>
              </w:rPr>
              <w:t xml:space="preserve"> PI </w:t>
            </w:r>
          </w:p>
        </w:tc>
        <w:tc>
          <w:tcPr>
            <w:tcW w:w="5934" w:type="dxa"/>
          </w:tcPr>
          <w:p w:rsidR="006162C9" w:rsidRPr="00C245D2" w:rsidRDefault="006162C9" w:rsidP="00C245D2">
            <w:pPr>
              <w:numPr>
                <w:ilvl w:val="0"/>
                <w:numId w:val="20"/>
              </w:numPr>
              <w:ind w:left="317" w:hanging="283"/>
              <w:jc w:val="both"/>
              <w:rPr>
                <w:rFonts w:ascii="Times New Roman" w:hAnsi="Times New Roman" w:cs="Times New Roman"/>
                <w:szCs w:val="24"/>
              </w:rPr>
            </w:pPr>
            <w:r w:rsidRPr="00C245D2">
              <w:rPr>
                <w:rFonts w:ascii="Times New Roman" w:hAnsi="Times New Roman" w:cs="Times New Roman"/>
                <w:szCs w:val="24"/>
              </w:rPr>
              <w:t>Являясь относительным показателем, отражает результативность единицы инвестиций.</w:t>
            </w:r>
          </w:p>
          <w:p w:rsidR="006162C9" w:rsidRPr="00C245D2" w:rsidRDefault="006162C9" w:rsidP="00C245D2">
            <w:pPr>
              <w:numPr>
                <w:ilvl w:val="0"/>
                <w:numId w:val="20"/>
              </w:numPr>
              <w:ind w:left="317" w:hanging="283"/>
              <w:jc w:val="both"/>
              <w:rPr>
                <w:rFonts w:ascii="Times New Roman" w:hAnsi="Times New Roman" w:cs="Times New Roman"/>
                <w:szCs w:val="24"/>
              </w:rPr>
            </w:pPr>
            <w:r w:rsidRPr="00C245D2">
              <w:rPr>
                <w:rFonts w:ascii="Times New Roman" w:hAnsi="Times New Roman" w:cs="Times New Roman"/>
                <w:szCs w:val="24"/>
              </w:rPr>
              <w:t>Позволяет рассуждать о запасе прочности проекта.</w:t>
            </w:r>
          </w:p>
          <w:p w:rsidR="006162C9" w:rsidRPr="00C245D2" w:rsidRDefault="006162C9" w:rsidP="00C245D2">
            <w:pPr>
              <w:numPr>
                <w:ilvl w:val="0"/>
                <w:numId w:val="20"/>
              </w:numPr>
              <w:ind w:left="317" w:hanging="283"/>
              <w:jc w:val="both"/>
              <w:rPr>
                <w:rFonts w:ascii="Times New Roman" w:hAnsi="Times New Roman" w:cs="Times New Roman"/>
                <w:szCs w:val="24"/>
              </w:rPr>
            </w:pPr>
            <w:r w:rsidRPr="00C245D2">
              <w:rPr>
                <w:rFonts w:ascii="Times New Roman" w:hAnsi="Times New Roman" w:cs="Times New Roman"/>
                <w:szCs w:val="24"/>
              </w:rPr>
              <w:t>Подходит для сравнения и ранжирования бесконечного множества проектов.</w:t>
            </w:r>
          </w:p>
        </w:tc>
        <w:tc>
          <w:tcPr>
            <w:tcW w:w="7023" w:type="dxa"/>
          </w:tcPr>
          <w:p w:rsidR="006162C9" w:rsidRPr="00C245D2" w:rsidRDefault="006162C9" w:rsidP="00C245D2">
            <w:pPr>
              <w:numPr>
                <w:ilvl w:val="0"/>
                <w:numId w:val="20"/>
              </w:numPr>
              <w:ind w:left="317" w:hanging="284"/>
              <w:jc w:val="both"/>
              <w:rPr>
                <w:rFonts w:ascii="Times New Roman" w:hAnsi="Times New Roman" w:cs="Times New Roman"/>
                <w:szCs w:val="24"/>
              </w:rPr>
            </w:pPr>
            <w:r w:rsidRPr="00C245D2">
              <w:rPr>
                <w:rFonts w:ascii="Times New Roman" w:hAnsi="Times New Roman" w:cs="Times New Roman"/>
                <w:szCs w:val="24"/>
              </w:rPr>
              <w:t>Неаддитивен.</w:t>
            </w:r>
          </w:p>
          <w:p w:rsidR="006162C9" w:rsidRPr="00C245D2" w:rsidRDefault="006162C9" w:rsidP="00C245D2">
            <w:pPr>
              <w:numPr>
                <w:ilvl w:val="0"/>
                <w:numId w:val="20"/>
              </w:numPr>
              <w:ind w:left="317" w:hanging="284"/>
              <w:jc w:val="both"/>
              <w:rPr>
                <w:rFonts w:ascii="Times New Roman" w:hAnsi="Times New Roman" w:cs="Times New Roman"/>
                <w:szCs w:val="24"/>
              </w:rPr>
            </w:pPr>
            <w:r w:rsidRPr="00C245D2">
              <w:rPr>
                <w:rFonts w:ascii="Times New Roman" w:hAnsi="Times New Roman" w:cs="Times New Roman"/>
                <w:szCs w:val="24"/>
              </w:rPr>
              <w:t>Чувствителен к масштабу, поэтому важно анализировать его в связке с чистым дисконтированным доходом.</w:t>
            </w:r>
            <w:r w:rsidRPr="00C245D2">
              <w:rPr>
                <w:rFonts w:ascii="Times New Roman" w:hAnsi="Times New Roman" w:cs="Times New Roman"/>
                <w:szCs w:val="24"/>
                <w:vertAlign w:val="superscript"/>
              </w:rPr>
              <w:footnoteReference w:id="8"/>
            </w:r>
          </w:p>
          <w:p w:rsidR="006162C9" w:rsidRPr="00C245D2" w:rsidRDefault="006162C9" w:rsidP="00C245D2">
            <w:pPr>
              <w:ind w:left="317" w:hanging="284"/>
              <w:jc w:val="both"/>
              <w:rPr>
                <w:rFonts w:ascii="Times New Roman" w:hAnsi="Times New Roman" w:cs="Times New Roman"/>
                <w:szCs w:val="24"/>
              </w:rPr>
            </w:pPr>
          </w:p>
        </w:tc>
      </w:tr>
      <w:tr w:rsidR="006162C9" w:rsidRPr="00C245D2" w:rsidTr="0024404A">
        <w:tc>
          <w:tcPr>
            <w:tcW w:w="1829" w:type="dxa"/>
            <w:vAlign w:val="center"/>
          </w:tcPr>
          <w:p w:rsidR="006162C9" w:rsidRPr="00C245D2" w:rsidRDefault="006162C9" w:rsidP="00C245D2">
            <w:pPr>
              <w:jc w:val="both"/>
              <w:rPr>
                <w:rFonts w:ascii="Times New Roman" w:hAnsi="Times New Roman" w:cs="Times New Roman"/>
                <w:szCs w:val="24"/>
              </w:rPr>
            </w:pPr>
            <w:r w:rsidRPr="00C245D2">
              <w:rPr>
                <w:rFonts w:ascii="Times New Roman" w:hAnsi="Times New Roman" w:cs="Times New Roman"/>
                <w:szCs w:val="24"/>
              </w:rPr>
              <w:t>Динамический</w:t>
            </w:r>
            <w:r w:rsidRPr="00C245D2">
              <w:rPr>
                <w:rFonts w:ascii="Times New Roman" w:hAnsi="Times New Roman" w:cs="Times New Roman"/>
                <w:szCs w:val="24"/>
                <w:lang w:val="en-US"/>
              </w:rPr>
              <w:t xml:space="preserve"> </w:t>
            </w:r>
            <w:r w:rsidRPr="00C245D2">
              <w:rPr>
                <w:rFonts w:ascii="Times New Roman" w:hAnsi="Times New Roman" w:cs="Times New Roman"/>
                <w:szCs w:val="24"/>
              </w:rPr>
              <w:t>срок</w:t>
            </w:r>
            <w:r w:rsidRPr="00C245D2">
              <w:rPr>
                <w:rFonts w:ascii="Times New Roman" w:hAnsi="Times New Roman" w:cs="Times New Roman"/>
                <w:szCs w:val="24"/>
                <w:lang w:val="en-US"/>
              </w:rPr>
              <w:t xml:space="preserve"> </w:t>
            </w:r>
            <w:r w:rsidRPr="00C245D2">
              <w:rPr>
                <w:rFonts w:ascii="Times New Roman" w:hAnsi="Times New Roman" w:cs="Times New Roman"/>
                <w:szCs w:val="24"/>
              </w:rPr>
              <w:t>окупаемости</w:t>
            </w:r>
            <w:r w:rsidRPr="00C245D2">
              <w:rPr>
                <w:rFonts w:ascii="Times New Roman" w:hAnsi="Times New Roman" w:cs="Times New Roman"/>
                <w:szCs w:val="24"/>
                <w:lang w:val="en-US"/>
              </w:rPr>
              <w:t xml:space="preserve"> DPP</w:t>
            </w:r>
          </w:p>
        </w:tc>
        <w:tc>
          <w:tcPr>
            <w:tcW w:w="5934" w:type="dxa"/>
          </w:tcPr>
          <w:p w:rsidR="006162C9" w:rsidRPr="00C245D2" w:rsidRDefault="006162C9" w:rsidP="00C245D2">
            <w:pPr>
              <w:numPr>
                <w:ilvl w:val="0"/>
                <w:numId w:val="22"/>
              </w:numPr>
              <w:ind w:left="317" w:hanging="283"/>
              <w:jc w:val="both"/>
              <w:rPr>
                <w:rFonts w:ascii="Times New Roman" w:hAnsi="Times New Roman" w:cs="Times New Roman"/>
                <w:szCs w:val="24"/>
              </w:rPr>
            </w:pPr>
            <w:r w:rsidRPr="00C245D2">
              <w:rPr>
                <w:rFonts w:ascii="Times New Roman" w:hAnsi="Times New Roman" w:cs="Times New Roman"/>
                <w:szCs w:val="24"/>
              </w:rPr>
              <w:t>Позволяет вносить оценки (правда грубые) о ликвидности и рискованности инвестиционного проекта.</w:t>
            </w:r>
          </w:p>
          <w:p w:rsidR="006162C9" w:rsidRPr="00C245D2" w:rsidRDefault="006162C9" w:rsidP="00C245D2">
            <w:pPr>
              <w:ind w:left="317" w:hanging="283"/>
              <w:jc w:val="both"/>
              <w:rPr>
                <w:rFonts w:ascii="Times New Roman" w:hAnsi="Times New Roman" w:cs="Times New Roman"/>
                <w:szCs w:val="24"/>
              </w:rPr>
            </w:pPr>
          </w:p>
        </w:tc>
        <w:tc>
          <w:tcPr>
            <w:tcW w:w="7023" w:type="dxa"/>
          </w:tcPr>
          <w:p w:rsidR="006162C9" w:rsidRPr="00C245D2" w:rsidRDefault="006162C9" w:rsidP="00C245D2">
            <w:pPr>
              <w:numPr>
                <w:ilvl w:val="0"/>
                <w:numId w:val="21"/>
              </w:numPr>
              <w:ind w:left="317" w:hanging="284"/>
              <w:jc w:val="both"/>
              <w:rPr>
                <w:rFonts w:ascii="Times New Roman" w:hAnsi="Times New Roman" w:cs="Times New Roman"/>
                <w:szCs w:val="24"/>
              </w:rPr>
            </w:pPr>
            <w:r w:rsidRPr="00C245D2">
              <w:rPr>
                <w:rFonts w:ascii="Times New Roman" w:hAnsi="Times New Roman" w:cs="Times New Roman"/>
                <w:szCs w:val="24"/>
              </w:rPr>
              <w:t>Неаддитивен.</w:t>
            </w:r>
          </w:p>
          <w:p w:rsidR="006162C9" w:rsidRPr="00C245D2" w:rsidRDefault="006162C9" w:rsidP="00C245D2">
            <w:pPr>
              <w:numPr>
                <w:ilvl w:val="0"/>
                <w:numId w:val="21"/>
              </w:numPr>
              <w:ind w:left="317" w:hanging="284"/>
              <w:jc w:val="both"/>
              <w:rPr>
                <w:rFonts w:ascii="Times New Roman" w:hAnsi="Times New Roman" w:cs="Times New Roman"/>
                <w:szCs w:val="24"/>
              </w:rPr>
            </w:pPr>
            <w:r w:rsidRPr="00C245D2">
              <w:rPr>
                <w:rFonts w:ascii="Times New Roman" w:hAnsi="Times New Roman" w:cs="Times New Roman"/>
                <w:szCs w:val="24"/>
              </w:rPr>
              <w:t>Выбор нормативного срока окупаемости может быть субъективен.</w:t>
            </w:r>
          </w:p>
          <w:p w:rsidR="006162C9" w:rsidRPr="00C245D2" w:rsidRDefault="006162C9" w:rsidP="00C245D2">
            <w:pPr>
              <w:numPr>
                <w:ilvl w:val="0"/>
                <w:numId w:val="21"/>
              </w:numPr>
              <w:ind w:left="317" w:hanging="284"/>
              <w:jc w:val="both"/>
              <w:rPr>
                <w:rFonts w:ascii="Times New Roman" w:hAnsi="Times New Roman" w:cs="Times New Roman"/>
                <w:szCs w:val="24"/>
              </w:rPr>
            </w:pPr>
            <w:r w:rsidRPr="00C245D2">
              <w:rPr>
                <w:rFonts w:ascii="Times New Roman" w:hAnsi="Times New Roman" w:cs="Times New Roman"/>
                <w:szCs w:val="24"/>
              </w:rPr>
              <w:t xml:space="preserve">Не учитывает доходность проекта за пределами срока окупаемости. </w:t>
            </w:r>
          </w:p>
        </w:tc>
      </w:tr>
    </w:tbl>
    <w:p w:rsidR="006162C9" w:rsidRPr="00C245D2" w:rsidRDefault="0055663C" w:rsidP="00C245D2">
      <w:pPr>
        <w:pStyle w:val="af2"/>
        <w:tabs>
          <w:tab w:val="clear" w:pos="4677"/>
          <w:tab w:val="clear" w:pos="9355"/>
        </w:tabs>
        <w:spacing w:after="200" w:line="276" w:lineRule="auto"/>
        <w:rPr>
          <w:rFonts w:ascii="Times New Roman" w:hAnsi="Times New Roman" w:cs="Times New Roman"/>
          <w:szCs w:val="24"/>
        </w:rPr>
        <w:sectPr w:rsidR="006162C9" w:rsidRPr="00C245D2" w:rsidSect="006162C9">
          <w:pgSz w:w="16838" w:h="11906" w:orient="landscape"/>
          <w:pgMar w:top="850" w:right="1134" w:bottom="993" w:left="1134" w:header="708" w:footer="708" w:gutter="0"/>
          <w:cols w:space="708"/>
          <w:titlePg/>
          <w:docGrid w:linePitch="360"/>
        </w:sectPr>
      </w:pPr>
      <w:r>
        <w:rPr>
          <w:rFonts w:ascii="Times New Roman" w:hAnsi="Times New Roman" w:cs="Times New Roman"/>
          <w:szCs w:val="24"/>
        </w:rPr>
        <w:t>Таб. «</w:t>
      </w:r>
      <w:r w:rsidR="00C245D2" w:rsidRPr="00C245D2">
        <w:rPr>
          <w:rFonts w:ascii="Times New Roman" w:hAnsi="Times New Roman" w:cs="Times New Roman"/>
          <w:szCs w:val="24"/>
        </w:rPr>
        <w:t>Сравнение динамических методов оценки эффективности ИП</w:t>
      </w:r>
      <w:r>
        <w:rPr>
          <w:rFonts w:ascii="Times New Roman" w:hAnsi="Times New Roman" w:cs="Times New Roman"/>
          <w:szCs w:val="24"/>
        </w:rPr>
        <w:t>»</w:t>
      </w:r>
      <w:r w:rsidR="00C245D2" w:rsidRPr="00C245D2">
        <w:rPr>
          <w:rFonts w:ascii="Times New Roman" w:hAnsi="Times New Roman" w:cs="Times New Roman"/>
          <w:szCs w:val="24"/>
        </w:rPr>
        <w:t>.</w:t>
      </w:r>
      <w:r w:rsidR="00373CF7">
        <w:rPr>
          <w:rFonts w:ascii="Times New Roman" w:hAnsi="Times New Roman" w:cs="Times New Roman"/>
          <w:szCs w:val="24"/>
        </w:rPr>
        <w:t xml:space="preserve"> Источник: составлено автором</w:t>
      </w:r>
    </w:p>
    <w:p w:rsidR="00AC4F2D" w:rsidRPr="00C245D2" w:rsidRDefault="00AC4F2D" w:rsidP="00C245D2">
      <w:pPr>
        <w:jc w:val="both"/>
        <w:rPr>
          <w:rFonts w:ascii="Times New Roman" w:hAnsi="Times New Roman" w:cs="Times New Roman"/>
          <w:sz w:val="24"/>
          <w:szCs w:val="24"/>
        </w:rPr>
      </w:pPr>
    </w:p>
    <w:p w:rsidR="00665792" w:rsidRPr="00C245D2" w:rsidRDefault="00E87CA9" w:rsidP="00E87CA9">
      <w:pPr>
        <w:pStyle w:val="2"/>
        <w:jc w:val="center"/>
      </w:pPr>
      <w:bookmarkStart w:id="8" w:name="_Toc450920822"/>
      <w:r>
        <w:t>1</w:t>
      </w:r>
      <w:r w:rsidR="00A95D19" w:rsidRPr="00C245D2">
        <w:t>.</w:t>
      </w:r>
      <w:r>
        <w:t>2</w:t>
      </w:r>
      <w:r w:rsidR="00A95D19" w:rsidRPr="00C245D2">
        <w:t xml:space="preserve"> Учет рисков при оценке эффективности инвестиционных проектов</w:t>
      </w:r>
      <w:bookmarkEnd w:id="8"/>
    </w:p>
    <w:p w:rsidR="00A95D19" w:rsidRPr="00C245D2" w:rsidRDefault="00A95D19" w:rsidP="00C245D2">
      <w:pPr>
        <w:jc w:val="both"/>
        <w:rPr>
          <w:rFonts w:ascii="Times New Roman" w:hAnsi="Times New Roman" w:cs="Times New Roman"/>
          <w:sz w:val="24"/>
          <w:szCs w:val="24"/>
        </w:rPr>
      </w:pPr>
    </w:p>
    <w:p w:rsidR="00BA112A" w:rsidRPr="00C245D2" w:rsidRDefault="0039157D"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Основной целью предприниматель</w:t>
      </w:r>
      <w:r w:rsidR="005D4645" w:rsidRPr="00C245D2">
        <w:rPr>
          <w:rFonts w:ascii="Times New Roman" w:hAnsi="Times New Roman" w:cs="Times New Roman"/>
          <w:sz w:val="24"/>
          <w:szCs w:val="24"/>
        </w:rPr>
        <w:t xml:space="preserve">ской деятельности является обеспечение прибыльности, доходности и рентабельности функционирующего предприятия с учетом нескольких факторов. Во-первых, требуемый уровень доходности должен как минимум покрывать инфляционное обесценивание денег. Во-вторых, он </w:t>
      </w:r>
      <w:r w:rsidRPr="00C245D2">
        <w:rPr>
          <w:rFonts w:ascii="Times New Roman" w:hAnsi="Times New Roman" w:cs="Times New Roman"/>
          <w:sz w:val="24"/>
          <w:szCs w:val="24"/>
        </w:rPr>
        <w:t xml:space="preserve">должен обосновывать саму цель ведения бизнеса – гарантировать максимально возможный доход инвесторам. Ну и наконец, возникает необходимость компенсировать риски, сопровождающие процесс реализации инвестиционного проекта. Именно из-за тесной связи рисков с финансовым результатом </w:t>
      </w:r>
      <w:r w:rsidR="00FE7B56" w:rsidRPr="00C245D2">
        <w:rPr>
          <w:rFonts w:ascii="Times New Roman" w:hAnsi="Times New Roman" w:cs="Times New Roman"/>
          <w:sz w:val="24"/>
          <w:szCs w:val="24"/>
        </w:rPr>
        <w:t>проблема количественной и качественной оценки инвестиционных рисков является популярной как в современной науке, так и непосредственно в практике.</w:t>
      </w:r>
      <w:r w:rsidRPr="00C245D2">
        <w:rPr>
          <w:rFonts w:ascii="Times New Roman" w:hAnsi="Times New Roman" w:cs="Times New Roman"/>
          <w:sz w:val="24"/>
          <w:szCs w:val="24"/>
        </w:rPr>
        <w:t xml:space="preserve"> </w:t>
      </w:r>
    </w:p>
    <w:p w:rsidR="00811163" w:rsidRPr="00C245D2" w:rsidRDefault="00081963"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При оценке эффективности инвестиционных проектов для применения статических и динамических методов, рассмотренных в главе 1, возникает </w:t>
      </w:r>
      <w:r w:rsidR="008E45E3" w:rsidRPr="00C245D2">
        <w:rPr>
          <w:rFonts w:ascii="Times New Roman" w:hAnsi="Times New Roman" w:cs="Times New Roman"/>
          <w:sz w:val="24"/>
          <w:szCs w:val="24"/>
        </w:rPr>
        <w:t>потребн</w:t>
      </w:r>
      <w:r w:rsidRPr="00C245D2">
        <w:rPr>
          <w:rFonts w:ascii="Times New Roman" w:hAnsi="Times New Roman" w:cs="Times New Roman"/>
          <w:sz w:val="24"/>
          <w:szCs w:val="24"/>
        </w:rPr>
        <w:t xml:space="preserve">ость в «вводных данных», </w:t>
      </w:r>
      <w:r w:rsidR="008E45E3" w:rsidRPr="00C245D2">
        <w:rPr>
          <w:rFonts w:ascii="Times New Roman" w:hAnsi="Times New Roman" w:cs="Times New Roman"/>
          <w:sz w:val="24"/>
          <w:szCs w:val="24"/>
        </w:rPr>
        <w:t xml:space="preserve">то есть </w:t>
      </w:r>
      <w:r w:rsidRPr="00C245D2">
        <w:rPr>
          <w:rFonts w:ascii="Times New Roman" w:hAnsi="Times New Roman" w:cs="Times New Roman"/>
          <w:sz w:val="24"/>
          <w:szCs w:val="24"/>
        </w:rPr>
        <w:t>показателей, используемых в расчет</w:t>
      </w:r>
      <w:r w:rsidR="008E45E3" w:rsidRPr="00C245D2">
        <w:rPr>
          <w:rFonts w:ascii="Times New Roman" w:hAnsi="Times New Roman" w:cs="Times New Roman"/>
          <w:sz w:val="24"/>
          <w:szCs w:val="24"/>
        </w:rPr>
        <w:t>ах</w:t>
      </w:r>
      <w:r w:rsidRPr="00C245D2">
        <w:rPr>
          <w:rFonts w:ascii="Times New Roman" w:hAnsi="Times New Roman" w:cs="Times New Roman"/>
          <w:sz w:val="24"/>
          <w:szCs w:val="24"/>
        </w:rPr>
        <w:t xml:space="preserve">. К этим данным относятся денежные потоки, ставка дисконтирования, </w:t>
      </w:r>
      <w:r w:rsidR="008E45E3" w:rsidRPr="00C245D2">
        <w:rPr>
          <w:rFonts w:ascii="Times New Roman" w:hAnsi="Times New Roman" w:cs="Times New Roman"/>
          <w:sz w:val="24"/>
          <w:szCs w:val="24"/>
        </w:rPr>
        <w:t>первоначальные</w:t>
      </w:r>
      <w:r w:rsidRPr="00C245D2">
        <w:rPr>
          <w:rFonts w:ascii="Times New Roman" w:hAnsi="Times New Roman" w:cs="Times New Roman"/>
          <w:sz w:val="24"/>
          <w:szCs w:val="24"/>
        </w:rPr>
        <w:t xml:space="preserve"> инвест</w:t>
      </w:r>
      <w:r w:rsidR="008E45E3" w:rsidRPr="00C245D2">
        <w:rPr>
          <w:rFonts w:ascii="Times New Roman" w:hAnsi="Times New Roman" w:cs="Times New Roman"/>
          <w:sz w:val="24"/>
          <w:szCs w:val="24"/>
        </w:rPr>
        <w:t>иции, с</w:t>
      </w:r>
      <w:r w:rsidRPr="00C245D2">
        <w:rPr>
          <w:rFonts w:ascii="Times New Roman" w:hAnsi="Times New Roman" w:cs="Times New Roman"/>
          <w:sz w:val="24"/>
          <w:szCs w:val="24"/>
        </w:rPr>
        <w:t xml:space="preserve">рок реализации проекта. Величина капитальных вложений, как правило, известна инвестору еще на прединвестиционной стадии на шаге анализа возможности вливания финансовых ресурсов как таковой. Срок реализации </w:t>
      </w:r>
      <w:r w:rsidR="008E45E3" w:rsidRPr="00C245D2">
        <w:rPr>
          <w:rFonts w:ascii="Times New Roman" w:hAnsi="Times New Roman" w:cs="Times New Roman"/>
          <w:sz w:val="24"/>
          <w:szCs w:val="24"/>
        </w:rPr>
        <w:t>п</w:t>
      </w:r>
      <w:r w:rsidRPr="00C245D2">
        <w:rPr>
          <w:rFonts w:ascii="Times New Roman" w:hAnsi="Times New Roman" w:cs="Times New Roman"/>
          <w:sz w:val="24"/>
          <w:szCs w:val="24"/>
        </w:rPr>
        <w:t>роекта зачастую легко пр</w:t>
      </w:r>
      <w:r w:rsidR="008E45E3" w:rsidRPr="00C245D2">
        <w:rPr>
          <w:rFonts w:ascii="Times New Roman" w:hAnsi="Times New Roman" w:cs="Times New Roman"/>
          <w:sz w:val="24"/>
          <w:szCs w:val="24"/>
        </w:rPr>
        <w:t>едсказ</w:t>
      </w:r>
      <w:r w:rsidRPr="00C245D2">
        <w:rPr>
          <w:rFonts w:ascii="Times New Roman" w:hAnsi="Times New Roman" w:cs="Times New Roman"/>
          <w:sz w:val="24"/>
          <w:szCs w:val="24"/>
        </w:rPr>
        <w:t xml:space="preserve">уем, а вот проблема </w:t>
      </w:r>
      <w:r w:rsidR="008E45E3" w:rsidRPr="00C245D2">
        <w:rPr>
          <w:rFonts w:ascii="Times New Roman" w:hAnsi="Times New Roman" w:cs="Times New Roman"/>
          <w:sz w:val="24"/>
          <w:szCs w:val="24"/>
        </w:rPr>
        <w:t xml:space="preserve">прогнозирования денежных потоков и ставки доходности, </w:t>
      </w:r>
      <w:r w:rsidRPr="00C245D2">
        <w:rPr>
          <w:rFonts w:ascii="Times New Roman" w:hAnsi="Times New Roman" w:cs="Times New Roman"/>
          <w:sz w:val="24"/>
          <w:szCs w:val="24"/>
        </w:rPr>
        <w:t xml:space="preserve">наиболее </w:t>
      </w:r>
      <w:r w:rsidR="008E45E3" w:rsidRPr="00C245D2">
        <w:rPr>
          <w:rFonts w:ascii="Times New Roman" w:hAnsi="Times New Roman" w:cs="Times New Roman"/>
          <w:sz w:val="24"/>
          <w:szCs w:val="24"/>
        </w:rPr>
        <w:t>близких к реальному будущему сценарию, представляет большие трудности. Даже при тщательном и всеобъемлющем анализе эти данные могут существенно отличаться от фактических, поэтому при оценке эффективности всегда следует обращать внимание на такие категории как неопределенность и риск.</w:t>
      </w:r>
    </w:p>
    <w:p w:rsidR="00895533" w:rsidRPr="00C245D2" w:rsidRDefault="00E87CA9" w:rsidP="00C245D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«Неопределенность» и «риск» могут показаться</w:t>
      </w:r>
      <w:r w:rsidR="008E45E3" w:rsidRPr="00C245D2">
        <w:rPr>
          <w:rFonts w:ascii="Times New Roman" w:hAnsi="Times New Roman" w:cs="Times New Roman"/>
          <w:sz w:val="24"/>
          <w:szCs w:val="24"/>
        </w:rPr>
        <w:t xml:space="preserve"> </w:t>
      </w:r>
      <w:r w:rsidR="00895533" w:rsidRPr="00C245D2">
        <w:rPr>
          <w:rFonts w:ascii="Times New Roman" w:hAnsi="Times New Roman" w:cs="Times New Roman"/>
          <w:sz w:val="24"/>
          <w:szCs w:val="24"/>
        </w:rPr>
        <w:t xml:space="preserve">понятиями </w:t>
      </w:r>
      <w:r w:rsidR="008E45E3" w:rsidRPr="00C245D2">
        <w:rPr>
          <w:rFonts w:ascii="Times New Roman" w:hAnsi="Times New Roman" w:cs="Times New Roman"/>
          <w:sz w:val="24"/>
          <w:szCs w:val="24"/>
        </w:rPr>
        <w:t>взаимозаменяемыми, однако многие ученые, в частности, Фрэнк Найт, в своей научной работе «Понятия риска и неопределенности»</w:t>
      </w:r>
      <w:r w:rsidR="008E45E3" w:rsidRPr="00C245D2">
        <w:rPr>
          <w:rStyle w:val="a8"/>
          <w:rFonts w:ascii="Times New Roman" w:hAnsi="Times New Roman" w:cs="Times New Roman"/>
          <w:sz w:val="24"/>
          <w:szCs w:val="24"/>
        </w:rPr>
        <w:footnoteReference w:id="9"/>
      </w:r>
      <w:r w:rsidR="008E45E3" w:rsidRPr="00C245D2">
        <w:rPr>
          <w:rFonts w:ascii="Times New Roman" w:hAnsi="Times New Roman" w:cs="Times New Roman"/>
          <w:sz w:val="24"/>
          <w:szCs w:val="24"/>
        </w:rPr>
        <w:t xml:space="preserve"> дает достаточно однозначную трактовку этим категориям. Так, по его словам,  риск </w:t>
      </w:r>
      <w:r w:rsidR="00895533" w:rsidRPr="00C245D2">
        <w:rPr>
          <w:rFonts w:ascii="Times New Roman" w:hAnsi="Times New Roman" w:cs="Times New Roman"/>
          <w:sz w:val="24"/>
          <w:szCs w:val="24"/>
        </w:rPr>
        <w:t>–</w:t>
      </w:r>
      <w:r w:rsidR="008E45E3" w:rsidRPr="00C245D2">
        <w:rPr>
          <w:rFonts w:ascii="Times New Roman" w:hAnsi="Times New Roman" w:cs="Times New Roman"/>
          <w:sz w:val="24"/>
          <w:szCs w:val="24"/>
        </w:rPr>
        <w:t xml:space="preserve"> </w:t>
      </w:r>
      <w:r w:rsidR="00895533" w:rsidRPr="00C245D2">
        <w:rPr>
          <w:rFonts w:ascii="Times New Roman" w:hAnsi="Times New Roman" w:cs="Times New Roman"/>
          <w:sz w:val="24"/>
          <w:szCs w:val="24"/>
        </w:rPr>
        <w:t xml:space="preserve">это когда вероятность наступления того или иного результата заранее известна, в случае же с неопределенностью, вероятностное распределение возможных исходов не определено. Чаще всего неопределенность возникает в ситуациях, когда для определения вероятности невозможно собрать определенную выборку в следствие того, что рассматриваемый случай уникален. Однако, как известно, в современной нестационарной экономике как за счет внешних факторов, так и за счет внутренних, каждый </w:t>
      </w:r>
      <w:r w:rsidR="00895533" w:rsidRPr="00C245D2">
        <w:rPr>
          <w:rFonts w:ascii="Times New Roman" w:hAnsi="Times New Roman" w:cs="Times New Roman"/>
          <w:sz w:val="24"/>
          <w:szCs w:val="24"/>
        </w:rPr>
        <w:lastRenderedPageBreak/>
        <w:t xml:space="preserve">инвестиционный проект необходимо рассматривать как отдельный, уникальный случай. Из этого вытекает следующий вывод: сложность прогнозирования вводных данных приводит к возникновению ситуации неопределенности, и именно эту неопределенность необходимо каким-либо образом оценить и нивелировать. </w:t>
      </w:r>
    </w:p>
    <w:p w:rsidR="00895533" w:rsidRPr="00C245D2" w:rsidRDefault="00895533" w:rsidP="00C245D2">
      <w:pPr>
        <w:spacing w:after="48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Однако в современной литературе </w:t>
      </w:r>
      <w:r w:rsidR="005A40FB" w:rsidRPr="00C245D2">
        <w:rPr>
          <w:rFonts w:ascii="Times New Roman" w:hAnsi="Times New Roman" w:cs="Times New Roman"/>
          <w:sz w:val="24"/>
          <w:szCs w:val="24"/>
        </w:rPr>
        <w:t xml:space="preserve">категория риск признается производной от фактора неопределенности. Поэтому в методологии </w:t>
      </w:r>
      <w:r w:rsidR="00EE4228" w:rsidRPr="00C245D2">
        <w:rPr>
          <w:rFonts w:ascii="Times New Roman" w:hAnsi="Times New Roman" w:cs="Times New Roman"/>
          <w:sz w:val="24"/>
          <w:szCs w:val="24"/>
        </w:rPr>
        <w:t xml:space="preserve">оценки риска инвестиционного проекта однозначности пока не установилось. Тем не менее, большинство авторов, работающих над этой проблемой, </w:t>
      </w:r>
      <w:r w:rsidR="00CC5600" w:rsidRPr="00C245D2">
        <w:rPr>
          <w:rFonts w:ascii="Times New Roman" w:hAnsi="Times New Roman" w:cs="Times New Roman"/>
          <w:sz w:val="24"/>
          <w:szCs w:val="24"/>
        </w:rPr>
        <w:t xml:space="preserve">как правило, выделяют два основных подхода: качественный и количественный. </w:t>
      </w:r>
    </w:p>
    <w:p w:rsidR="00CC5600" w:rsidRPr="00C245D2" w:rsidRDefault="004E19AA" w:rsidP="00C245D2">
      <w:pPr>
        <w:pStyle w:val="2"/>
        <w:jc w:val="both"/>
        <w:rPr>
          <w:rFonts w:ascii="Times New Roman" w:hAnsi="Times New Roman" w:cs="Times New Roman"/>
          <w:sz w:val="24"/>
          <w:szCs w:val="24"/>
        </w:rPr>
      </w:pPr>
      <w:bookmarkStart w:id="9" w:name="_Toc450920823"/>
      <w:r>
        <w:rPr>
          <w:rFonts w:ascii="Times New Roman" w:hAnsi="Times New Roman" w:cs="Times New Roman"/>
          <w:sz w:val="24"/>
          <w:szCs w:val="24"/>
        </w:rPr>
        <w:t>1.</w:t>
      </w:r>
      <w:r w:rsidR="00837011" w:rsidRPr="00C245D2">
        <w:rPr>
          <w:rFonts w:ascii="Times New Roman" w:hAnsi="Times New Roman" w:cs="Times New Roman"/>
          <w:sz w:val="24"/>
          <w:szCs w:val="24"/>
        </w:rPr>
        <w:t xml:space="preserve">2.1 </w:t>
      </w:r>
      <w:r w:rsidR="00CC5600" w:rsidRPr="00C245D2">
        <w:rPr>
          <w:rFonts w:ascii="Times New Roman" w:hAnsi="Times New Roman" w:cs="Times New Roman"/>
          <w:sz w:val="24"/>
          <w:szCs w:val="24"/>
        </w:rPr>
        <w:t>Качественный подход к оценке инвестиционных рисков</w:t>
      </w:r>
      <w:bookmarkEnd w:id="9"/>
    </w:p>
    <w:p w:rsidR="00CC5600" w:rsidRPr="00C245D2" w:rsidRDefault="00CC5600" w:rsidP="00C245D2">
      <w:pPr>
        <w:spacing w:after="0"/>
        <w:jc w:val="both"/>
        <w:rPr>
          <w:rFonts w:ascii="Times New Roman" w:hAnsi="Times New Roman" w:cs="Times New Roman"/>
          <w:sz w:val="24"/>
          <w:szCs w:val="24"/>
        </w:rPr>
      </w:pPr>
    </w:p>
    <w:p w:rsidR="0027506E" w:rsidRPr="00C245D2" w:rsidRDefault="0027506E"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Качественные методы оценки рисков предполагают выявление и идентификацию </w:t>
      </w:r>
      <w:r w:rsidR="00B911AE" w:rsidRPr="00C245D2">
        <w:rPr>
          <w:rFonts w:ascii="Times New Roman" w:hAnsi="Times New Roman" w:cs="Times New Roman"/>
          <w:sz w:val="24"/>
          <w:szCs w:val="24"/>
        </w:rPr>
        <w:t>видов рисков, которым подвержен проект, определение причин, источников  и факторов, влияющих на данный вид риска. Несмотря на то, что конкретная стоимостная оценка риска в этом случае не производится, результаты качественных оценок служат основой для качественного анализа.</w:t>
      </w:r>
    </w:p>
    <w:p w:rsidR="00B911AE" w:rsidRPr="00C245D2" w:rsidRDefault="00B911AE"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К основным методам качественного подхода в первую очередь относят: </w:t>
      </w:r>
    </w:p>
    <w:p w:rsidR="00B911AE" w:rsidRPr="00C245D2" w:rsidRDefault="00B911AE" w:rsidP="00C245D2">
      <w:pPr>
        <w:pStyle w:val="a3"/>
        <w:numPr>
          <w:ilvl w:val="0"/>
          <w:numId w:val="11"/>
        </w:numPr>
        <w:spacing w:after="0" w:line="360" w:lineRule="auto"/>
        <w:jc w:val="both"/>
        <w:rPr>
          <w:rFonts w:ascii="Times New Roman" w:hAnsi="Times New Roman" w:cs="Times New Roman"/>
          <w:sz w:val="24"/>
          <w:szCs w:val="24"/>
        </w:rPr>
      </w:pPr>
      <w:r w:rsidRPr="00C245D2">
        <w:rPr>
          <w:rFonts w:ascii="Times New Roman" w:hAnsi="Times New Roman" w:cs="Times New Roman"/>
          <w:sz w:val="24"/>
          <w:szCs w:val="24"/>
        </w:rPr>
        <w:t>анализ уместности затрат;</w:t>
      </w:r>
    </w:p>
    <w:p w:rsidR="00B911AE" w:rsidRPr="00C245D2" w:rsidRDefault="00B911AE" w:rsidP="00C245D2">
      <w:pPr>
        <w:pStyle w:val="a3"/>
        <w:numPr>
          <w:ilvl w:val="0"/>
          <w:numId w:val="11"/>
        </w:numPr>
        <w:spacing w:after="0" w:line="360" w:lineRule="auto"/>
        <w:jc w:val="both"/>
        <w:rPr>
          <w:rFonts w:ascii="Times New Roman" w:hAnsi="Times New Roman" w:cs="Times New Roman"/>
          <w:sz w:val="24"/>
          <w:szCs w:val="24"/>
        </w:rPr>
      </w:pPr>
      <w:r w:rsidRPr="00C245D2">
        <w:rPr>
          <w:rFonts w:ascii="Times New Roman" w:hAnsi="Times New Roman" w:cs="Times New Roman"/>
          <w:sz w:val="24"/>
          <w:szCs w:val="24"/>
        </w:rPr>
        <w:t>метод аналогий;</w:t>
      </w:r>
    </w:p>
    <w:p w:rsidR="00B911AE" w:rsidRPr="00C245D2" w:rsidRDefault="00B911AE" w:rsidP="00C245D2">
      <w:pPr>
        <w:pStyle w:val="a3"/>
        <w:numPr>
          <w:ilvl w:val="0"/>
          <w:numId w:val="11"/>
        </w:numPr>
        <w:spacing w:after="480" w:line="360" w:lineRule="auto"/>
        <w:ind w:left="1570" w:hanging="357"/>
        <w:jc w:val="both"/>
        <w:rPr>
          <w:rFonts w:ascii="Times New Roman" w:hAnsi="Times New Roman" w:cs="Times New Roman"/>
          <w:sz w:val="24"/>
          <w:szCs w:val="24"/>
        </w:rPr>
      </w:pPr>
      <w:r w:rsidRPr="00C245D2">
        <w:rPr>
          <w:rFonts w:ascii="Times New Roman" w:hAnsi="Times New Roman" w:cs="Times New Roman"/>
          <w:sz w:val="24"/>
          <w:szCs w:val="24"/>
        </w:rPr>
        <w:t>метод экспертных оценок.</w:t>
      </w:r>
    </w:p>
    <w:p w:rsidR="0027506E" w:rsidRPr="00C245D2" w:rsidRDefault="00B911AE" w:rsidP="00C245D2">
      <w:pPr>
        <w:pStyle w:val="3"/>
        <w:jc w:val="both"/>
        <w:rPr>
          <w:rFonts w:ascii="Times New Roman" w:hAnsi="Times New Roman" w:cs="Times New Roman"/>
          <w:sz w:val="24"/>
          <w:szCs w:val="24"/>
        </w:rPr>
      </w:pPr>
      <w:bookmarkStart w:id="10" w:name="_Toc450920824"/>
      <w:r w:rsidRPr="00C245D2">
        <w:rPr>
          <w:rFonts w:ascii="Times New Roman" w:hAnsi="Times New Roman" w:cs="Times New Roman"/>
          <w:sz w:val="24"/>
          <w:szCs w:val="24"/>
        </w:rPr>
        <w:t>Метод уместности затрат</w:t>
      </w:r>
      <w:bookmarkEnd w:id="10"/>
    </w:p>
    <w:p w:rsidR="00B911AE" w:rsidRPr="00C245D2" w:rsidRDefault="00B911AE" w:rsidP="00C245D2">
      <w:pPr>
        <w:spacing w:after="0"/>
        <w:jc w:val="both"/>
        <w:rPr>
          <w:rFonts w:ascii="Times New Roman" w:hAnsi="Times New Roman" w:cs="Times New Roman"/>
          <w:sz w:val="24"/>
          <w:szCs w:val="24"/>
        </w:rPr>
      </w:pPr>
    </w:p>
    <w:p w:rsidR="009921CA" w:rsidRPr="00C245D2" w:rsidRDefault="009921CA"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Данный метод предполагает, что риск перерасхода средств в процессе реализации инвестиционного проекта может быть вызван следующими факторами:</w:t>
      </w:r>
    </w:p>
    <w:p w:rsidR="009921CA" w:rsidRPr="00C245D2" w:rsidRDefault="009921CA" w:rsidP="00C245D2">
      <w:pPr>
        <w:pStyle w:val="a3"/>
        <w:numPr>
          <w:ilvl w:val="0"/>
          <w:numId w:val="12"/>
        </w:numPr>
        <w:spacing w:after="0" w:line="360" w:lineRule="auto"/>
        <w:jc w:val="both"/>
        <w:rPr>
          <w:rFonts w:ascii="Times New Roman" w:hAnsi="Times New Roman" w:cs="Times New Roman"/>
          <w:sz w:val="24"/>
          <w:szCs w:val="24"/>
        </w:rPr>
      </w:pPr>
      <w:r w:rsidRPr="00C245D2">
        <w:rPr>
          <w:rFonts w:ascii="Times New Roman" w:hAnsi="Times New Roman" w:cs="Times New Roman"/>
          <w:sz w:val="24"/>
          <w:szCs w:val="24"/>
        </w:rPr>
        <w:t>изначальная недооценка стоимости проекта в целом или его отдельных фаз и составляющих;</w:t>
      </w:r>
    </w:p>
    <w:p w:rsidR="009921CA" w:rsidRPr="00C245D2" w:rsidRDefault="009921CA" w:rsidP="00C245D2">
      <w:pPr>
        <w:pStyle w:val="a3"/>
        <w:numPr>
          <w:ilvl w:val="0"/>
          <w:numId w:val="12"/>
        </w:numPr>
        <w:spacing w:after="0" w:line="360" w:lineRule="auto"/>
        <w:jc w:val="both"/>
        <w:rPr>
          <w:rFonts w:ascii="Times New Roman" w:hAnsi="Times New Roman" w:cs="Times New Roman"/>
          <w:sz w:val="24"/>
          <w:szCs w:val="24"/>
        </w:rPr>
      </w:pPr>
      <w:r w:rsidRPr="00C245D2">
        <w:rPr>
          <w:rFonts w:ascii="Times New Roman" w:hAnsi="Times New Roman" w:cs="Times New Roman"/>
          <w:sz w:val="24"/>
          <w:szCs w:val="24"/>
        </w:rPr>
        <w:t>изменение границ проектирования, обусловленное непредвиденными обстоятельствами;</w:t>
      </w:r>
    </w:p>
    <w:p w:rsidR="009921CA" w:rsidRPr="00C245D2" w:rsidRDefault="00276538" w:rsidP="00C245D2">
      <w:pPr>
        <w:pStyle w:val="a3"/>
        <w:numPr>
          <w:ilvl w:val="0"/>
          <w:numId w:val="12"/>
        </w:numPr>
        <w:spacing w:after="0" w:line="360" w:lineRule="auto"/>
        <w:jc w:val="both"/>
        <w:rPr>
          <w:rFonts w:ascii="Times New Roman" w:hAnsi="Times New Roman" w:cs="Times New Roman"/>
          <w:sz w:val="24"/>
          <w:szCs w:val="24"/>
        </w:rPr>
      </w:pPr>
      <w:r w:rsidRPr="00C245D2">
        <w:rPr>
          <w:rFonts w:ascii="Times New Roman" w:hAnsi="Times New Roman" w:cs="Times New Roman"/>
          <w:sz w:val="24"/>
          <w:szCs w:val="24"/>
        </w:rPr>
        <w:t>несоответствие</w:t>
      </w:r>
      <w:r w:rsidR="009921CA" w:rsidRPr="00C245D2">
        <w:rPr>
          <w:rFonts w:ascii="Times New Roman" w:hAnsi="Times New Roman" w:cs="Times New Roman"/>
          <w:sz w:val="24"/>
          <w:szCs w:val="24"/>
        </w:rPr>
        <w:t xml:space="preserve"> </w:t>
      </w:r>
      <w:r w:rsidRPr="00C245D2">
        <w:rPr>
          <w:rFonts w:ascii="Times New Roman" w:hAnsi="Times New Roman" w:cs="Times New Roman"/>
          <w:sz w:val="24"/>
          <w:szCs w:val="24"/>
        </w:rPr>
        <w:t xml:space="preserve">предусмотренной проектом </w:t>
      </w:r>
      <w:r w:rsidR="009921CA" w:rsidRPr="00C245D2">
        <w:rPr>
          <w:rFonts w:ascii="Times New Roman" w:hAnsi="Times New Roman" w:cs="Times New Roman"/>
          <w:sz w:val="24"/>
          <w:szCs w:val="24"/>
        </w:rPr>
        <w:t>производ</w:t>
      </w:r>
      <w:r w:rsidRPr="00C245D2">
        <w:rPr>
          <w:rFonts w:ascii="Times New Roman" w:hAnsi="Times New Roman" w:cs="Times New Roman"/>
          <w:sz w:val="24"/>
          <w:szCs w:val="24"/>
        </w:rPr>
        <w:t>ительности машин и механизмов</w:t>
      </w:r>
      <w:r w:rsidR="009921CA" w:rsidRPr="00C245D2">
        <w:rPr>
          <w:rFonts w:ascii="Times New Roman" w:hAnsi="Times New Roman" w:cs="Times New Roman"/>
          <w:sz w:val="24"/>
          <w:szCs w:val="24"/>
        </w:rPr>
        <w:t>;</w:t>
      </w:r>
    </w:p>
    <w:p w:rsidR="009921CA" w:rsidRPr="00C245D2" w:rsidRDefault="009921CA" w:rsidP="00C245D2">
      <w:pPr>
        <w:pStyle w:val="a3"/>
        <w:numPr>
          <w:ilvl w:val="0"/>
          <w:numId w:val="12"/>
        </w:numPr>
        <w:spacing w:after="360" w:line="360" w:lineRule="auto"/>
        <w:ind w:left="714" w:hanging="357"/>
        <w:jc w:val="both"/>
        <w:rPr>
          <w:rFonts w:ascii="Times New Roman" w:hAnsi="Times New Roman" w:cs="Times New Roman"/>
          <w:sz w:val="24"/>
          <w:szCs w:val="24"/>
        </w:rPr>
      </w:pPr>
      <w:r w:rsidRPr="00C245D2">
        <w:rPr>
          <w:rFonts w:ascii="Times New Roman" w:hAnsi="Times New Roman" w:cs="Times New Roman"/>
          <w:sz w:val="24"/>
          <w:szCs w:val="24"/>
        </w:rPr>
        <w:lastRenderedPageBreak/>
        <w:t>увеличение стоимости проекта в сравнении с первоначальной вследствие инфляции или изменения налогового законодательства</w:t>
      </w:r>
      <w:r w:rsidR="00276538" w:rsidRPr="00C245D2">
        <w:rPr>
          <w:rFonts w:ascii="Times New Roman" w:hAnsi="Times New Roman" w:cs="Times New Roman"/>
          <w:sz w:val="24"/>
          <w:szCs w:val="24"/>
        </w:rPr>
        <w:t>.</w:t>
      </w:r>
      <w:r w:rsidR="00276538" w:rsidRPr="00C245D2">
        <w:rPr>
          <w:rStyle w:val="a8"/>
          <w:rFonts w:ascii="Times New Roman" w:hAnsi="Times New Roman" w:cs="Times New Roman"/>
          <w:sz w:val="24"/>
          <w:szCs w:val="24"/>
        </w:rPr>
        <w:footnoteReference w:id="10"/>
      </w:r>
    </w:p>
    <w:p w:rsidR="00276538" w:rsidRPr="00C245D2" w:rsidRDefault="00E703A4" w:rsidP="00C245D2">
      <w:pPr>
        <w:spacing w:after="48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Приведенные причины детализируются и приводится подробный контрольный перечень затрат для всевозможных вариантов финансирования рассматриваемого проекта. На основе результатов на каждой из стадий проекта инвестор способен оценить степень риска и в зависимости от ситуации принять решение о прекращении процесса инвестирования</w:t>
      </w:r>
      <w:r w:rsidRPr="00C245D2">
        <w:rPr>
          <w:rStyle w:val="a8"/>
          <w:rFonts w:ascii="Times New Roman" w:hAnsi="Times New Roman" w:cs="Times New Roman"/>
          <w:sz w:val="24"/>
          <w:szCs w:val="24"/>
        </w:rPr>
        <w:footnoteReference w:id="11"/>
      </w:r>
      <w:r w:rsidRPr="00C245D2">
        <w:rPr>
          <w:rFonts w:ascii="Times New Roman" w:hAnsi="Times New Roman" w:cs="Times New Roman"/>
          <w:sz w:val="24"/>
          <w:szCs w:val="24"/>
        </w:rPr>
        <w:t>.</w:t>
      </w:r>
    </w:p>
    <w:p w:rsidR="00E703A4" w:rsidRPr="00C245D2" w:rsidRDefault="00E703A4" w:rsidP="00C245D2">
      <w:pPr>
        <w:pStyle w:val="3"/>
        <w:spacing w:before="0"/>
        <w:jc w:val="both"/>
        <w:rPr>
          <w:rFonts w:ascii="Times New Roman" w:hAnsi="Times New Roman" w:cs="Times New Roman"/>
          <w:sz w:val="24"/>
          <w:szCs w:val="24"/>
        </w:rPr>
      </w:pPr>
      <w:bookmarkStart w:id="11" w:name="_Toc450920825"/>
      <w:r w:rsidRPr="00C245D2">
        <w:rPr>
          <w:rFonts w:ascii="Times New Roman" w:hAnsi="Times New Roman" w:cs="Times New Roman"/>
          <w:sz w:val="24"/>
          <w:szCs w:val="24"/>
        </w:rPr>
        <w:t>Метод аналогий</w:t>
      </w:r>
      <w:bookmarkEnd w:id="11"/>
    </w:p>
    <w:p w:rsidR="00F07173" w:rsidRPr="00C245D2" w:rsidRDefault="00F07173" w:rsidP="00C245D2">
      <w:pPr>
        <w:spacing w:before="360"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М</w:t>
      </w:r>
      <w:r w:rsidR="00E703A4" w:rsidRPr="00C245D2">
        <w:rPr>
          <w:rFonts w:ascii="Times New Roman" w:hAnsi="Times New Roman" w:cs="Times New Roman"/>
          <w:sz w:val="24"/>
          <w:szCs w:val="24"/>
        </w:rPr>
        <w:t>етод</w:t>
      </w:r>
      <w:r w:rsidR="00AE10D1" w:rsidRPr="00C245D2">
        <w:rPr>
          <w:rFonts w:ascii="Times New Roman" w:hAnsi="Times New Roman" w:cs="Times New Roman"/>
          <w:sz w:val="24"/>
          <w:szCs w:val="24"/>
        </w:rPr>
        <w:t xml:space="preserve"> подразумевает поиск близких по степени риска аналогов проекта, сбор и анализ данных по ним, рассмотрение последствий влияния негативных факторов и выделение потенциальных рисков.</w:t>
      </w:r>
    </w:p>
    <w:p w:rsidR="001441E4" w:rsidRPr="00C245D2" w:rsidRDefault="001441E4"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Главной проблемой, как и всегда при использовании методов аналогий в ра</w:t>
      </w:r>
      <w:r w:rsidR="00027615" w:rsidRPr="00C245D2">
        <w:rPr>
          <w:rFonts w:ascii="Times New Roman" w:hAnsi="Times New Roman" w:cs="Times New Roman"/>
          <w:sz w:val="24"/>
          <w:szCs w:val="24"/>
        </w:rPr>
        <w:t xml:space="preserve">зличных областях экономики, является поиск наиболее равнозначного аналога в виду отсутствия формальных критериев, описывающих соответствие выбранных проектов. Более того, даже при наиболее адекватном подборе аналога, очень сложно </w:t>
      </w:r>
      <w:r w:rsidR="00F07173" w:rsidRPr="00C245D2">
        <w:rPr>
          <w:rFonts w:ascii="Times New Roman" w:hAnsi="Times New Roman" w:cs="Times New Roman"/>
          <w:sz w:val="24"/>
          <w:szCs w:val="24"/>
        </w:rPr>
        <w:t>установить</w:t>
      </w:r>
      <w:r w:rsidR="00027615" w:rsidRPr="00C245D2">
        <w:rPr>
          <w:rFonts w:ascii="Times New Roman" w:hAnsi="Times New Roman" w:cs="Times New Roman"/>
          <w:sz w:val="24"/>
          <w:szCs w:val="24"/>
        </w:rPr>
        <w:t xml:space="preserve"> все возможные сценарии срыва проекта, так как возможные осложнения зачастую оказываются качественно различными и трудно прогнозируемыми. Также факторы, имеющие влияние на проект, редко проявляются одиночно, чаще всего это совокупность воздействий, наслаивающихся друг на друга и формирующих совместный эффект в результате сложного взаимодействия. </w:t>
      </w:r>
    </w:p>
    <w:p w:rsidR="00DD1629" w:rsidRPr="00C245D2" w:rsidRDefault="00DD1629"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Исходя из этого, метод дает наиболее точные результаты лишь при оценке рисков повторяющихся проектов.</w:t>
      </w:r>
    </w:p>
    <w:p w:rsidR="00F07173" w:rsidRPr="00C245D2" w:rsidRDefault="00F07173" w:rsidP="00C245D2">
      <w:pPr>
        <w:spacing w:line="360" w:lineRule="auto"/>
        <w:jc w:val="both"/>
        <w:rPr>
          <w:rFonts w:ascii="Times New Roman" w:hAnsi="Times New Roman" w:cs="Times New Roman"/>
          <w:sz w:val="24"/>
          <w:szCs w:val="24"/>
        </w:rPr>
      </w:pPr>
    </w:p>
    <w:p w:rsidR="00F07173" w:rsidRPr="00C245D2" w:rsidRDefault="00F07173" w:rsidP="00C245D2">
      <w:pPr>
        <w:pStyle w:val="3"/>
        <w:jc w:val="both"/>
        <w:rPr>
          <w:rFonts w:ascii="Times New Roman" w:hAnsi="Times New Roman" w:cs="Times New Roman"/>
          <w:sz w:val="24"/>
          <w:szCs w:val="24"/>
        </w:rPr>
      </w:pPr>
      <w:bookmarkStart w:id="12" w:name="_Toc450920826"/>
      <w:r w:rsidRPr="00C245D2">
        <w:rPr>
          <w:rFonts w:ascii="Times New Roman" w:hAnsi="Times New Roman" w:cs="Times New Roman"/>
          <w:sz w:val="24"/>
          <w:szCs w:val="24"/>
        </w:rPr>
        <w:t>Метод экспертных оценок</w:t>
      </w:r>
      <w:bookmarkEnd w:id="12"/>
    </w:p>
    <w:p w:rsidR="00E703A4" w:rsidRPr="00C245D2" w:rsidRDefault="00E703A4" w:rsidP="00C245D2">
      <w:pPr>
        <w:spacing w:after="0" w:line="360" w:lineRule="auto"/>
        <w:jc w:val="both"/>
        <w:rPr>
          <w:rFonts w:ascii="Times New Roman" w:hAnsi="Times New Roman" w:cs="Times New Roman"/>
          <w:sz w:val="24"/>
          <w:szCs w:val="24"/>
        </w:rPr>
      </w:pPr>
    </w:p>
    <w:p w:rsidR="00F07173" w:rsidRPr="00C245D2" w:rsidRDefault="005C2ADC"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Смысл метода экспертных оценок состоит в получении различных субъективных оценок специалистов в области оценки рисков инвестиционных проектов на каждой стадии его реализации и в определении интегрального уровня риска на основе анализа полученных оценок.</w:t>
      </w:r>
    </w:p>
    <w:p w:rsidR="00D93980" w:rsidRPr="00C245D2" w:rsidRDefault="005C2ADC"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lastRenderedPageBreak/>
        <w:t xml:space="preserve">Каждому эксперту предоставляется опросный лист с перечнем первичных рисков и предлагается оценить вероятность их </w:t>
      </w:r>
      <w:r w:rsidR="006E1451" w:rsidRPr="00C245D2">
        <w:rPr>
          <w:rFonts w:ascii="Times New Roman" w:hAnsi="Times New Roman" w:cs="Times New Roman"/>
          <w:sz w:val="24"/>
          <w:szCs w:val="24"/>
        </w:rPr>
        <w:t>наступления</w:t>
      </w:r>
      <w:r w:rsidRPr="00C245D2">
        <w:rPr>
          <w:rFonts w:ascii="Times New Roman" w:hAnsi="Times New Roman" w:cs="Times New Roman"/>
          <w:sz w:val="24"/>
          <w:szCs w:val="24"/>
        </w:rPr>
        <w:t xml:space="preserve"> на основе специальной системы оценок</w:t>
      </w:r>
      <w:r w:rsidR="00D93980" w:rsidRPr="00C245D2">
        <w:rPr>
          <w:rFonts w:ascii="Times New Roman" w:hAnsi="Times New Roman" w:cs="Times New Roman"/>
          <w:sz w:val="24"/>
          <w:szCs w:val="24"/>
        </w:rPr>
        <w:t xml:space="preserve">. Далее предстоит процедура сведения </w:t>
      </w:r>
      <w:r w:rsidR="002F4FAC" w:rsidRPr="00C245D2">
        <w:rPr>
          <w:rFonts w:ascii="Times New Roman" w:hAnsi="Times New Roman" w:cs="Times New Roman"/>
          <w:sz w:val="24"/>
          <w:szCs w:val="24"/>
        </w:rPr>
        <w:t>полученных</w:t>
      </w:r>
      <w:r w:rsidR="00D93980" w:rsidRPr="00C245D2">
        <w:rPr>
          <w:rFonts w:ascii="Times New Roman" w:hAnsi="Times New Roman" w:cs="Times New Roman"/>
          <w:sz w:val="24"/>
          <w:szCs w:val="24"/>
        </w:rPr>
        <w:t xml:space="preserve"> оценок в один </w:t>
      </w:r>
      <w:r w:rsidR="002F4FAC" w:rsidRPr="00C245D2">
        <w:rPr>
          <w:rFonts w:ascii="Times New Roman" w:hAnsi="Times New Roman" w:cs="Times New Roman"/>
          <w:sz w:val="24"/>
          <w:szCs w:val="24"/>
        </w:rPr>
        <w:t>интегральный</w:t>
      </w:r>
      <w:r w:rsidR="00D93980" w:rsidRPr="00C245D2">
        <w:rPr>
          <w:rFonts w:ascii="Times New Roman" w:hAnsi="Times New Roman" w:cs="Times New Roman"/>
          <w:sz w:val="24"/>
          <w:szCs w:val="24"/>
        </w:rPr>
        <w:t xml:space="preserve"> описывающий показатель. В </w:t>
      </w:r>
      <w:r w:rsidR="002F4FAC" w:rsidRPr="00C245D2">
        <w:rPr>
          <w:rFonts w:ascii="Times New Roman" w:hAnsi="Times New Roman" w:cs="Times New Roman"/>
          <w:sz w:val="24"/>
          <w:szCs w:val="24"/>
        </w:rPr>
        <w:t>качестве</w:t>
      </w:r>
      <w:r w:rsidR="00D93980" w:rsidRPr="00C245D2">
        <w:rPr>
          <w:rFonts w:ascii="Times New Roman" w:hAnsi="Times New Roman" w:cs="Times New Roman"/>
          <w:sz w:val="24"/>
          <w:szCs w:val="24"/>
        </w:rPr>
        <w:t xml:space="preserve"> таких методов используют </w:t>
      </w:r>
      <w:r w:rsidR="002F4FAC" w:rsidRPr="00C245D2">
        <w:rPr>
          <w:rFonts w:ascii="Times New Roman" w:hAnsi="Times New Roman" w:cs="Times New Roman"/>
          <w:sz w:val="24"/>
          <w:szCs w:val="24"/>
        </w:rPr>
        <w:t>взвешивание</w:t>
      </w:r>
      <w:r w:rsidR="00D93980" w:rsidRPr="00C245D2">
        <w:rPr>
          <w:rFonts w:ascii="Times New Roman" w:hAnsi="Times New Roman" w:cs="Times New Roman"/>
          <w:sz w:val="24"/>
          <w:szCs w:val="24"/>
        </w:rPr>
        <w:t xml:space="preserve"> как основного традиционного метода получения </w:t>
      </w:r>
      <w:r w:rsidR="002F4FAC" w:rsidRPr="00C245D2">
        <w:rPr>
          <w:rFonts w:ascii="Times New Roman" w:hAnsi="Times New Roman" w:cs="Times New Roman"/>
          <w:sz w:val="24"/>
          <w:szCs w:val="24"/>
        </w:rPr>
        <w:t>рейтингового</w:t>
      </w:r>
      <w:r w:rsidR="00D93980" w:rsidRPr="00C245D2">
        <w:rPr>
          <w:rFonts w:ascii="Times New Roman" w:hAnsi="Times New Roman" w:cs="Times New Roman"/>
          <w:sz w:val="24"/>
          <w:szCs w:val="24"/>
        </w:rPr>
        <w:t xml:space="preserve"> </w:t>
      </w:r>
      <w:r w:rsidR="002F4FAC" w:rsidRPr="00C245D2">
        <w:rPr>
          <w:rFonts w:ascii="Times New Roman" w:hAnsi="Times New Roman" w:cs="Times New Roman"/>
          <w:sz w:val="24"/>
          <w:szCs w:val="24"/>
        </w:rPr>
        <w:t>показателя. К</w:t>
      </w:r>
      <w:r w:rsidR="00D93980" w:rsidRPr="00C245D2">
        <w:rPr>
          <w:rFonts w:ascii="Times New Roman" w:hAnsi="Times New Roman" w:cs="Times New Roman"/>
          <w:sz w:val="24"/>
          <w:szCs w:val="24"/>
        </w:rPr>
        <w:t xml:space="preserve">аждый первичный риск приобретает определенный вес, характеризующий его значимость в составе общего риска </w:t>
      </w:r>
      <w:r w:rsidR="002F4FAC" w:rsidRPr="00C245D2">
        <w:rPr>
          <w:rFonts w:ascii="Times New Roman" w:hAnsi="Times New Roman" w:cs="Times New Roman"/>
          <w:sz w:val="24"/>
          <w:szCs w:val="24"/>
        </w:rPr>
        <w:t>проекта</w:t>
      </w:r>
      <w:r w:rsidR="00D93980" w:rsidRPr="00C245D2">
        <w:rPr>
          <w:rFonts w:ascii="Times New Roman" w:hAnsi="Times New Roman" w:cs="Times New Roman"/>
          <w:sz w:val="24"/>
          <w:szCs w:val="24"/>
        </w:rPr>
        <w:t xml:space="preserve">. Сумма всех весовых коэффициентов должна равняться единице. </w:t>
      </w:r>
    </w:p>
    <w:p w:rsidR="002F4FAC" w:rsidRPr="00C245D2" w:rsidRDefault="00D93980"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Одним из таких подходов является ранжирование простых рисков по значимости и определение весовых </w:t>
      </w:r>
      <w:r w:rsidR="002F4FAC" w:rsidRPr="00C245D2">
        <w:rPr>
          <w:rFonts w:ascii="Times New Roman" w:hAnsi="Times New Roman" w:cs="Times New Roman"/>
          <w:sz w:val="24"/>
          <w:szCs w:val="24"/>
        </w:rPr>
        <w:t>коэффициентов</w:t>
      </w:r>
      <w:r w:rsidRPr="00C245D2">
        <w:rPr>
          <w:rFonts w:ascii="Times New Roman" w:hAnsi="Times New Roman" w:cs="Times New Roman"/>
          <w:sz w:val="24"/>
          <w:szCs w:val="24"/>
        </w:rPr>
        <w:t xml:space="preserve"> в </w:t>
      </w:r>
      <w:r w:rsidR="002F4FAC" w:rsidRPr="00C245D2">
        <w:rPr>
          <w:rFonts w:ascii="Times New Roman" w:hAnsi="Times New Roman" w:cs="Times New Roman"/>
          <w:sz w:val="24"/>
          <w:szCs w:val="24"/>
        </w:rPr>
        <w:t>соответствии</w:t>
      </w:r>
      <w:r w:rsidRPr="00C245D2">
        <w:rPr>
          <w:rFonts w:ascii="Times New Roman" w:hAnsi="Times New Roman" w:cs="Times New Roman"/>
          <w:sz w:val="24"/>
          <w:szCs w:val="24"/>
        </w:rPr>
        <w:t xml:space="preserve"> с этой степенью приоритетности. Наивысший ранг присуждается наиболее </w:t>
      </w:r>
      <w:r w:rsidR="002F4FAC" w:rsidRPr="00C245D2">
        <w:rPr>
          <w:rFonts w:ascii="Times New Roman" w:hAnsi="Times New Roman" w:cs="Times New Roman"/>
          <w:sz w:val="24"/>
          <w:szCs w:val="24"/>
        </w:rPr>
        <w:t>значимому риску, нижай</w:t>
      </w:r>
      <w:r w:rsidRPr="00C245D2">
        <w:rPr>
          <w:rFonts w:ascii="Times New Roman" w:hAnsi="Times New Roman" w:cs="Times New Roman"/>
          <w:sz w:val="24"/>
          <w:szCs w:val="24"/>
        </w:rPr>
        <w:t xml:space="preserve">ший – наименее значимому. </w:t>
      </w:r>
      <w:r w:rsidR="002F4FAC" w:rsidRPr="00C245D2">
        <w:rPr>
          <w:rFonts w:ascii="Times New Roman" w:hAnsi="Times New Roman" w:cs="Times New Roman"/>
          <w:sz w:val="24"/>
          <w:szCs w:val="24"/>
        </w:rPr>
        <w:t>Далее расчет ведется по следующему алгоритму:</w:t>
      </w:r>
    </w:p>
    <w:p w:rsidR="0055663C" w:rsidRDefault="002F4FAC" w:rsidP="00C245D2">
      <w:pPr>
        <w:pStyle w:val="a3"/>
        <w:numPr>
          <w:ilvl w:val="0"/>
          <w:numId w:val="13"/>
        </w:numPr>
        <w:spacing w:after="0" w:line="360" w:lineRule="auto"/>
        <w:jc w:val="both"/>
        <w:rPr>
          <w:rFonts w:ascii="Times New Roman" w:hAnsi="Times New Roman" w:cs="Times New Roman"/>
          <w:sz w:val="24"/>
          <w:szCs w:val="24"/>
        </w:rPr>
      </w:pPr>
      <w:r w:rsidRPr="00C245D2">
        <w:rPr>
          <w:rFonts w:ascii="Times New Roman" w:hAnsi="Times New Roman" w:cs="Times New Roman"/>
          <w:sz w:val="24"/>
          <w:szCs w:val="24"/>
        </w:rPr>
        <w:t>определяется соотношение максимального и минимального рангов по формуле</w:t>
      </w:r>
    </w:p>
    <w:p w:rsidR="002F4FAC" w:rsidRPr="00C245D2" w:rsidRDefault="002F4FAC" w:rsidP="0055663C">
      <w:pPr>
        <w:pStyle w:val="a3"/>
        <w:spacing w:after="0" w:line="360" w:lineRule="auto"/>
        <w:ind w:left="2136" w:firstLine="696"/>
        <w:jc w:val="both"/>
        <w:rPr>
          <w:rFonts w:ascii="Times New Roman" w:hAnsi="Times New Roman" w:cs="Times New Roman"/>
          <w:sz w:val="24"/>
          <w:szCs w:val="24"/>
        </w:rPr>
      </w:pPr>
      <w:r w:rsidRPr="0055663C">
        <w:rPr>
          <w:rFonts w:ascii="Times New Roman" w:hAnsi="Times New Roman" w:cs="Times New Roman"/>
          <w:sz w:val="32"/>
          <w:szCs w:val="24"/>
        </w:rPr>
        <w:t xml:space="preserve"> </w:t>
      </w:r>
      <m:oMath>
        <m:r>
          <w:rPr>
            <w:rFonts w:ascii="Cambria Math" w:hAnsi="Cambria Math" w:cs="Times New Roman"/>
            <w:sz w:val="32"/>
            <w:szCs w:val="24"/>
          </w:rPr>
          <m:t>q=</m:t>
        </m:r>
        <m:f>
          <m:fPr>
            <m:ctrlPr>
              <w:rPr>
                <w:rFonts w:ascii="Cambria Math" w:hAnsi="Cambria Math" w:cs="Times New Roman"/>
                <w:i/>
                <w:sz w:val="32"/>
                <w:szCs w:val="24"/>
              </w:rPr>
            </m:ctrlPr>
          </m:fPr>
          <m:num>
            <m:sSub>
              <m:sSubPr>
                <m:ctrlPr>
                  <w:rPr>
                    <w:rFonts w:ascii="Cambria Math" w:hAnsi="Cambria Math" w:cs="Times New Roman"/>
                    <w:i/>
                    <w:sz w:val="32"/>
                    <w:szCs w:val="24"/>
                  </w:rPr>
                </m:ctrlPr>
              </m:sSubPr>
              <m:e>
                <m:r>
                  <w:rPr>
                    <w:rFonts w:ascii="Cambria Math" w:hAnsi="Cambria Math" w:cs="Times New Roman"/>
                    <w:sz w:val="32"/>
                    <w:szCs w:val="24"/>
                  </w:rPr>
                  <m:t>k</m:t>
                </m:r>
              </m:e>
              <m:sub>
                <m:r>
                  <w:rPr>
                    <w:rFonts w:ascii="Cambria Math" w:hAnsi="Cambria Math" w:cs="Times New Roman"/>
                    <w:sz w:val="32"/>
                    <w:szCs w:val="24"/>
                  </w:rPr>
                  <m:t>1</m:t>
                </m:r>
              </m:sub>
            </m:sSub>
          </m:num>
          <m:den>
            <m:sSub>
              <m:sSubPr>
                <m:ctrlPr>
                  <w:rPr>
                    <w:rFonts w:ascii="Cambria Math" w:hAnsi="Cambria Math" w:cs="Times New Roman"/>
                    <w:i/>
                    <w:sz w:val="32"/>
                    <w:szCs w:val="24"/>
                  </w:rPr>
                </m:ctrlPr>
              </m:sSubPr>
              <m:e>
                <m:r>
                  <w:rPr>
                    <w:rFonts w:ascii="Cambria Math" w:hAnsi="Cambria Math" w:cs="Times New Roman"/>
                    <w:sz w:val="32"/>
                    <w:szCs w:val="24"/>
                  </w:rPr>
                  <m:t>k</m:t>
                </m:r>
              </m:e>
              <m:sub>
                <m:r>
                  <w:rPr>
                    <w:rFonts w:ascii="Cambria Math" w:hAnsi="Cambria Math" w:cs="Times New Roman"/>
                    <w:sz w:val="32"/>
                    <w:szCs w:val="24"/>
                  </w:rPr>
                  <m:t>n</m:t>
                </m:r>
              </m:sub>
            </m:sSub>
          </m:den>
        </m:f>
      </m:oMath>
      <w:r w:rsidR="00D93980" w:rsidRPr="0055663C">
        <w:rPr>
          <w:rFonts w:ascii="Times New Roman" w:hAnsi="Times New Roman" w:cs="Times New Roman"/>
          <w:sz w:val="32"/>
          <w:szCs w:val="24"/>
        </w:rPr>
        <w:t xml:space="preserve"> </w:t>
      </w:r>
      <w:r w:rsidR="00DE3FB6" w:rsidRPr="0055663C">
        <w:rPr>
          <w:rFonts w:ascii="Times New Roman" w:hAnsi="Times New Roman" w:cs="Times New Roman"/>
          <w:sz w:val="32"/>
          <w:szCs w:val="24"/>
        </w:rPr>
        <w:t>;</w:t>
      </w:r>
      <w:r w:rsidRPr="00C245D2">
        <w:rPr>
          <w:rFonts w:ascii="Times New Roman" w:hAnsi="Times New Roman" w:cs="Times New Roman"/>
          <w:sz w:val="24"/>
          <w:szCs w:val="24"/>
        </w:rPr>
        <w:t xml:space="preserve"> </w:t>
      </w:r>
      <w:r w:rsidR="0055663C">
        <w:rPr>
          <w:rFonts w:ascii="Times New Roman" w:hAnsi="Times New Roman" w:cs="Times New Roman"/>
          <w:sz w:val="24"/>
          <w:szCs w:val="24"/>
        </w:rPr>
        <w:tab/>
      </w:r>
      <w:r w:rsidR="0055663C">
        <w:rPr>
          <w:rFonts w:ascii="Times New Roman" w:hAnsi="Times New Roman" w:cs="Times New Roman"/>
          <w:sz w:val="24"/>
          <w:szCs w:val="24"/>
        </w:rPr>
        <w:tab/>
      </w:r>
      <w:r w:rsidR="0055663C">
        <w:rPr>
          <w:rFonts w:ascii="Times New Roman" w:hAnsi="Times New Roman" w:cs="Times New Roman"/>
          <w:sz w:val="24"/>
          <w:szCs w:val="24"/>
        </w:rPr>
        <w:tab/>
      </w:r>
      <w:r w:rsidR="0055663C">
        <w:rPr>
          <w:rFonts w:ascii="Times New Roman" w:hAnsi="Times New Roman" w:cs="Times New Roman"/>
          <w:sz w:val="24"/>
          <w:szCs w:val="24"/>
        </w:rPr>
        <w:tab/>
      </w:r>
      <w:r w:rsidR="0055663C">
        <w:rPr>
          <w:rFonts w:ascii="Times New Roman" w:hAnsi="Times New Roman" w:cs="Times New Roman"/>
          <w:sz w:val="24"/>
          <w:szCs w:val="24"/>
        </w:rPr>
        <w:tab/>
      </w:r>
      <w:r w:rsidR="0055663C">
        <w:rPr>
          <w:rFonts w:ascii="Times New Roman" w:hAnsi="Times New Roman" w:cs="Times New Roman"/>
          <w:sz w:val="24"/>
          <w:szCs w:val="24"/>
        </w:rPr>
        <w:tab/>
      </w:r>
      <w:r w:rsidR="0055663C">
        <w:rPr>
          <w:rFonts w:ascii="Times New Roman" w:hAnsi="Times New Roman" w:cs="Times New Roman"/>
          <w:sz w:val="24"/>
          <w:szCs w:val="24"/>
        </w:rPr>
        <w:tab/>
        <w:t>(4)</w:t>
      </w:r>
    </w:p>
    <w:p w:rsidR="0055663C" w:rsidRDefault="002F4FAC" w:rsidP="00C245D2">
      <w:pPr>
        <w:pStyle w:val="a3"/>
        <w:numPr>
          <w:ilvl w:val="0"/>
          <w:numId w:val="13"/>
        </w:numPr>
        <w:spacing w:after="0" w:line="360" w:lineRule="auto"/>
        <w:jc w:val="both"/>
        <w:rPr>
          <w:rFonts w:ascii="Times New Roman" w:hAnsi="Times New Roman" w:cs="Times New Roman"/>
          <w:sz w:val="24"/>
          <w:szCs w:val="24"/>
        </w:rPr>
      </w:pPr>
      <w:r w:rsidRPr="00C245D2">
        <w:rPr>
          <w:rFonts w:ascii="Times New Roman" w:hAnsi="Times New Roman" w:cs="Times New Roman"/>
          <w:sz w:val="24"/>
          <w:szCs w:val="24"/>
        </w:rPr>
        <w:t>высчитывается расстояние между соседними рангами:</w:t>
      </w:r>
      <w:r w:rsidR="0055663C">
        <w:rPr>
          <w:rFonts w:ascii="Times New Roman" w:hAnsi="Times New Roman" w:cs="Times New Roman"/>
          <w:sz w:val="24"/>
          <w:szCs w:val="24"/>
        </w:rPr>
        <w:tab/>
      </w:r>
    </w:p>
    <w:p w:rsidR="00E703A4" w:rsidRPr="0055663C" w:rsidRDefault="002F4FAC" w:rsidP="0055663C">
      <w:pPr>
        <w:spacing w:after="0" w:line="360" w:lineRule="auto"/>
        <w:ind w:left="2124" w:firstLine="708"/>
        <w:jc w:val="both"/>
        <w:rPr>
          <w:rFonts w:ascii="Times New Roman" w:hAnsi="Times New Roman" w:cs="Times New Roman"/>
          <w:sz w:val="24"/>
          <w:szCs w:val="24"/>
        </w:rPr>
      </w:pPr>
      <m:oMath>
        <m:r>
          <w:rPr>
            <w:rFonts w:ascii="Cambria Math" w:hAnsi="Cambria Math" w:cs="Times New Roman"/>
            <w:sz w:val="32"/>
            <w:szCs w:val="24"/>
          </w:rPr>
          <m:t xml:space="preserve"> s=</m:t>
        </m:r>
        <m:f>
          <m:fPr>
            <m:ctrlPr>
              <w:rPr>
                <w:rFonts w:ascii="Cambria Math" w:hAnsi="Cambria Math" w:cs="Times New Roman"/>
                <w:i/>
                <w:sz w:val="32"/>
                <w:szCs w:val="24"/>
              </w:rPr>
            </m:ctrlPr>
          </m:fPr>
          <m:num>
            <m:sSub>
              <m:sSubPr>
                <m:ctrlPr>
                  <w:rPr>
                    <w:rFonts w:ascii="Cambria Math" w:hAnsi="Cambria Math" w:cs="Times New Roman"/>
                    <w:i/>
                    <w:sz w:val="32"/>
                    <w:szCs w:val="24"/>
                  </w:rPr>
                </m:ctrlPr>
              </m:sSubPr>
              <m:e>
                <m:r>
                  <w:rPr>
                    <w:rFonts w:ascii="Cambria Math" w:hAnsi="Cambria Math" w:cs="Times New Roman"/>
                    <w:sz w:val="32"/>
                    <w:szCs w:val="24"/>
                  </w:rPr>
                  <m:t>k</m:t>
                </m:r>
              </m:e>
              <m:sub>
                <m:r>
                  <w:rPr>
                    <w:rFonts w:ascii="Cambria Math" w:hAnsi="Cambria Math" w:cs="Times New Roman"/>
                    <w:sz w:val="32"/>
                    <w:szCs w:val="24"/>
                  </w:rPr>
                  <m:t>n</m:t>
                </m:r>
              </m:sub>
            </m:sSub>
            <m:r>
              <w:rPr>
                <w:rFonts w:ascii="Cambria Math" w:hAnsi="Cambria Math" w:cs="Times New Roman"/>
                <w:sz w:val="32"/>
                <w:szCs w:val="24"/>
              </w:rPr>
              <m:t>(q-1)</m:t>
            </m:r>
          </m:num>
          <m:den>
            <m:r>
              <w:rPr>
                <w:rFonts w:ascii="Cambria Math" w:hAnsi="Cambria Math" w:cs="Times New Roman"/>
                <w:sz w:val="32"/>
                <w:szCs w:val="24"/>
              </w:rPr>
              <m:t>(n-1)</m:t>
            </m:r>
          </m:den>
        </m:f>
      </m:oMath>
      <w:r w:rsidRPr="0055663C">
        <w:rPr>
          <w:rFonts w:ascii="Times New Roman" w:hAnsi="Times New Roman" w:cs="Times New Roman"/>
          <w:sz w:val="24"/>
          <w:szCs w:val="24"/>
        </w:rPr>
        <w:t xml:space="preserve">  </w:t>
      </w:r>
      <w:r w:rsidR="00DE3FB6" w:rsidRPr="0055663C">
        <w:rPr>
          <w:rFonts w:ascii="Times New Roman" w:hAnsi="Times New Roman" w:cs="Times New Roman"/>
          <w:sz w:val="24"/>
          <w:szCs w:val="24"/>
        </w:rPr>
        <w:t>;</w:t>
      </w:r>
      <w:r w:rsidR="0055663C" w:rsidRPr="0055663C">
        <w:rPr>
          <w:rFonts w:ascii="Times New Roman" w:hAnsi="Times New Roman" w:cs="Times New Roman"/>
          <w:sz w:val="24"/>
          <w:szCs w:val="24"/>
        </w:rPr>
        <w:tab/>
      </w:r>
      <w:r w:rsidR="0055663C" w:rsidRPr="0055663C">
        <w:rPr>
          <w:rFonts w:ascii="Times New Roman" w:hAnsi="Times New Roman" w:cs="Times New Roman"/>
          <w:sz w:val="24"/>
          <w:szCs w:val="24"/>
        </w:rPr>
        <w:tab/>
      </w:r>
      <w:r w:rsidR="0055663C" w:rsidRPr="0055663C">
        <w:rPr>
          <w:rFonts w:ascii="Times New Roman" w:hAnsi="Times New Roman" w:cs="Times New Roman"/>
          <w:sz w:val="24"/>
          <w:szCs w:val="24"/>
        </w:rPr>
        <w:tab/>
      </w:r>
      <w:r w:rsidR="0055663C" w:rsidRPr="0055663C">
        <w:rPr>
          <w:rFonts w:ascii="Times New Roman" w:hAnsi="Times New Roman" w:cs="Times New Roman"/>
          <w:sz w:val="24"/>
          <w:szCs w:val="24"/>
        </w:rPr>
        <w:tab/>
      </w:r>
      <w:r w:rsidR="0055663C" w:rsidRPr="0055663C">
        <w:rPr>
          <w:rFonts w:ascii="Times New Roman" w:hAnsi="Times New Roman" w:cs="Times New Roman"/>
          <w:sz w:val="24"/>
          <w:szCs w:val="24"/>
        </w:rPr>
        <w:tab/>
      </w:r>
      <w:r w:rsidR="0055663C" w:rsidRPr="0055663C">
        <w:rPr>
          <w:rFonts w:ascii="Times New Roman" w:hAnsi="Times New Roman" w:cs="Times New Roman"/>
          <w:sz w:val="24"/>
          <w:szCs w:val="24"/>
        </w:rPr>
        <w:tab/>
        <w:t>(5)</w:t>
      </w:r>
    </w:p>
    <w:p w:rsidR="0055663C" w:rsidRDefault="002F4FAC" w:rsidP="00C245D2">
      <w:pPr>
        <w:pStyle w:val="a3"/>
        <w:numPr>
          <w:ilvl w:val="0"/>
          <w:numId w:val="13"/>
        </w:numPr>
        <w:spacing w:after="0" w:line="360" w:lineRule="auto"/>
        <w:jc w:val="both"/>
        <w:rPr>
          <w:rFonts w:ascii="Times New Roman" w:hAnsi="Times New Roman" w:cs="Times New Roman"/>
          <w:sz w:val="24"/>
          <w:szCs w:val="24"/>
        </w:rPr>
      </w:pPr>
      <w:r w:rsidRPr="00C245D2">
        <w:rPr>
          <w:rFonts w:ascii="Times New Roman" w:hAnsi="Times New Roman" w:cs="Times New Roman"/>
          <w:sz w:val="24"/>
          <w:szCs w:val="24"/>
        </w:rPr>
        <w:t xml:space="preserve">составляется весовой коэффициент отдельного риска </w:t>
      </w:r>
      <w:r w:rsidRPr="00C245D2">
        <w:rPr>
          <w:rFonts w:ascii="Times New Roman" w:hAnsi="Times New Roman" w:cs="Times New Roman"/>
          <w:sz w:val="24"/>
          <w:szCs w:val="24"/>
          <w:lang w:val="en-US"/>
        </w:rPr>
        <w:t>m</w:t>
      </w:r>
      <w:r w:rsidRPr="00C245D2">
        <w:rPr>
          <w:rFonts w:ascii="Times New Roman" w:hAnsi="Times New Roman" w:cs="Times New Roman"/>
          <w:sz w:val="24"/>
          <w:szCs w:val="24"/>
        </w:rPr>
        <w:t xml:space="preserve">: </w:t>
      </w:r>
    </w:p>
    <w:p w:rsidR="002F4FAC" w:rsidRPr="00C245D2" w:rsidRDefault="00322F14" w:rsidP="0055663C">
      <w:pPr>
        <w:pStyle w:val="a3"/>
        <w:spacing w:after="0" w:line="360" w:lineRule="auto"/>
        <w:ind w:left="2136" w:firstLine="696"/>
        <w:jc w:val="both"/>
        <w:rPr>
          <w:rFonts w:ascii="Times New Roman" w:hAnsi="Times New Roman" w:cs="Times New Roman"/>
          <w:sz w:val="24"/>
          <w:szCs w:val="24"/>
        </w:rPr>
      </w:pPr>
      <m:oMath>
        <m:sSub>
          <m:sSubPr>
            <m:ctrlPr>
              <w:rPr>
                <w:rFonts w:ascii="Cambria Math" w:hAnsi="Cambria Math" w:cs="Times New Roman"/>
                <w:i/>
                <w:sz w:val="28"/>
                <w:szCs w:val="24"/>
              </w:rPr>
            </m:ctrlPr>
          </m:sSubPr>
          <m:e>
            <m:r>
              <w:rPr>
                <w:rFonts w:ascii="Cambria Math" w:hAnsi="Cambria Math" w:cs="Times New Roman"/>
                <w:sz w:val="28"/>
                <w:szCs w:val="24"/>
              </w:rPr>
              <m:t>k</m:t>
            </m:r>
          </m:e>
          <m:sub>
            <m:r>
              <w:rPr>
                <w:rFonts w:ascii="Cambria Math" w:hAnsi="Cambria Math" w:cs="Times New Roman"/>
                <w:sz w:val="28"/>
                <w:szCs w:val="24"/>
              </w:rPr>
              <m:t>m</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k</m:t>
            </m:r>
          </m:e>
          <m:sub>
            <m:r>
              <w:rPr>
                <w:rFonts w:ascii="Cambria Math" w:hAnsi="Cambria Math" w:cs="Times New Roman"/>
                <w:sz w:val="28"/>
                <w:szCs w:val="24"/>
              </w:rPr>
              <m:t>n</m:t>
            </m:r>
          </m:sub>
        </m:sSub>
        <m:r>
          <w:rPr>
            <w:rFonts w:ascii="Cambria Math" w:hAnsi="Cambria Math" w:cs="Times New Roman"/>
            <w:sz w:val="28"/>
            <w:szCs w:val="24"/>
          </w:rPr>
          <m:t>+</m:t>
        </m:r>
        <m:d>
          <m:dPr>
            <m:ctrlPr>
              <w:rPr>
                <w:rFonts w:ascii="Cambria Math" w:hAnsi="Cambria Math" w:cs="Times New Roman"/>
                <w:i/>
                <w:sz w:val="28"/>
                <w:szCs w:val="24"/>
              </w:rPr>
            </m:ctrlPr>
          </m:dPr>
          <m:e>
            <m:r>
              <w:rPr>
                <w:rFonts w:ascii="Cambria Math" w:hAnsi="Cambria Math" w:cs="Times New Roman"/>
                <w:sz w:val="28"/>
                <w:szCs w:val="24"/>
              </w:rPr>
              <m:t>n-m</m:t>
            </m:r>
          </m:e>
        </m:d>
        <m:r>
          <w:rPr>
            <w:rFonts w:ascii="Cambria Math" w:hAnsi="Cambria Math" w:cs="Times New Roman"/>
            <w:sz w:val="28"/>
            <w:szCs w:val="24"/>
          </w:rPr>
          <m:t>s</m:t>
        </m:r>
      </m:oMath>
      <w:r w:rsidR="00DE3FB6" w:rsidRPr="00C245D2">
        <w:rPr>
          <w:rFonts w:ascii="Times New Roman" w:eastAsiaTheme="minorEastAsia" w:hAnsi="Times New Roman" w:cs="Times New Roman"/>
          <w:sz w:val="24"/>
          <w:szCs w:val="24"/>
        </w:rPr>
        <w:t xml:space="preserve"> ;</w:t>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t>(6)</w:t>
      </w:r>
    </w:p>
    <w:p w:rsidR="0055663C" w:rsidRPr="0055663C" w:rsidRDefault="001C58FC" w:rsidP="00C245D2">
      <w:pPr>
        <w:pStyle w:val="a3"/>
        <w:numPr>
          <w:ilvl w:val="0"/>
          <w:numId w:val="13"/>
        </w:numPr>
        <w:spacing w:after="0" w:line="360" w:lineRule="auto"/>
        <w:jc w:val="both"/>
        <w:rPr>
          <w:rFonts w:ascii="Times New Roman" w:hAnsi="Times New Roman" w:cs="Times New Roman"/>
          <w:sz w:val="24"/>
          <w:szCs w:val="24"/>
        </w:rPr>
      </w:pPr>
      <w:r w:rsidRPr="00C245D2">
        <w:rPr>
          <w:rFonts w:ascii="Times New Roman" w:eastAsiaTheme="minorEastAsia" w:hAnsi="Times New Roman" w:cs="Times New Roman"/>
          <w:sz w:val="24"/>
          <w:szCs w:val="24"/>
        </w:rPr>
        <w:t>отсюда следует вывод:</w:t>
      </w:r>
    </w:p>
    <w:p w:rsidR="001C58FC" w:rsidRPr="0055663C" w:rsidRDefault="001C58FC" w:rsidP="0055663C">
      <w:pPr>
        <w:spacing w:after="0" w:line="360" w:lineRule="auto"/>
        <w:ind w:left="708" w:firstLine="708"/>
        <w:jc w:val="both"/>
        <w:rPr>
          <w:rFonts w:ascii="Times New Roman" w:hAnsi="Times New Roman" w:cs="Times New Roman"/>
          <w:sz w:val="24"/>
          <w:szCs w:val="24"/>
        </w:rPr>
      </w:pPr>
      <w:r w:rsidRPr="0055663C">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k</m:t>
            </m:r>
          </m:e>
          <m:sub>
            <m:r>
              <w:rPr>
                <w:rFonts w:ascii="Cambria Math" w:eastAsiaTheme="minorEastAsia" w:hAnsi="Cambria Math" w:cs="Times New Roman"/>
                <w:sz w:val="28"/>
                <w:szCs w:val="24"/>
              </w:rPr>
              <m:t>m</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k</m:t>
            </m:r>
          </m:e>
          <m:sub>
            <m:r>
              <w:rPr>
                <w:rFonts w:ascii="Cambria Math" w:eastAsiaTheme="minorEastAsia" w:hAnsi="Cambria Math" w:cs="Times New Roman"/>
                <w:sz w:val="28"/>
                <w:szCs w:val="24"/>
              </w:rPr>
              <m:t>n</m:t>
            </m:r>
          </m:sub>
        </m:sSub>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n-m</m:t>
            </m:r>
          </m:e>
        </m:d>
        <m:f>
          <m:fPr>
            <m:ctrlPr>
              <w:rPr>
                <w:rFonts w:ascii="Cambria Math" w:eastAsiaTheme="minorEastAsia" w:hAnsi="Cambria Math" w:cs="Times New Roman"/>
                <w:i/>
                <w:sz w:val="28"/>
                <w:szCs w:val="24"/>
              </w:rPr>
            </m:ctrlPr>
          </m:fPr>
          <m:num>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k</m:t>
                </m:r>
              </m:e>
              <m:sub>
                <m:r>
                  <w:rPr>
                    <w:rFonts w:ascii="Cambria Math" w:eastAsiaTheme="minorEastAsia" w:hAnsi="Cambria Math" w:cs="Times New Roman"/>
                    <w:sz w:val="28"/>
                    <w:szCs w:val="24"/>
                  </w:rPr>
                  <m:t>n</m:t>
                </m:r>
              </m:sub>
            </m:sSub>
            <m:r>
              <w:rPr>
                <w:rFonts w:ascii="Cambria Math" w:eastAsiaTheme="minorEastAsia" w:hAnsi="Cambria Math" w:cs="Times New Roman"/>
                <w:sz w:val="28"/>
                <w:szCs w:val="24"/>
              </w:rPr>
              <m:t>(q-1)</m:t>
            </m:r>
          </m:num>
          <m:den>
            <m:r>
              <w:rPr>
                <w:rFonts w:ascii="Cambria Math" w:eastAsiaTheme="minorEastAsia" w:hAnsi="Cambria Math" w:cs="Times New Roman"/>
                <w:sz w:val="28"/>
                <w:szCs w:val="24"/>
              </w:rPr>
              <m:t>(n-1)</m:t>
            </m:r>
          </m:den>
        </m:f>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k</m:t>
            </m:r>
          </m:e>
          <m:sub>
            <m:r>
              <w:rPr>
                <w:rFonts w:ascii="Cambria Math" w:eastAsiaTheme="minorEastAsia" w:hAnsi="Cambria Math" w:cs="Times New Roman"/>
                <w:sz w:val="28"/>
                <w:szCs w:val="24"/>
              </w:rPr>
              <m:t>n</m:t>
            </m:r>
          </m:sub>
        </m:sSub>
        <m:d>
          <m:dPr>
            <m:begChr m:val="["/>
            <m:endChr m:val="]"/>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1+</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m:t>
                </m:r>
                <m:r>
                  <w:rPr>
                    <w:rFonts w:ascii="Cambria Math" w:eastAsiaTheme="minorEastAsia" w:hAnsi="Cambria Math" w:cs="Times New Roman"/>
                    <w:sz w:val="28"/>
                    <w:szCs w:val="24"/>
                    <w:lang w:val="en-US"/>
                  </w:rPr>
                  <m:t>n</m:t>
                </m:r>
                <m:r>
                  <w:rPr>
                    <w:rFonts w:ascii="Cambria Math" w:eastAsiaTheme="minorEastAsia" w:hAnsi="Cambria Math" w:cs="Times New Roman"/>
                    <w:sz w:val="28"/>
                    <w:szCs w:val="24"/>
                  </w:rPr>
                  <m:t>-</m:t>
                </m:r>
                <m:r>
                  <w:rPr>
                    <w:rFonts w:ascii="Cambria Math" w:eastAsiaTheme="minorEastAsia" w:hAnsi="Cambria Math" w:cs="Times New Roman"/>
                    <w:sz w:val="28"/>
                    <w:szCs w:val="24"/>
                    <w:lang w:val="en-US"/>
                  </w:rPr>
                  <m:t>m</m:t>
                </m:r>
                <m:r>
                  <w:rPr>
                    <w:rFonts w:ascii="Cambria Math" w:eastAsiaTheme="minorEastAsia" w:hAnsi="Cambria Math" w:cs="Times New Roman"/>
                    <w:sz w:val="28"/>
                    <w:szCs w:val="24"/>
                  </w:rPr>
                  <m:t>)(q-1)</m:t>
                </m:r>
              </m:num>
              <m:den>
                <m:r>
                  <w:rPr>
                    <w:rFonts w:ascii="Cambria Math" w:eastAsiaTheme="minorEastAsia" w:hAnsi="Cambria Math" w:cs="Times New Roman"/>
                    <w:sz w:val="28"/>
                    <w:szCs w:val="24"/>
                  </w:rPr>
                  <m:t>(n-1)</m:t>
                </m:r>
              </m:den>
            </m:f>
          </m:e>
        </m:d>
      </m:oMath>
      <w:r w:rsidRPr="0055663C">
        <w:rPr>
          <w:rFonts w:ascii="Times New Roman" w:eastAsiaTheme="minorEastAsia" w:hAnsi="Times New Roman" w:cs="Times New Roman"/>
          <w:sz w:val="28"/>
          <w:szCs w:val="24"/>
        </w:rPr>
        <w:t>.</w:t>
      </w:r>
      <w:r w:rsidR="0055663C" w:rsidRP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sidRPr="0055663C">
        <w:rPr>
          <w:rFonts w:ascii="Times New Roman" w:eastAsiaTheme="minorEastAsia" w:hAnsi="Times New Roman" w:cs="Times New Roman"/>
          <w:sz w:val="24"/>
          <w:szCs w:val="24"/>
        </w:rPr>
        <w:t>(7)</w:t>
      </w:r>
    </w:p>
    <w:p w:rsidR="001C58FC" w:rsidRPr="00C245D2" w:rsidRDefault="001C58FC" w:rsidP="00C245D2">
      <w:pPr>
        <w:spacing w:after="0" w:line="360" w:lineRule="auto"/>
        <w:ind w:firstLine="851"/>
        <w:jc w:val="both"/>
        <w:rPr>
          <w:rFonts w:ascii="Times New Roman" w:eastAsiaTheme="minorEastAsia" w:hAnsi="Times New Roman" w:cs="Times New Roman"/>
          <w:sz w:val="24"/>
          <w:szCs w:val="24"/>
        </w:rPr>
      </w:pPr>
      <w:r w:rsidRPr="00C245D2">
        <w:rPr>
          <w:rFonts w:ascii="Times New Roman" w:eastAsiaTheme="minorEastAsia" w:hAnsi="Times New Roman" w:cs="Times New Roman"/>
          <w:sz w:val="24"/>
          <w:szCs w:val="24"/>
        </w:rPr>
        <w:t>Если простые риски не ранжируются по степени значимости, то их весовые коэффициенты равны 1/</w:t>
      </w:r>
      <w:r w:rsidRPr="00C245D2">
        <w:rPr>
          <w:rFonts w:ascii="Times New Roman" w:eastAsiaTheme="minorEastAsia" w:hAnsi="Times New Roman" w:cs="Times New Roman"/>
          <w:sz w:val="24"/>
          <w:szCs w:val="24"/>
          <w:lang w:val="en-US"/>
        </w:rPr>
        <w:t>n</w:t>
      </w:r>
      <w:r w:rsidRPr="00C245D2">
        <w:rPr>
          <w:rFonts w:ascii="Times New Roman" w:eastAsiaTheme="minorEastAsia" w:hAnsi="Times New Roman" w:cs="Times New Roman"/>
          <w:sz w:val="24"/>
          <w:szCs w:val="24"/>
        </w:rPr>
        <w:t>.</w:t>
      </w:r>
    </w:p>
    <w:p w:rsidR="001C58FC" w:rsidRPr="00C245D2" w:rsidRDefault="001C58FC" w:rsidP="00C245D2">
      <w:pPr>
        <w:spacing w:after="0" w:line="360" w:lineRule="auto"/>
        <w:ind w:firstLine="851"/>
        <w:jc w:val="both"/>
        <w:rPr>
          <w:rFonts w:ascii="Times New Roman" w:hAnsi="Times New Roman" w:cs="Times New Roman"/>
          <w:sz w:val="24"/>
          <w:szCs w:val="24"/>
        </w:rPr>
      </w:pPr>
      <w:r w:rsidRPr="00C245D2">
        <w:rPr>
          <w:rFonts w:ascii="Times New Roman" w:eastAsiaTheme="minorEastAsia" w:hAnsi="Times New Roman" w:cs="Times New Roman"/>
          <w:sz w:val="24"/>
          <w:szCs w:val="24"/>
        </w:rPr>
        <w:t>Основной проблемой недостаточной эффективности данного метода оценки рисков является субъективизм и неточность при некачественном подборе экспертов, возможности группового обсуждения и влияния авторитетных специалистов на мнение коллег. Для этого используются некоторые вариации метода экспертных оценок, например, метод Дельфи, при котором эксперты лишены возможности советоваться друг с другом. Однако метод прост в применении и не требует точной информации для анализа.</w:t>
      </w:r>
    </w:p>
    <w:p w:rsidR="00E703A4" w:rsidRDefault="00E703A4" w:rsidP="00C245D2">
      <w:pPr>
        <w:spacing w:line="360" w:lineRule="auto"/>
        <w:jc w:val="both"/>
        <w:rPr>
          <w:rFonts w:ascii="Times New Roman" w:hAnsi="Times New Roman" w:cs="Times New Roman"/>
          <w:sz w:val="24"/>
          <w:szCs w:val="24"/>
        </w:rPr>
      </w:pPr>
    </w:p>
    <w:p w:rsidR="00347239" w:rsidRDefault="00347239" w:rsidP="00C245D2">
      <w:pPr>
        <w:spacing w:line="360" w:lineRule="auto"/>
        <w:jc w:val="both"/>
        <w:rPr>
          <w:rFonts w:ascii="Times New Roman" w:hAnsi="Times New Roman" w:cs="Times New Roman"/>
          <w:sz w:val="24"/>
          <w:szCs w:val="24"/>
        </w:rPr>
      </w:pPr>
    </w:p>
    <w:p w:rsidR="00347239" w:rsidRPr="00C245D2" w:rsidRDefault="00347239" w:rsidP="00C245D2">
      <w:pPr>
        <w:spacing w:line="360" w:lineRule="auto"/>
        <w:jc w:val="both"/>
        <w:rPr>
          <w:rFonts w:ascii="Times New Roman" w:hAnsi="Times New Roman" w:cs="Times New Roman"/>
          <w:sz w:val="24"/>
          <w:szCs w:val="24"/>
        </w:rPr>
      </w:pPr>
    </w:p>
    <w:p w:rsidR="00DD1629" w:rsidRPr="00C245D2" w:rsidRDefault="004E19AA" w:rsidP="004E19AA">
      <w:pPr>
        <w:pStyle w:val="2"/>
        <w:jc w:val="both"/>
        <w:rPr>
          <w:rFonts w:ascii="Times New Roman" w:hAnsi="Times New Roman" w:cs="Times New Roman"/>
          <w:sz w:val="24"/>
          <w:szCs w:val="24"/>
        </w:rPr>
      </w:pPr>
      <w:bookmarkStart w:id="13" w:name="_Toc450920827"/>
      <w:r>
        <w:rPr>
          <w:rFonts w:ascii="Times New Roman" w:hAnsi="Times New Roman" w:cs="Times New Roman"/>
          <w:sz w:val="24"/>
          <w:szCs w:val="24"/>
        </w:rPr>
        <w:lastRenderedPageBreak/>
        <w:t>1.</w:t>
      </w:r>
      <w:r w:rsidR="00837011" w:rsidRPr="00C245D2">
        <w:rPr>
          <w:rFonts w:ascii="Times New Roman" w:hAnsi="Times New Roman" w:cs="Times New Roman"/>
          <w:sz w:val="24"/>
          <w:szCs w:val="24"/>
        </w:rPr>
        <w:t xml:space="preserve">2.2. </w:t>
      </w:r>
      <w:r w:rsidR="006D0F26">
        <w:rPr>
          <w:rFonts w:ascii="Times New Roman" w:hAnsi="Times New Roman" w:cs="Times New Roman"/>
          <w:sz w:val="24"/>
          <w:szCs w:val="24"/>
        </w:rPr>
        <w:t>Количе</w:t>
      </w:r>
      <w:r w:rsidR="001B3E2B" w:rsidRPr="00C245D2">
        <w:rPr>
          <w:rFonts w:ascii="Times New Roman" w:hAnsi="Times New Roman" w:cs="Times New Roman"/>
          <w:sz w:val="24"/>
          <w:szCs w:val="24"/>
        </w:rPr>
        <w:t>ственный подход к оценке инвестиционных рисков</w:t>
      </w:r>
      <w:bookmarkEnd w:id="13"/>
    </w:p>
    <w:p w:rsidR="001B3E2B" w:rsidRPr="00C245D2" w:rsidRDefault="001B3E2B" w:rsidP="00C245D2">
      <w:pPr>
        <w:spacing w:after="0"/>
        <w:jc w:val="both"/>
        <w:rPr>
          <w:rFonts w:ascii="Times New Roman" w:hAnsi="Times New Roman" w:cs="Times New Roman"/>
          <w:sz w:val="24"/>
          <w:szCs w:val="24"/>
        </w:rPr>
      </w:pPr>
    </w:p>
    <w:p w:rsidR="001B3E2B" w:rsidRPr="00C245D2" w:rsidRDefault="006D0F26" w:rsidP="00C245D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Количес</w:t>
      </w:r>
      <w:r w:rsidR="001B3E2B" w:rsidRPr="00C245D2">
        <w:rPr>
          <w:rFonts w:ascii="Times New Roman" w:hAnsi="Times New Roman" w:cs="Times New Roman"/>
          <w:sz w:val="24"/>
          <w:szCs w:val="24"/>
        </w:rPr>
        <w:t xml:space="preserve">твенный </w:t>
      </w:r>
      <w:r w:rsidR="009715DF" w:rsidRPr="00C245D2">
        <w:rPr>
          <w:rFonts w:ascii="Times New Roman" w:hAnsi="Times New Roman" w:cs="Times New Roman"/>
          <w:sz w:val="24"/>
          <w:szCs w:val="24"/>
        </w:rPr>
        <w:t xml:space="preserve">подход предполагает определение числового значения </w:t>
      </w:r>
      <w:r w:rsidR="006330E5" w:rsidRPr="00C245D2">
        <w:rPr>
          <w:rFonts w:ascii="Times New Roman" w:hAnsi="Times New Roman" w:cs="Times New Roman"/>
          <w:sz w:val="24"/>
          <w:szCs w:val="24"/>
        </w:rPr>
        <w:t>показателя риска по инвестиционному проекту. К ним относят следующие методы:</w:t>
      </w:r>
    </w:p>
    <w:p w:rsidR="004941C8" w:rsidRPr="00C245D2" w:rsidRDefault="004941C8" w:rsidP="00C245D2">
      <w:pPr>
        <w:pStyle w:val="a3"/>
        <w:numPr>
          <w:ilvl w:val="0"/>
          <w:numId w:val="15"/>
        </w:numPr>
        <w:jc w:val="both"/>
        <w:rPr>
          <w:rFonts w:ascii="Times New Roman" w:hAnsi="Times New Roman" w:cs="Times New Roman"/>
          <w:sz w:val="24"/>
          <w:szCs w:val="24"/>
        </w:rPr>
      </w:pPr>
      <w:r w:rsidRPr="00C245D2">
        <w:rPr>
          <w:rFonts w:ascii="Times New Roman" w:hAnsi="Times New Roman" w:cs="Times New Roman"/>
          <w:sz w:val="24"/>
          <w:szCs w:val="24"/>
        </w:rPr>
        <w:t>анализ чувствительности (метод вариации параметров);</w:t>
      </w:r>
    </w:p>
    <w:p w:rsidR="004941C8" w:rsidRPr="00C245D2" w:rsidRDefault="004941C8" w:rsidP="00C245D2">
      <w:pPr>
        <w:pStyle w:val="a3"/>
        <w:numPr>
          <w:ilvl w:val="0"/>
          <w:numId w:val="15"/>
        </w:numPr>
        <w:jc w:val="both"/>
        <w:rPr>
          <w:rFonts w:ascii="Times New Roman" w:hAnsi="Times New Roman" w:cs="Times New Roman"/>
          <w:i/>
          <w:sz w:val="24"/>
          <w:szCs w:val="24"/>
        </w:rPr>
      </w:pPr>
      <w:r w:rsidRPr="00C245D2">
        <w:rPr>
          <w:rFonts w:ascii="Times New Roman" w:hAnsi="Times New Roman" w:cs="Times New Roman"/>
          <w:sz w:val="24"/>
          <w:szCs w:val="24"/>
        </w:rPr>
        <w:t>метод проверки устойчивости (расчета критических точек);</w:t>
      </w:r>
    </w:p>
    <w:p w:rsidR="004941C8" w:rsidRPr="00C245D2" w:rsidRDefault="004941C8" w:rsidP="00C245D2">
      <w:pPr>
        <w:pStyle w:val="a3"/>
        <w:numPr>
          <w:ilvl w:val="0"/>
          <w:numId w:val="15"/>
        </w:numPr>
        <w:jc w:val="both"/>
        <w:rPr>
          <w:rFonts w:ascii="Times New Roman" w:hAnsi="Times New Roman" w:cs="Times New Roman"/>
          <w:sz w:val="24"/>
          <w:szCs w:val="24"/>
        </w:rPr>
      </w:pPr>
      <w:r w:rsidRPr="00C245D2">
        <w:rPr>
          <w:rFonts w:ascii="Times New Roman" w:hAnsi="Times New Roman" w:cs="Times New Roman"/>
          <w:sz w:val="24"/>
          <w:szCs w:val="24"/>
        </w:rPr>
        <w:t>метод сценариев;</w:t>
      </w:r>
    </w:p>
    <w:p w:rsidR="008221A9" w:rsidRPr="00C245D2" w:rsidRDefault="00AB2C4C" w:rsidP="00C245D2">
      <w:pPr>
        <w:pStyle w:val="a3"/>
        <w:numPr>
          <w:ilvl w:val="0"/>
          <w:numId w:val="15"/>
        </w:numPr>
        <w:jc w:val="both"/>
        <w:rPr>
          <w:rFonts w:ascii="Times New Roman" w:hAnsi="Times New Roman" w:cs="Times New Roman"/>
          <w:sz w:val="24"/>
          <w:szCs w:val="24"/>
        </w:rPr>
      </w:pPr>
      <w:r w:rsidRPr="00C245D2">
        <w:rPr>
          <w:rFonts w:ascii="Times New Roman" w:hAnsi="Times New Roman" w:cs="Times New Roman"/>
          <w:sz w:val="24"/>
          <w:szCs w:val="24"/>
        </w:rPr>
        <w:t xml:space="preserve">метод </w:t>
      </w:r>
      <w:r w:rsidR="008221A9" w:rsidRPr="00C245D2">
        <w:rPr>
          <w:rFonts w:ascii="Times New Roman" w:hAnsi="Times New Roman" w:cs="Times New Roman"/>
          <w:sz w:val="24"/>
          <w:szCs w:val="24"/>
        </w:rPr>
        <w:t>дерев</w:t>
      </w:r>
      <w:r w:rsidRPr="00C245D2">
        <w:rPr>
          <w:rFonts w:ascii="Times New Roman" w:hAnsi="Times New Roman" w:cs="Times New Roman"/>
          <w:sz w:val="24"/>
          <w:szCs w:val="24"/>
        </w:rPr>
        <w:t>а</w:t>
      </w:r>
      <w:r w:rsidR="008221A9" w:rsidRPr="00C245D2">
        <w:rPr>
          <w:rFonts w:ascii="Times New Roman" w:hAnsi="Times New Roman" w:cs="Times New Roman"/>
          <w:sz w:val="24"/>
          <w:szCs w:val="24"/>
        </w:rPr>
        <w:t xml:space="preserve"> решений</w:t>
      </w:r>
      <w:r w:rsidR="006330E5" w:rsidRPr="00C245D2">
        <w:rPr>
          <w:rFonts w:ascii="Times New Roman" w:hAnsi="Times New Roman" w:cs="Times New Roman"/>
          <w:sz w:val="24"/>
          <w:szCs w:val="24"/>
        </w:rPr>
        <w:t>;</w:t>
      </w:r>
    </w:p>
    <w:p w:rsidR="008221A9" w:rsidRPr="00C245D2" w:rsidRDefault="004941C8" w:rsidP="002875B9">
      <w:pPr>
        <w:pStyle w:val="a3"/>
        <w:numPr>
          <w:ilvl w:val="0"/>
          <w:numId w:val="15"/>
        </w:numPr>
        <w:jc w:val="both"/>
        <w:rPr>
          <w:rFonts w:ascii="Times New Roman" w:hAnsi="Times New Roman" w:cs="Times New Roman"/>
          <w:sz w:val="24"/>
          <w:szCs w:val="24"/>
        </w:rPr>
      </w:pPr>
      <w:r w:rsidRPr="00C245D2">
        <w:rPr>
          <w:rFonts w:ascii="Times New Roman" w:hAnsi="Times New Roman" w:cs="Times New Roman"/>
          <w:sz w:val="24"/>
          <w:szCs w:val="24"/>
        </w:rPr>
        <w:t>имитационное моделирование (</w:t>
      </w:r>
      <w:r w:rsidRPr="00347239">
        <w:rPr>
          <w:rFonts w:ascii="Times New Roman" w:hAnsi="Times New Roman" w:cs="Times New Roman"/>
          <w:sz w:val="24"/>
          <w:szCs w:val="24"/>
        </w:rPr>
        <w:t xml:space="preserve">метод </w:t>
      </w:r>
      <w:r w:rsidRPr="00C245D2">
        <w:rPr>
          <w:rFonts w:ascii="Times New Roman" w:hAnsi="Times New Roman" w:cs="Times New Roman"/>
          <w:sz w:val="24"/>
          <w:szCs w:val="24"/>
        </w:rPr>
        <w:t>Монте-Карло)</w:t>
      </w:r>
      <w:r w:rsidR="002875B9">
        <w:rPr>
          <w:rFonts w:ascii="Times New Roman" w:hAnsi="Times New Roman" w:cs="Times New Roman"/>
          <w:sz w:val="24"/>
          <w:szCs w:val="24"/>
        </w:rPr>
        <w:t>.</w:t>
      </w:r>
    </w:p>
    <w:p w:rsidR="008221A9" w:rsidRPr="00C245D2" w:rsidRDefault="008221A9" w:rsidP="00C245D2">
      <w:pPr>
        <w:jc w:val="both"/>
        <w:rPr>
          <w:rFonts w:ascii="Times New Roman" w:hAnsi="Times New Roman" w:cs="Times New Roman"/>
          <w:sz w:val="24"/>
          <w:szCs w:val="24"/>
        </w:rPr>
      </w:pPr>
    </w:p>
    <w:p w:rsidR="008221A9" w:rsidRPr="00C245D2" w:rsidRDefault="008221A9" w:rsidP="00C245D2">
      <w:pPr>
        <w:pStyle w:val="3"/>
        <w:spacing w:after="360"/>
        <w:jc w:val="both"/>
        <w:rPr>
          <w:rFonts w:ascii="Times New Roman" w:hAnsi="Times New Roman" w:cs="Times New Roman"/>
          <w:sz w:val="24"/>
          <w:szCs w:val="24"/>
        </w:rPr>
      </w:pPr>
      <w:bookmarkStart w:id="14" w:name="_Toc450920828"/>
      <w:r w:rsidRPr="00C245D2">
        <w:rPr>
          <w:rFonts w:ascii="Times New Roman" w:hAnsi="Times New Roman" w:cs="Times New Roman"/>
          <w:sz w:val="24"/>
          <w:szCs w:val="24"/>
        </w:rPr>
        <w:t>Анализ чувствительности</w:t>
      </w:r>
      <w:bookmarkEnd w:id="14"/>
    </w:p>
    <w:p w:rsidR="00AB2960" w:rsidRPr="00C245D2" w:rsidRDefault="00AB2960"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Как известно, практически невозможно однозначно оценить будущее значение таких параметров проекта, как объём сбыта, инфляция, цена и т.д., а из этого вытекает, что и показатели, высчитанные на основе этих данных (денежные потоки, чистая приведенная стоимость, внутренняя норма рентабельности), также являются неточными, и их колебания могут существенно повлиять на решение об эффективности реализации проекта. </w:t>
      </w:r>
    </w:p>
    <w:p w:rsidR="00AB2960" w:rsidRPr="00C245D2" w:rsidRDefault="00AB2960" w:rsidP="00C245D2">
      <w:pPr>
        <w:pStyle w:val="ad"/>
        <w:spacing w:after="0"/>
        <w:ind w:firstLine="851"/>
        <w:jc w:val="both"/>
      </w:pPr>
      <w:r w:rsidRPr="00C245D2">
        <w:t xml:space="preserve">Метод анализа чувствительности позволяет оценить изменение полученных результатов в зависимости от колебаний рыночной конъюнктуры и несовпадения актуальных данных различных показателей на входе с прогнозными значениями. </w:t>
      </w:r>
      <w:r w:rsidR="00181A1A" w:rsidRPr="00C245D2">
        <w:t>В результате появляется возможность определить соответствующую значимость каждой переменной по отношению к величине прибыльности и выделить те показатели, которые влияют на нее в большей мере, то есть обнаружить критические переменные, к которым прибыльность проекта наиболее чувствительна.</w:t>
      </w:r>
    </w:p>
    <w:p w:rsidR="00181A1A" w:rsidRPr="00C245D2" w:rsidRDefault="00181A1A" w:rsidP="00C245D2">
      <w:pPr>
        <w:pStyle w:val="ad"/>
        <w:spacing w:before="240" w:after="0"/>
        <w:ind w:firstLine="851"/>
        <w:jc w:val="both"/>
      </w:pPr>
      <w:r w:rsidRPr="00C245D2">
        <w:t>Анализ чувствительности проводится следующим образом:</w:t>
      </w:r>
    </w:p>
    <w:p w:rsidR="00181A1A" w:rsidRPr="00C245D2" w:rsidRDefault="0006043F" w:rsidP="00C245D2">
      <w:pPr>
        <w:pStyle w:val="ad"/>
        <w:numPr>
          <w:ilvl w:val="0"/>
          <w:numId w:val="14"/>
        </w:numPr>
        <w:jc w:val="both"/>
      </w:pPr>
      <w:r w:rsidRPr="00C245D2">
        <w:t>Определение</w:t>
      </w:r>
      <w:r w:rsidR="00181A1A" w:rsidRPr="00C245D2">
        <w:t xml:space="preserve"> базового значения </w:t>
      </w:r>
      <w:r w:rsidRPr="00C245D2">
        <w:t>результирующего</w:t>
      </w:r>
      <w:r w:rsidR="00181A1A" w:rsidRPr="00C245D2">
        <w:t xml:space="preserve"> показателя (например, </w:t>
      </w:r>
      <w:r w:rsidR="00181A1A" w:rsidRPr="00C245D2">
        <w:rPr>
          <w:lang w:val="en-US"/>
        </w:rPr>
        <w:t>NPV</w:t>
      </w:r>
      <w:r w:rsidR="00181A1A" w:rsidRPr="00C245D2">
        <w:t>).</w:t>
      </w:r>
    </w:p>
    <w:p w:rsidR="00181A1A" w:rsidRPr="00C245D2" w:rsidRDefault="0006043F" w:rsidP="00C245D2">
      <w:pPr>
        <w:pStyle w:val="ad"/>
        <w:numPr>
          <w:ilvl w:val="0"/>
          <w:numId w:val="14"/>
        </w:numPr>
        <w:jc w:val="both"/>
      </w:pPr>
      <w:r w:rsidRPr="00C245D2">
        <w:t>Высчитывается</w:t>
      </w:r>
      <w:r w:rsidR="00181A1A" w:rsidRPr="00C245D2">
        <w:t xml:space="preserve"> </w:t>
      </w:r>
      <w:r w:rsidR="00181A1A" w:rsidRPr="00C245D2">
        <w:rPr>
          <w:lang w:val="en-US"/>
        </w:rPr>
        <w:t>NPV</w:t>
      </w:r>
      <w:r w:rsidR="00181A1A" w:rsidRPr="00C245D2">
        <w:t xml:space="preserve"> проекта при условии изменения каждого из параметров на входе при постоянном значении остальных (чаще всего используются границы изменения в 10-15%)</w:t>
      </w:r>
      <w:r w:rsidRPr="00C245D2">
        <w:t>.</w:t>
      </w:r>
    </w:p>
    <w:p w:rsidR="00181A1A" w:rsidRDefault="00181A1A" w:rsidP="00C245D2">
      <w:pPr>
        <w:pStyle w:val="ad"/>
        <w:numPr>
          <w:ilvl w:val="0"/>
          <w:numId w:val="14"/>
        </w:numPr>
        <w:jc w:val="both"/>
      </w:pPr>
      <w:r w:rsidRPr="00C245D2">
        <w:t xml:space="preserve">Выявляется процентное изменение базового показателя </w:t>
      </w:r>
      <w:r w:rsidRPr="00C245D2">
        <w:rPr>
          <w:lang w:val="en-US"/>
        </w:rPr>
        <w:t>NPV</w:t>
      </w:r>
      <w:r w:rsidRPr="00C245D2">
        <w:t xml:space="preserve"> при изменении параметров</w:t>
      </w:r>
      <w:r w:rsidR="0006043F" w:rsidRPr="00C245D2">
        <w:t>.</w:t>
      </w:r>
      <w:r w:rsidRPr="00C245D2">
        <w:t xml:space="preserve"> </w:t>
      </w:r>
    </w:p>
    <w:p w:rsidR="00347239" w:rsidRPr="00C245D2" w:rsidRDefault="00347239" w:rsidP="00347239">
      <w:pPr>
        <w:pStyle w:val="ad"/>
        <w:ind w:left="360"/>
        <w:jc w:val="both"/>
      </w:pPr>
    </w:p>
    <w:p w:rsidR="0055663C" w:rsidRDefault="0006043F" w:rsidP="00C245D2">
      <w:pPr>
        <w:pStyle w:val="ad"/>
        <w:numPr>
          <w:ilvl w:val="0"/>
          <w:numId w:val="14"/>
        </w:numPr>
        <w:jc w:val="both"/>
      </w:pPr>
      <w:r w:rsidRPr="00C245D2">
        <w:lastRenderedPageBreak/>
        <w:t xml:space="preserve">Анализ полученных результатов. Одним из наиболее показательных методов является вычисление показателя эластичности по формуле: </w:t>
      </w:r>
    </w:p>
    <w:p w:rsidR="0055663C" w:rsidRDefault="0006043F" w:rsidP="0055663C">
      <w:pPr>
        <w:pStyle w:val="ad"/>
        <w:ind w:left="1068" w:firstLine="348"/>
        <w:jc w:val="both"/>
        <w:rPr>
          <w:rFonts w:eastAsiaTheme="minorEastAsia"/>
        </w:rPr>
      </w:pPr>
      <w:r w:rsidRPr="00C245D2">
        <w:t xml:space="preserve"> </w:t>
      </w:r>
      <m:oMath>
        <m:r>
          <w:rPr>
            <w:rFonts w:ascii="Cambria Math" w:hAnsi="Cambria Math"/>
            <w:sz w:val="36"/>
          </w:rPr>
          <m:t>E=</m:t>
        </m:r>
        <m:f>
          <m:fPr>
            <m:ctrlPr>
              <w:rPr>
                <w:rFonts w:ascii="Cambria Math" w:hAnsi="Cambria Math"/>
                <w:i/>
                <w:sz w:val="36"/>
              </w:rPr>
            </m:ctrlPr>
          </m:fPr>
          <m:num>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NPV</m:t>
                    </m:r>
                  </m:e>
                  <m:sub>
                    <m:r>
                      <w:rPr>
                        <w:rFonts w:ascii="Cambria Math" w:hAnsi="Cambria Math"/>
                        <w:sz w:val="36"/>
                      </w:rPr>
                      <m:t>2</m:t>
                    </m:r>
                  </m:sub>
                </m:sSub>
                <m:r>
                  <w:rPr>
                    <w:rFonts w:ascii="Cambria Math" w:hAnsi="Cambria Math"/>
                    <w:sz w:val="36"/>
                  </w:rPr>
                  <m:t>-</m:t>
                </m:r>
                <m:sSub>
                  <m:sSubPr>
                    <m:ctrlPr>
                      <w:rPr>
                        <w:rFonts w:ascii="Cambria Math" w:hAnsi="Cambria Math"/>
                        <w:i/>
                        <w:sz w:val="36"/>
                      </w:rPr>
                    </m:ctrlPr>
                  </m:sSubPr>
                  <m:e>
                    <m:r>
                      <w:rPr>
                        <w:rFonts w:ascii="Cambria Math" w:hAnsi="Cambria Math"/>
                        <w:sz w:val="36"/>
                      </w:rPr>
                      <m:t>NPV</m:t>
                    </m:r>
                  </m:e>
                  <m:sub>
                    <m:r>
                      <w:rPr>
                        <w:rFonts w:ascii="Cambria Math" w:hAnsi="Cambria Math"/>
                        <w:sz w:val="36"/>
                      </w:rPr>
                      <m:t>1</m:t>
                    </m:r>
                  </m:sub>
                </m:sSub>
              </m:num>
              <m:den>
                <m:sSub>
                  <m:sSubPr>
                    <m:ctrlPr>
                      <w:rPr>
                        <w:rFonts w:ascii="Cambria Math" w:hAnsi="Cambria Math"/>
                        <w:i/>
                        <w:sz w:val="36"/>
                      </w:rPr>
                    </m:ctrlPr>
                  </m:sSubPr>
                  <m:e>
                    <m:r>
                      <w:rPr>
                        <w:rFonts w:ascii="Cambria Math" w:hAnsi="Cambria Math"/>
                        <w:sz w:val="36"/>
                      </w:rPr>
                      <m:t>NPV</m:t>
                    </m:r>
                  </m:e>
                  <m:sub>
                    <m:r>
                      <w:rPr>
                        <w:rFonts w:ascii="Cambria Math" w:hAnsi="Cambria Math"/>
                        <w:sz w:val="36"/>
                      </w:rPr>
                      <m:t>1</m:t>
                    </m:r>
                  </m:sub>
                </m:sSub>
              </m:den>
            </m:f>
          </m:num>
          <m:den>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x</m:t>
                    </m:r>
                  </m:e>
                  <m:sub>
                    <m:r>
                      <w:rPr>
                        <w:rFonts w:ascii="Cambria Math" w:hAnsi="Cambria Math"/>
                        <w:sz w:val="36"/>
                      </w:rPr>
                      <m:t>2</m:t>
                    </m:r>
                  </m:sub>
                </m:sSub>
                <m:r>
                  <w:rPr>
                    <w:rFonts w:ascii="Cambria Math" w:hAnsi="Cambria Math"/>
                    <w:sz w:val="36"/>
                  </w:rPr>
                  <m:t>-</m:t>
                </m:r>
                <m:sSub>
                  <m:sSubPr>
                    <m:ctrlPr>
                      <w:rPr>
                        <w:rFonts w:ascii="Cambria Math" w:hAnsi="Cambria Math"/>
                        <w:i/>
                        <w:sz w:val="36"/>
                      </w:rPr>
                    </m:ctrlPr>
                  </m:sSubPr>
                  <m:e>
                    <m:r>
                      <w:rPr>
                        <w:rFonts w:ascii="Cambria Math" w:hAnsi="Cambria Math"/>
                        <w:sz w:val="36"/>
                      </w:rPr>
                      <m:t>x</m:t>
                    </m:r>
                  </m:e>
                  <m:sub>
                    <m:r>
                      <w:rPr>
                        <w:rFonts w:ascii="Cambria Math" w:hAnsi="Cambria Math"/>
                        <w:sz w:val="36"/>
                      </w:rPr>
                      <m:t>1</m:t>
                    </m:r>
                  </m:sub>
                </m:sSub>
              </m:num>
              <m:den>
                <m:sSub>
                  <m:sSubPr>
                    <m:ctrlPr>
                      <w:rPr>
                        <w:rFonts w:ascii="Cambria Math" w:hAnsi="Cambria Math"/>
                        <w:i/>
                        <w:sz w:val="36"/>
                      </w:rPr>
                    </m:ctrlPr>
                  </m:sSubPr>
                  <m:e>
                    <m:r>
                      <w:rPr>
                        <w:rFonts w:ascii="Cambria Math" w:hAnsi="Cambria Math"/>
                        <w:sz w:val="36"/>
                      </w:rPr>
                      <m:t>x</m:t>
                    </m:r>
                  </m:e>
                  <m:sub>
                    <m:r>
                      <w:rPr>
                        <w:rFonts w:ascii="Cambria Math" w:hAnsi="Cambria Math"/>
                        <w:sz w:val="36"/>
                      </w:rPr>
                      <m:t>1</m:t>
                    </m:r>
                  </m:sub>
                </m:sSub>
              </m:den>
            </m:f>
          </m:den>
        </m:f>
      </m:oMath>
      <w:r w:rsidRPr="00C245D2">
        <w:rPr>
          <w:rFonts w:eastAsiaTheme="minorEastAsia"/>
        </w:rPr>
        <w:t xml:space="preserve">, </w:t>
      </w:r>
      <w:r w:rsidR="0055663C">
        <w:rPr>
          <w:rFonts w:eastAsiaTheme="minorEastAsia"/>
        </w:rPr>
        <w:tab/>
      </w:r>
      <w:r w:rsidR="0055663C">
        <w:rPr>
          <w:rFonts w:eastAsiaTheme="minorEastAsia"/>
        </w:rPr>
        <w:tab/>
      </w:r>
      <w:r w:rsidR="0055663C">
        <w:rPr>
          <w:rFonts w:eastAsiaTheme="minorEastAsia"/>
        </w:rPr>
        <w:tab/>
      </w:r>
      <w:r w:rsidR="0055663C">
        <w:rPr>
          <w:rFonts w:eastAsiaTheme="minorEastAsia"/>
        </w:rPr>
        <w:tab/>
      </w:r>
      <w:r w:rsidR="0055663C">
        <w:rPr>
          <w:rFonts w:eastAsiaTheme="minorEastAsia"/>
        </w:rPr>
        <w:tab/>
      </w:r>
      <w:r w:rsidR="0055663C">
        <w:rPr>
          <w:rFonts w:eastAsiaTheme="minorEastAsia"/>
        </w:rPr>
        <w:tab/>
      </w:r>
      <w:r w:rsidR="0055663C">
        <w:rPr>
          <w:rFonts w:eastAsiaTheme="minorEastAsia"/>
        </w:rPr>
        <w:tab/>
      </w:r>
      <w:r w:rsidR="0055663C" w:rsidRPr="0055663C">
        <w:rPr>
          <w:rFonts w:eastAsiaTheme="minorEastAsia"/>
        </w:rPr>
        <w:t xml:space="preserve">     (8)</w:t>
      </w:r>
    </w:p>
    <w:p w:rsidR="0006043F" w:rsidRPr="00C245D2" w:rsidRDefault="0006043F" w:rsidP="0055663C">
      <w:pPr>
        <w:pStyle w:val="ad"/>
        <w:ind w:left="360"/>
        <w:jc w:val="both"/>
      </w:pPr>
      <w:r w:rsidRPr="00C245D2">
        <w:rPr>
          <w:rFonts w:eastAsiaTheme="minorEastAsia"/>
        </w:rPr>
        <w:t>где х – значение варьирующегося параметра</w:t>
      </w:r>
      <w:r w:rsidR="00D31EF1" w:rsidRPr="00C245D2">
        <w:rPr>
          <w:rStyle w:val="a8"/>
          <w:rFonts w:eastAsiaTheme="minorEastAsia"/>
        </w:rPr>
        <w:footnoteReference w:id="12"/>
      </w:r>
      <w:r w:rsidRPr="00C245D2">
        <w:rPr>
          <w:rFonts w:eastAsiaTheme="minorEastAsia"/>
        </w:rPr>
        <w:t>.</w:t>
      </w:r>
      <w:r w:rsidR="0055663C">
        <w:rPr>
          <w:rFonts w:eastAsiaTheme="minorEastAsia"/>
        </w:rPr>
        <w:tab/>
      </w:r>
      <w:r w:rsidR="0055663C">
        <w:rPr>
          <w:rFonts w:eastAsiaTheme="minorEastAsia"/>
        </w:rPr>
        <w:tab/>
      </w:r>
    </w:p>
    <w:p w:rsidR="0006043F" w:rsidRPr="00C245D2" w:rsidRDefault="0006043F"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Чем выше значение показателя эластичности, тем </w:t>
      </w:r>
      <w:r w:rsidR="001261A0" w:rsidRPr="00C245D2">
        <w:rPr>
          <w:rFonts w:ascii="Times New Roman" w:hAnsi="Times New Roman" w:cs="Times New Roman"/>
          <w:sz w:val="24"/>
          <w:szCs w:val="24"/>
        </w:rPr>
        <w:t>чувствительней</w:t>
      </w:r>
      <w:r w:rsidRPr="00C245D2">
        <w:rPr>
          <w:rFonts w:ascii="Times New Roman" w:hAnsi="Times New Roman" w:cs="Times New Roman"/>
          <w:sz w:val="24"/>
          <w:szCs w:val="24"/>
        </w:rPr>
        <w:t xml:space="preserve"> проект к изменениям данного параметра, и тем сильнее проект подвержен соответствующему риску.</w:t>
      </w:r>
    </w:p>
    <w:p w:rsidR="001261A0" w:rsidRPr="00C245D2" w:rsidRDefault="0006043F"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Для наглядности к этому методу можно применить графический способ интерпретации информации путем построения прямой корреляции изменения варьирующегося параметра и базового </w:t>
      </w:r>
      <w:r w:rsidR="001261A0" w:rsidRPr="00C245D2">
        <w:rPr>
          <w:rFonts w:ascii="Times New Roman" w:hAnsi="Times New Roman" w:cs="Times New Roman"/>
          <w:sz w:val="24"/>
          <w:szCs w:val="24"/>
        </w:rPr>
        <w:t>показателя</w:t>
      </w:r>
      <w:r w:rsidRPr="00C245D2">
        <w:rPr>
          <w:rFonts w:ascii="Times New Roman" w:hAnsi="Times New Roman" w:cs="Times New Roman"/>
          <w:sz w:val="24"/>
          <w:szCs w:val="24"/>
        </w:rPr>
        <w:t xml:space="preserve">. При оценке и сравнении проектов, более рискованными будут те, у которых </w:t>
      </w:r>
      <w:r w:rsidR="001261A0" w:rsidRPr="00C245D2">
        <w:rPr>
          <w:rFonts w:ascii="Times New Roman" w:hAnsi="Times New Roman" w:cs="Times New Roman"/>
          <w:sz w:val="24"/>
          <w:szCs w:val="24"/>
        </w:rPr>
        <w:t xml:space="preserve">прямые чувствительности будут иметь больший угол наклона, так как при таком расположении кривой, даже малое изменение оцениваемой переменной приведет к сильному изменению результирующего значения. </w:t>
      </w:r>
    </w:p>
    <w:p w:rsidR="001261A0" w:rsidRPr="00C245D2" w:rsidRDefault="001261A0"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Таким образом, метод дает наглядное представление о рискованности проекта в зависимости от изменения прогнозных переменных. Однако в этом скрывается большой недостаток этого подхода: на практике изменения параметров не происходят поодиночке, и допущение о том, что все параметры кроме одного будут соответствовать прогнозным показателям, очень редко соответствует действительности.</w:t>
      </w:r>
      <w:r w:rsidR="0006043F" w:rsidRPr="00C245D2">
        <w:rPr>
          <w:rFonts w:ascii="Times New Roman" w:hAnsi="Times New Roman" w:cs="Times New Roman"/>
          <w:sz w:val="24"/>
          <w:szCs w:val="24"/>
        </w:rPr>
        <w:t xml:space="preserve"> </w:t>
      </w:r>
    </w:p>
    <w:p w:rsidR="0092701F" w:rsidRPr="00C245D2" w:rsidRDefault="0092701F" w:rsidP="00C245D2">
      <w:pPr>
        <w:spacing w:after="0" w:line="360" w:lineRule="auto"/>
        <w:ind w:firstLine="851"/>
        <w:jc w:val="both"/>
        <w:rPr>
          <w:rFonts w:ascii="Times New Roman" w:hAnsi="Times New Roman" w:cs="Times New Roman"/>
          <w:sz w:val="24"/>
          <w:szCs w:val="24"/>
        </w:rPr>
      </w:pPr>
    </w:p>
    <w:p w:rsidR="002B173C" w:rsidRPr="00C245D2" w:rsidRDefault="0092701F" w:rsidP="00C245D2">
      <w:pPr>
        <w:pStyle w:val="3"/>
        <w:spacing w:after="360"/>
        <w:jc w:val="both"/>
        <w:rPr>
          <w:rFonts w:ascii="Times New Roman" w:hAnsi="Times New Roman" w:cs="Times New Roman"/>
          <w:sz w:val="24"/>
          <w:szCs w:val="24"/>
        </w:rPr>
      </w:pPr>
      <w:bookmarkStart w:id="15" w:name="_Toc450920829"/>
      <w:r w:rsidRPr="00C245D2">
        <w:rPr>
          <w:rFonts w:ascii="Times New Roman" w:hAnsi="Times New Roman" w:cs="Times New Roman"/>
          <w:sz w:val="24"/>
          <w:szCs w:val="24"/>
        </w:rPr>
        <w:t>Метод проверки устойчивости</w:t>
      </w:r>
      <w:bookmarkEnd w:id="15"/>
    </w:p>
    <w:p w:rsidR="0092701F" w:rsidRPr="00C245D2" w:rsidRDefault="00A90FCD" w:rsidP="00C245D2">
      <w:pPr>
        <w:pStyle w:val="ad"/>
        <w:spacing w:after="0"/>
        <w:ind w:firstLine="851"/>
        <w:jc w:val="both"/>
      </w:pPr>
      <w:r w:rsidRPr="00C245D2">
        <w:t>Метод предусматривает разработку сценариев реализации проектов в наиболее вероятных неблагоприятных вариантах развития событий. По каждому сценарию исследуются изменения результирующих факторов</w:t>
      </w:r>
      <w:r w:rsidR="00B14F67" w:rsidRPr="00C245D2">
        <w:t xml:space="preserve"> для</w:t>
      </w:r>
      <w:r w:rsidRPr="00C245D2">
        <w:t xml:space="preserve"> конкретны</w:t>
      </w:r>
      <w:r w:rsidR="00B14F67" w:rsidRPr="00C245D2">
        <w:t>х субъектов</w:t>
      </w:r>
      <w:r w:rsidRPr="00C245D2">
        <w:t>, например, доходы, потери и показатели эффективн</w:t>
      </w:r>
      <w:r w:rsidR="00B14F67" w:rsidRPr="00C245D2">
        <w:t>ости для собственников проекта,</w:t>
      </w:r>
      <w:r w:rsidRPr="00C245D2">
        <w:t xml:space="preserve"> государства и населения.</w:t>
      </w:r>
    </w:p>
    <w:p w:rsidR="0055663C" w:rsidRDefault="00A90FCD"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Проект считается устойчивым и эффективным, если во всех </w:t>
      </w:r>
      <w:r w:rsidR="00B14F67" w:rsidRPr="00C245D2">
        <w:rPr>
          <w:rFonts w:ascii="Times New Roman" w:hAnsi="Times New Roman" w:cs="Times New Roman"/>
          <w:sz w:val="24"/>
          <w:szCs w:val="24"/>
        </w:rPr>
        <w:t>рассмотренных</w:t>
      </w:r>
      <w:r w:rsidRPr="00C245D2">
        <w:rPr>
          <w:rFonts w:ascii="Times New Roman" w:hAnsi="Times New Roman" w:cs="Times New Roman"/>
          <w:sz w:val="24"/>
          <w:szCs w:val="24"/>
        </w:rPr>
        <w:t xml:space="preserve"> сценариях показатель эффективности положителен и обеспечивает требуемый</w:t>
      </w:r>
      <w:r w:rsidR="00B14F67" w:rsidRPr="00C245D2">
        <w:rPr>
          <w:rFonts w:ascii="Times New Roman" w:hAnsi="Times New Roman" w:cs="Times New Roman"/>
          <w:sz w:val="24"/>
          <w:szCs w:val="24"/>
        </w:rPr>
        <w:t xml:space="preserve"> показатель запаса прочности по</w:t>
      </w:r>
      <w:r w:rsidRPr="00C245D2">
        <w:rPr>
          <w:rFonts w:ascii="Times New Roman" w:hAnsi="Times New Roman" w:cs="Times New Roman"/>
          <w:sz w:val="24"/>
          <w:szCs w:val="24"/>
        </w:rPr>
        <w:t>средством расчета точки безубыточности:</w:t>
      </w:r>
    </w:p>
    <w:p w:rsidR="0055663C" w:rsidRDefault="00A90FCD" w:rsidP="0055663C">
      <w:pPr>
        <w:spacing w:after="0" w:line="360" w:lineRule="auto"/>
        <w:ind w:left="1981" w:firstLine="851"/>
        <w:jc w:val="both"/>
        <w:rPr>
          <w:rFonts w:ascii="Times New Roman" w:eastAsiaTheme="minorEastAsia" w:hAnsi="Times New Roman" w:cs="Times New Roman"/>
          <w:sz w:val="24"/>
          <w:szCs w:val="24"/>
        </w:rPr>
      </w:pPr>
      <w:r w:rsidRPr="00C245D2">
        <w:rPr>
          <w:rFonts w:ascii="Times New Roman" w:hAnsi="Times New Roman" w:cs="Times New Roman"/>
          <w:sz w:val="24"/>
          <w:szCs w:val="24"/>
        </w:rPr>
        <w:t xml:space="preserve"> </w:t>
      </w:r>
      <m:oMath>
        <m:r>
          <w:rPr>
            <w:rFonts w:ascii="Cambria Math" w:hAnsi="Cambria Math" w:cs="Times New Roman"/>
            <w:sz w:val="32"/>
            <w:szCs w:val="24"/>
          </w:rPr>
          <m:t>V=</m:t>
        </m:r>
        <m:f>
          <m:fPr>
            <m:ctrlPr>
              <w:rPr>
                <w:rFonts w:ascii="Cambria Math" w:hAnsi="Cambria Math" w:cs="Times New Roman"/>
                <w:i/>
                <w:sz w:val="32"/>
                <w:szCs w:val="24"/>
              </w:rPr>
            </m:ctrlPr>
          </m:fPr>
          <m:num>
            <m:r>
              <w:rPr>
                <w:rFonts w:ascii="Cambria Math" w:hAnsi="Cambria Math" w:cs="Times New Roman"/>
                <w:sz w:val="32"/>
                <w:szCs w:val="24"/>
              </w:rPr>
              <m:t>FC</m:t>
            </m:r>
          </m:num>
          <m:den>
            <m:r>
              <w:rPr>
                <w:rFonts w:ascii="Cambria Math" w:hAnsi="Cambria Math" w:cs="Times New Roman"/>
                <w:sz w:val="32"/>
                <w:szCs w:val="24"/>
              </w:rPr>
              <m:t>P-VC</m:t>
            </m:r>
          </m:den>
        </m:f>
      </m:oMath>
      <w:r w:rsidR="00B14F67" w:rsidRPr="00C245D2">
        <w:rPr>
          <w:rFonts w:ascii="Times New Roman" w:eastAsiaTheme="minorEastAsia" w:hAnsi="Times New Roman" w:cs="Times New Roman"/>
          <w:sz w:val="24"/>
          <w:szCs w:val="24"/>
        </w:rPr>
        <w:t xml:space="preserve">. </w:t>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t xml:space="preserve">    </w:t>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t>(9)</w:t>
      </w:r>
    </w:p>
    <w:p w:rsidR="00E57E84" w:rsidRPr="00C245D2" w:rsidRDefault="00B14F67" w:rsidP="00C245D2">
      <w:pPr>
        <w:spacing w:after="0" w:line="360" w:lineRule="auto"/>
        <w:ind w:firstLine="851"/>
        <w:jc w:val="both"/>
        <w:rPr>
          <w:rFonts w:ascii="Times New Roman" w:eastAsiaTheme="minorEastAsia" w:hAnsi="Times New Roman" w:cs="Times New Roman"/>
          <w:sz w:val="24"/>
          <w:szCs w:val="24"/>
        </w:rPr>
      </w:pPr>
      <w:r w:rsidRPr="00C245D2">
        <w:rPr>
          <w:rFonts w:ascii="Times New Roman" w:eastAsiaTheme="minorEastAsia" w:hAnsi="Times New Roman" w:cs="Times New Roman"/>
          <w:sz w:val="24"/>
          <w:szCs w:val="24"/>
        </w:rPr>
        <w:lastRenderedPageBreak/>
        <w:t xml:space="preserve">Если точка безубыточности составляет 60-70% от </w:t>
      </w:r>
      <w:r w:rsidR="00E57E84" w:rsidRPr="00C245D2">
        <w:rPr>
          <w:rFonts w:ascii="Times New Roman" w:eastAsiaTheme="minorEastAsia" w:hAnsi="Times New Roman" w:cs="Times New Roman"/>
          <w:sz w:val="24"/>
          <w:szCs w:val="24"/>
        </w:rPr>
        <w:t>номинального</w:t>
      </w:r>
      <w:r w:rsidRPr="00C245D2">
        <w:rPr>
          <w:rFonts w:ascii="Times New Roman" w:eastAsiaTheme="minorEastAsia" w:hAnsi="Times New Roman" w:cs="Times New Roman"/>
          <w:sz w:val="24"/>
          <w:szCs w:val="24"/>
        </w:rPr>
        <w:t xml:space="preserve"> </w:t>
      </w:r>
      <w:r w:rsidR="00E57E84" w:rsidRPr="00C245D2">
        <w:rPr>
          <w:rFonts w:ascii="Times New Roman" w:eastAsiaTheme="minorEastAsia" w:hAnsi="Times New Roman" w:cs="Times New Roman"/>
          <w:sz w:val="24"/>
          <w:szCs w:val="24"/>
        </w:rPr>
        <w:t>объёма</w:t>
      </w:r>
      <w:r w:rsidR="001207BB" w:rsidRPr="00C245D2">
        <w:rPr>
          <w:rFonts w:ascii="Times New Roman" w:eastAsiaTheme="minorEastAsia" w:hAnsi="Times New Roman" w:cs="Times New Roman"/>
          <w:sz w:val="24"/>
          <w:szCs w:val="24"/>
        </w:rPr>
        <w:t xml:space="preserve"> </w:t>
      </w:r>
      <w:r w:rsidR="00E57E84" w:rsidRPr="00C245D2">
        <w:rPr>
          <w:rFonts w:ascii="Times New Roman" w:eastAsiaTheme="minorEastAsia" w:hAnsi="Times New Roman" w:cs="Times New Roman"/>
          <w:sz w:val="24"/>
          <w:szCs w:val="24"/>
        </w:rPr>
        <w:t>производства, проект можно считать устойчивым. При приближении к 100% устойчивость падает в конечной точке проект можно назвать абсолютно неустойчивым.</w:t>
      </w:r>
    </w:p>
    <w:p w:rsidR="0092701F" w:rsidRPr="00C245D2" w:rsidRDefault="00E57E84" w:rsidP="00C245D2">
      <w:pPr>
        <w:spacing w:after="0" w:line="360" w:lineRule="auto"/>
        <w:ind w:firstLine="851"/>
        <w:jc w:val="both"/>
        <w:rPr>
          <w:rFonts w:ascii="Times New Roman" w:hAnsi="Times New Roman" w:cs="Times New Roman"/>
          <w:i/>
          <w:sz w:val="24"/>
          <w:szCs w:val="24"/>
        </w:rPr>
      </w:pPr>
      <w:r w:rsidRPr="00C245D2">
        <w:rPr>
          <w:rFonts w:ascii="Times New Roman" w:eastAsiaTheme="minorEastAsia" w:hAnsi="Times New Roman" w:cs="Times New Roman"/>
          <w:sz w:val="24"/>
          <w:szCs w:val="24"/>
        </w:rPr>
        <w:t xml:space="preserve">Однако даже при удовлетворительном запасе прочности не всегда проект является эффективным, так как существуют различные методологии определения величины издержек и в своем большинстве, такие затраты, как компенсация инвестиционных выплат, процентов по кредитам и др. в них не включаются. С другой стороны, на некоторых стадиях реализации проекта высокое значение показателя точки безубыточности не является достаточным обоснованием его отвергать: .например, на этапе освоения используемых мощностей или во время капитального ремонта дорогостоящего высокопроизводительного оборудования. Более того, с помощью </w:t>
      </w:r>
      <w:r w:rsidR="009D4A95" w:rsidRPr="00C245D2">
        <w:rPr>
          <w:rFonts w:ascii="Times New Roman" w:eastAsiaTheme="minorEastAsia" w:hAnsi="Times New Roman" w:cs="Times New Roman"/>
          <w:sz w:val="24"/>
          <w:szCs w:val="24"/>
        </w:rPr>
        <w:t xml:space="preserve">метода проверки устойчивости, </w:t>
      </w:r>
      <w:r w:rsidRPr="00C245D2">
        <w:rPr>
          <w:rFonts w:ascii="Times New Roman" w:eastAsiaTheme="minorEastAsia" w:hAnsi="Times New Roman" w:cs="Times New Roman"/>
          <w:sz w:val="24"/>
          <w:szCs w:val="24"/>
        </w:rPr>
        <w:t xml:space="preserve">невозможно провести комплексный анализ рискованности </w:t>
      </w:r>
      <w:r w:rsidR="009D4A95" w:rsidRPr="00C245D2">
        <w:rPr>
          <w:rFonts w:ascii="Times New Roman" w:eastAsiaTheme="minorEastAsia" w:hAnsi="Times New Roman" w:cs="Times New Roman"/>
          <w:sz w:val="24"/>
          <w:szCs w:val="24"/>
        </w:rPr>
        <w:t>проекта</w:t>
      </w:r>
      <w:r w:rsidRPr="00C245D2">
        <w:rPr>
          <w:rFonts w:ascii="Times New Roman" w:eastAsiaTheme="minorEastAsia" w:hAnsi="Times New Roman" w:cs="Times New Roman"/>
          <w:sz w:val="24"/>
          <w:szCs w:val="24"/>
        </w:rPr>
        <w:t xml:space="preserve">, </w:t>
      </w:r>
      <w:r w:rsidR="009D4A95" w:rsidRPr="00C245D2">
        <w:rPr>
          <w:rFonts w:ascii="Times New Roman" w:eastAsiaTheme="minorEastAsia" w:hAnsi="Times New Roman" w:cs="Times New Roman"/>
          <w:sz w:val="24"/>
          <w:szCs w:val="24"/>
        </w:rPr>
        <w:t>так как анализ показывает устойчивость проекта только в зависимости от величины отдельного параметра.</w:t>
      </w:r>
      <w:r w:rsidRPr="00C245D2">
        <w:rPr>
          <w:rFonts w:ascii="Times New Roman" w:eastAsiaTheme="minorEastAsia" w:hAnsi="Times New Roman" w:cs="Times New Roman"/>
          <w:sz w:val="24"/>
          <w:szCs w:val="24"/>
        </w:rPr>
        <w:t xml:space="preserve"> </w:t>
      </w:r>
    </w:p>
    <w:p w:rsidR="00E57E84" w:rsidRPr="00C245D2" w:rsidRDefault="00E57E84" w:rsidP="00C245D2">
      <w:pPr>
        <w:pStyle w:val="3"/>
        <w:spacing w:before="0"/>
        <w:jc w:val="both"/>
        <w:rPr>
          <w:rFonts w:ascii="Times New Roman" w:hAnsi="Times New Roman" w:cs="Times New Roman"/>
          <w:sz w:val="24"/>
          <w:szCs w:val="24"/>
        </w:rPr>
      </w:pPr>
    </w:p>
    <w:p w:rsidR="0092701F" w:rsidRPr="00C245D2" w:rsidRDefault="0092701F" w:rsidP="00C245D2">
      <w:pPr>
        <w:pStyle w:val="3"/>
        <w:jc w:val="both"/>
        <w:rPr>
          <w:rFonts w:ascii="Times New Roman" w:hAnsi="Times New Roman" w:cs="Times New Roman"/>
          <w:sz w:val="24"/>
          <w:szCs w:val="24"/>
        </w:rPr>
      </w:pPr>
      <w:bookmarkStart w:id="16" w:name="_Toc450920830"/>
      <w:r w:rsidRPr="00C245D2">
        <w:rPr>
          <w:rFonts w:ascii="Times New Roman" w:hAnsi="Times New Roman" w:cs="Times New Roman"/>
          <w:sz w:val="24"/>
          <w:szCs w:val="24"/>
        </w:rPr>
        <w:t>Метод сценариев</w:t>
      </w:r>
      <w:bookmarkEnd w:id="16"/>
    </w:p>
    <w:p w:rsidR="00D31EF1" w:rsidRPr="00C245D2" w:rsidRDefault="009D4A95" w:rsidP="00C245D2">
      <w:pPr>
        <w:spacing w:before="240"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В отличии от</w:t>
      </w:r>
      <w:r w:rsidR="00D31EF1" w:rsidRPr="00C245D2">
        <w:rPr>
          <w:rFonts w:ascii="Times New Roman" w:hAnsi="Times New Roman" w:cs="Times New Roman"/>
          <w:sz w:val="24"/>
          <w:szCs w:val="24"/>
        </w:rPr>
        <w:t xml:space="preserve"> </w:t>
      </w:r>
      <w:r w:rsidRPr="00C245D2">
        <w:rPr>
          <w:rFonts w:ascii="Times New Roman" w:hAnsi="Times New Roman" w:cs="Times New Roman"/>
          <w:sz w:val="24"/>
          <w:szCs w:val="24"/>
        </w:rPr>
        <w:t>предыдущих методов, ана</w:t>
      </w:r>
      <w:r w:rsidR="00D31EF1" w:rsidRPr="00C245D2">
        <w:rPr>
          <w:rFonts w:ascii="Times New Roman" w:hAnsi="Times New Roman" w:cs="Times New Roman"/>
          <w:sz w:val="24"/>
          <w:szCs w:val="24"/>
        </w:rPr>
        <w:t>лиз</w:t>
      </w:r>
      <w:r w:rsidRPr="00C245D2">
        <w:rPr>
          <w:rFonts w:ascii="Times New Roman" w:hAnsi="Times New Roman" w:cs="Times New Roman"/>
          <w:sz w:val="24"/>
          <w:szCs w:val="24"/>
        </w:rPr>
        <w:t xml:space="preserve"> проекта методом сценариев допускает</w:t>
      </w:r>
      <w:r w:rsidR="00D31EF1" w:rsidRPr="00C245D2">
        <w:rPr>
          <w:rFonts w:ascii="Times New Roman" w:hAnsi="Times New Roman" w:cs="Times New Roman"/>
          <w:sz w:val="24"/>
          <w:szCs w:val="24"/>
        </w:rPr>
        <w:t>, что</w:t>
      </w:r>
      <w:r w:rsidRPr="00C245D2">
        <w:rPr>
          <w:rFonts w:ascii="Times New Roman" w:hAnsi="Times New Roman" w:cs="Times New Roman"/>
          <w:sz w:val="24"/>
          <w:szCs w:val="24"/>
        </w:rPr>
        <w:t xml:space="preserve"> в</w:t>
      </w:r>
      <w:r w:rsidR="00D31EF1" w:rsidRPr="00C245D2">
        <w:rPr>
          <w:rFonts w:ascii="Times New Roman" w:hAnsi="Times New Roman" w:cs="Times New Roman"/>
          <w:sz w:val="24"/>
          <w:szCs w:val="24"/>
        </w:rPr>
        <w:t xml:space="preserve">се параметры системы одновременно подвергается изменениям и происходит учет их влияния во взаимосвязи. </w:t>
      </w:r>
    </w:p>
    <w:p w:rsidR="00D21090" w:rsidRPr="00C245D2" w:rsidRDefault="00D31EF1"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Изначально экспертами составляются возможные сценарии </w:t>
      </w:r>
      <w:r w:rsidR="00A215D8" w:rsidRPr="00C245D2">
        <w:rPr>
          <w:rFonts w:ascii="Times New Roman" w:hAnsi="Times New Roman" w:cs="Times New Roman"/>
          <w:sz w:val="24"/>
          <w:szCs w:val="24"/>
        </w:rPr>
        <w:t xml:space="preserve">развития процесса реализации проекта с учетов возможных величин затрат и поступлений и показателей эффективности на выходе. В результате формируются три сценария: пессимистичный, оптимистичный и наиболее вероятный. </w:t>
      </w:r>
    </w:p>
    <w:p w:rsidR="0055663C" w:rsidRDefault="00A215D8"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Если вероятность наступления сценариев (или событий, приводящих к реализации данных сценариев) заведомо известны, то интегральный показатель эффективности </w:t>
      </w:r>
      <w:r w:rsidR="00D21090" w:rsidRPr="00C245D2">
        <w:rPr>
          <w:rFonts w:ascii="Times New Roman" w:hAnsi="Times New Roman" w:cs="Times New Roman"/>
          <w:sz w:val="24"/>
          <w:szCs w:val="24"/>
        </w:rPr>
        <w:t>проекта</w:t>
      </w:r>
      <w:r w:rsidRPr="00C245D2">
        <w:rPr>
          <w:rFonts w:ascii="Times New Roman" w:hAnsi="Times New Roman" w:cs="Times New Roman"/>
          <w:sz w:val="24"/>
          <w:szCs w:val="24"/>
        </w:rPr>
        <w:t xml:space="preserve"> </w:t>
      </w:r>
      <w:r w:rsidR="00D21090" w:rsidRPr="00C245D2">
        <w:rPr>
          <w:rFonts w:ascii="Times New Roman" w:hAnsi="Times New Roman" w:cs="Times New Roman"/>
          <w:sz w:val="24"/>
          <w:szCs w:val="24"/>
        </w:rPr>
        <w:t>рассчитывается</w:t>
      </w:r>
      <w:r w:rsidRPr="00C245D2">
        <w:rPr>
          <w:rFonts w:ascii="Times New Roman" w:hAnsi="Times New Roman" w:cs="Times New Roman"/>
          <w:sz w:val="24"/>
          <w:szCs w:val="24"/>
        </w:rPr>
        <w:t xml:space="preserve"> по формуле математического ожидания:</w:t>
      </w:r>
    </w:p>
    <w:p w:rsidR="0055663C" w:rsidRDefault="00A215D8" w:rsidP="0055663C">
      <w:pPr>
        <w:spacing w:after="0" w:line="360" w:lineRule="auto"/>
        <w:ind w:left="708" w:firstLine="708"/>
        <w:jc w:val="both"/>
        <w:rPr>
          <w:rFonts w:ascii="Times New Roman" w:eastAsiaTheme="minorEastAsia" w:hAnsi="Times New Roman" w:cs="Times New Roman"/>
          <w:sz w:val="24"/>
          <w:szCs w:val="24"/>
        </w:rPr>
      </w:pPr>
      <w:r w:rsidRPr="00C245D2">
        <w:rPr>
          <w:rFonts w:ascii="Times New Roman" w:hAnsi="Times New Roman" w:cs="Times New Roman"/>
          <w:sz w:val="24"/>
          <w:szCs w:val="24"/>
        </w:rPr>
        <w:t xml:space="preserve"> </w:t>
      </w:r>
      <m:oMath>
        <m:sSub>
          <m:sSubPr>
            <m:ctrlPr>
              <w:rPr>
                <w:rFonts w:ascii="Cambria Math" w:hAnsi="Cambria Math" w:cs="Times New Roman"/>
                <w:i/>
                <w:sz w:val="32"/>
                <w:szCs w:val="24"/>
              </w:rPr>
            </m:ctrlPr>
          </m:sSubPr>
          <m:e>
            <m:r>
              <w:rPr>
                <w:rFonts w:ascii="Cambria Math" w:hAnsi="Cambria Math" w:cs="Times New Roman"/>
                <w:sz w:val="32"/>
                <w:szCs w:val="24"/>
              </w:rPr>
              <m:t>NPV</m:t>
            </m:r>
          </m:e>
          <m:sub>
            <m:r>
              <w:rPr>
                <w:rFonts w:ascii="Cambria Math" w:hAnsi="Cambria Math" w:cs="Times New Roman"/>
                <w:sz w:val="32"/>
                <w:szCs w:val="24"/>
              </w:rPr>
              <m:t>ож</m:t>
            </m:r>
          </m:sub>
        </m:sSub>
        <m:r>
          <w:rPr>
            <w:rFonts w:ascii="Cambria Math" w:hAnsi="Cambria Math" w:cs="Times New Roman"/>
            <w:sz w:val="32"/>
            <w:szCs w:val="24"/>
          </w:rPr>
          <m:t xml:space="preserve">= </m:t>
        </m:r>
        <m:nary>
          <m:naryPr>
            <m:chr m:val="∑"/>
            <m:limLoc m:val="undOvr"/>
            <m:ctrlPr>
              <w:rPr>
                <w:rFonts w:ascii="Cambria Math" w:hAnsi="Cambria Math" w:cs="Times New Roman"/>
                <w:i/>
                <w:sz w:val="32"/>
                <w:szCs w:val="24"/>
              </w:rPr>
            </m:ctrlPr>
          </m:naryPr>
          <m:sub>
            <m:r>
              <w:rPr>
                <w:rFonts w:ascii="Cambria Math" w:hAnsi="Cambria Math" w:cs="Times New Roman"/>
                <w:sz w:val="32"/>
                <w:szCs w:val="24"/>
              </w:rPr>
              <m:t>i=1</m:t>
            </m:r>
          </m:sub>
          <m:sup>
            <m:r>
              <w:rPr>
                <w:rFonts w:ascii="Cambria Math" w:hAnsi="Cambria Math" w:cs="Times New Roman"/>
                <w:sz w:val="32"/>
                <w:szCs w:val="24"/>
              </w:rPr>
              <m:t>n</m:t>
            </m:r>
          </m:sup>
          <m:e>
            <m:sSub>
              <m:sSubPr>
                <m:ctrlPr>
                  <w:rPr>
                    <w:rFonts w:ascii="Cambria Math" w:hAnsi="Cambria Math" w:cs="Times New Roman"/>
                    <w:i/>
                    <w:sz w:val="32"/>
                    <w:szCs w:val="24"/>
                  </w:rPr>
                </m:ctrlPr>
              </m:sSubPr>
              <m:e>
                <m:r>
                  <w:rPr>
                    <w:rFonts w:ascii="Cambria Math" w:hAnsi="Cambria Math" w:cs="Times New Roman"/>
                    <w:sz w:val="32"/>
                    <w:szCs w:val="24"/>
                  </w:rPr>
                  <m:t>NPV</m:t>
                </m:r>
              </m:e>
              <m:sub>
                <m:r>
                  <w:rPr>
                    <w:rFonts w:ascii="Cambria Math" w:hAnsi="Cambria Math" w:cs="Times New Roman"/>
                    <w:sz w:val="32"/>
                    <w:szCs w:val="24"/>
                  </w:rPr>
                  <m:t>i</m:t>
                </m:r>
              </m:sub>
            </m:sSub>
            <m:sSub>
              <m:sSubPr>
                <m:ctrlPr>
                  <w:rPr>
                    <w:rFonts w:ascii="Cambria Math" w:hAnsi="Cambria Math" w:cs="Times New Roman"/>
                    <w:i/>
                    <w:sz w:val="32"/>
                    <w:szCs w:val="24"/>
                  </w:rPr>
                </m:ctrlPr>
              </m:sSubPr>
              <m:e>
                <m:r>
                  <w:rPr>
                    <w:rFonts w:ascii="Cambria Math" w:hAnsi="Cambria Math" w:cs="Times New Roman"/>
                    <w:sz w:val="32"/>
                    <w:szCs w:val="24"/>
                  </w:rPr>
                  <m:t>p</m:t>
                </m:r>
              </m:e>
              <m:sub>
                <m:r>
                  <w:rPr>
                    <w:rFonts w:ascii="Cambria Math" w:hAnsi="Cambria Math" w:cs="Times New Roman"/>
                    <w:sz w:val="32"/>
                    <w:szCs w:val="24"/>
                  </w:rPr>
                  <m:t>i</m:t>
                </m:r>
              </m:sub>
            </m:sSub>
          </m:e>
        </m:nary>
      </m:oMath>
      <w:r w:rsidRPr="0055663C">
        <w:rPr>
          <w:rFonts w:ascii="Times New Roman" w:eastAsiaTheme="minorEastAsia" w:hAnsi="Times New Roman" w:cs="Times New Roman"/>
          <w:sz w:val="32"/>
          <w:szCs w:val="24"/>
        </w:rPr>
        <w:t xml:space="preserve"> </w:t>
      </w:r>
      <w:r w:rsidRPr="00C245D2">
        <w:rPr>
          <w:rFonts w:ascii="Times New Roman" w:eastAsiaTheme="minorEastAsia" w:hAnsi="Times New Roman" w:cs="Times New Roman"/>
          <w:sz w:val="24"/>
          <w:szCs w:val="24"/>
        </w:rPr>
        <w:t xml:space="preserve">, </w:t>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t>(10)</w:t>
      </w:r>
    </w:p>
    <w:p w:rsidR="00D31EF1" w:rsidRPr="00C245D2" w:rsidRDefault="00A215D8" w:rsidP="00C245D2">
      <w:pPr>
        <w:spacing w:after="0" w:line="360" w:lineRule="auto"/>
        <w:ind w:firstLine="851"/>
        <w:jc w:val="both"/>
        <w:rPr>
          <w:rFonts w:ascii="Times New Roman" w:hAnsi="Times New Roman" w:cs="Times New Roman"/>
          <w:sz w:val="24"/>
          <w:szCs w:val="24"/>
          <w:vertAlign w:val="subscript"/>
        </w:rPr>
      </w:pPr>
      <w:r w:rsidRPr="00C245D2">
        <w:rPr>
          <w:rFonts w:ascii="Times New Roman" w:eastAsiaTheme="minorEastAsia" w:hAnsi="Times New Roman" w:cs="Times New Roman"/>
          <w:sz w:val="24"/>
          <w:szCs w:val="24"/>
        </w:rPr>
        <w:t xml:space="preserve">где </w:t>
      </w:r>
      <w:r w:rsidRPr="00C245D2">
        <w:rPr>
          <w:rFonts w:ascii="Times New Roman" w:eastAsiaTheme="minorEastAsia" w:hAnsi="Times New Roman" w:cs="Times New Roman"/>
          <w:sz w:val="24"/>
          <w:szCs w:val="24"/>
          <w:lang w:val="en-US"/>
        </w:rPr>
        <w:t>p</w:t>
      </w:r>
      <w:r w:rsidRPr="00C245D2">
        <w:rPr>
          <w:rFonts w:ascii="Times New Roman" w:eastAsiaTheme="minorEastAsia" w:hAnsi="Times New Roman" w:cs="Times New Roman"/>
          <w:sz w:val="24"/>
          <w:szCs w:val="24"/>
          <w:vertAlign w:val="subscript"/>
          <w:lang w:val="en-US"/>
        </w:rPr>
        <w:t>i</w:t>
      </w:r>
      <w:r w:rsidRPr="00C245D2">
        <w:rPr>
          <w:rFonts w:ascii="Times New Roman" w:eastAsiaTheme="minorEastAsia" w:hAnsi="Times New Roman" w:cs="Times New Roman"/>
          <w:sz w:val="24"/>
          <w:szCs w:val="24"/>
          <w:vertAlign w:val="subscript"/>
        </w:rPr>
        <w:t xml:space="preserve"> </w:t>
      </w:r>
      <w:r w:rsidRPr="00C245D2">
        <w:rPr>
          <w:rFonts w:ascii="Times New Roman" w:eastAsiaTheme="minorEastAsia" w:hAnsi="Times New Roman" w:cs="Times New Roman"/>
          <w:sz w:val="24"/>
          <w:szCs w:val="24"/>
        </w:rPr>
        <w:t xml:space="preserve">– вероятность наступления того или иного </w:t>
      </w:r>
      <w:r w:rsidR="00D21090" w:rsidRPr="00C245D2">
        <w:rPr>
          <w:rFonts w:ascii="Times New Roman" w:eastAsiaTheme="minorEastAsia" w:hAnsi="Times New Roman" w:cs="Times New Roman"/>
          <w:sz w:val="24"/>
          <w:szCs w:val="24"/>
        </w:rPr>
        <w:t>сценария</w:t>
      </w:r>
      <w:r w:rsidRPr="00C245D2">
        <w:rPr>
          <w:rFonts w:ascii="Times New Roman" w:eastAsiaTheme="minorEastAsia" w:hAnsi="Times New Roman" w:cs="Times New Roman"/>
          <w:sz w:val="24"/>
          <w:szCs w:val="24"/>
        </w:rPr>
        <w:t>. Причем риск неэффективности проекта равен суммарной вероятности сценариев</w:t>
      </w:r>
      <w:r w:rsidR="00D21090" w:rsidRPr="00C245D2">
        <w:rPr>
          <w:rFonts w:ascii="Times New Roman" w:eastAsiaTheme="minorEastAsia" w:hAnsi="Times New Roman" w:cs="Times New Roman"/>
          <w:sz w:val="24"/>
          <w:szCs w:val="24"/>
        </w:rPr>
        <w:t>, когда чистая приведенная стоимость равна нулю.</w:t>
      </w:r>
    </w:p>
    <w:p w:rsidR="00A215D8" w:rsidRPr="00C245D2" w:rsidRDefault="00D21090"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В случае, когда вероятностное распределение наступления сценариев не известно, используется критерий оптимизма-пессимизма Л.Гурвица</w:t>
      </w:r>
      <w:r w:rsidRPr="00C245D2">
        <w:rPr>
          <w:rStyle w:val="a8"/>
          <w:rFonts w:ascii="Times New Roman" w:hAnsi="Times New Roman" w:cs="Times New Roman"/>
          <w:sz w:val="24"/>
          <w:szCs w:val="24"/>
        </w:rPr>
        <w:footnoteReference w:id="13"/>
      </w:r>
      <w:r w:rsidRPr="00C245D2">
        <w:rPr>
          <w:rFonts w:ascii="Times New Roman" w:hAnsi="Times New Roman" w:cs="Times New Roman"/>
          <w:sz w:val="24"/>
          <w:szCs w:val="24"/>
        </w:rPr>
        <w:t>:</w:t>
      </w:r>
      <w:r w:rsidR="0055663C">
        <w:rPr>
          <w:rFonts w:ascii="Times New Roman" w:hAnsi="Times New Roman" w:cs="Times New Roman"/>
          <w:sz w:val="24"/>
          <w:szCs w:val="24"/>
        </w:rPr>
        <w:tab/>
      </w:r>
      <w:r w:rsidR="0055663C">
        <w:rPr>
          <w:rFonts w:ascii="Times New Roman" w:hAnsi="Times New Roman" w:cs="Times New Roman"/>
          <w:sz w:val="24"/>
          <w:szCs w:val="24"/>
        </w:rPr>
        <w:tab/>
      </w:r>
    </w:p>
    <w:p w:rsidR="00D21090" w:rsidRPr="0055663C" w:rsidRDefault="00322F14" w:rsidP="0055663C">
      <w:pPr>
        <w:spacing w:after="0" w:line="360" w:lineRule="auto"/>
        <w:ind w:left="565" w:firstLine="851"/>
        <w:jc w:val="both"/>
        <w:rPr>
          <w:rFonts w:ascii="Times New Roman" w:eastAsiaTheme="minorEastAsia" w:hAnsi="Times New Roman" w:cs="Times New Roman"/>
          <w:sz w:val="32"/>
          <w:szCs w:val="24"/>
        </w:rPr>
      </w:pPr>
      <m:oMath>
        <m:sSub>
          <m:sSubPr>
            <m:ctrlPr>
              <w:rPr>
                <w:rFonts w:ascii="Cambria Math" w:hAnsi="Cambria Math" w:cs="Times New Roman"/>
                <w:i/>
                <w:sz w:val="32"/>
                <w:szCs w:val="24"/>
              </w:rPr>
            </m:ctrlPr>
          </m:sSubPr>
          <m:e>
            <m:r>
              <w:rPr>
                <w:rFonts w:ascii="Cambria Math" w:hAnsi="Cambria Math" w:cs="Times New Roman"/>
                <w:sz w:val="32"/>
                <w:szCs w:val="24"/>
              </w:rPr>
              <m:t>NPV</m:t>
            </m:r>
          </m:e>
          <m:sub>
            <m:r>
              <w:rPr>
                <w:rFonts w:ascii="Cambria Math" w:hAnsi="Cambria Math" w:cs="Times New Roman"/>
                <w:sz w:val="32"/>
                <w:szCs w:val="24"/>
              </w:rPr>
              <m:t>ож</m:t>
            </m:r>
          </m:sub>
        </m:sSub>
        <m:r>
          <w:rPr>
            <w:rFonts w:ascii="Cambria Math" w:hAnsi="Cambria Math" w:cs="Times New Roman"/>
            <w:sz w:val="32"/>
            <w:szCs w:val="24"/>
          </w:rPr>
          <m:t xml:space="preserve">= </m:t>
        </m:r>
        <m:r>
          <w:rPr>
            <w:rFonts w:ascii="Cambria Math" w:hAnsi="Cambria Math" w:cs="Times New Roman"/>
            <w:sz w:val="32"/>
            <w:szCs w:val="24"/>
            <w:lang w:val="en-US"/>
          </w:rPr>
          <m:t>a</m:t>
        </m:r>
        <m:r>
          <w:rPr>
            <w:rFonts w:ascii="Cambria Math" w:hAnsi="Cambria Math" w:cs="Times New Roman"/>
            <w:sz w:val="32"/>
            <w:szCs w:val="24"/>
          </w:rPr>
          <m:t xml:space="preserve"> ×</m:t>
        </m:r>
        <m:sSub>
          <m:sSubPr>
            <m:ctrlPr>
              <w:rPr>
                <w:rFonts w:ascii="Cambria Math" w:hAnsi="Cambria Math" w:cs="Times New Roman"/>
                <w:i/>
                <w:sz w:val="32"/>
                <w:szCs w:val="24"/>
              </w:rPr>
            </m:ctrlPr>
          </m:sSubPr>
          <m:e>
            <m:r>
              <w:rPr>
                <w:rFonts w:ascii="Cambria Math" w:hAnsi="Cambria Math" w:cs="Times New Roman"/>
                <w:sz w:val="32"/>
                <w:szCs w:val="24"/>
              </w:rPr>
              <m:t>NPV</m:t>
            </m:r>
          </m:e>
          <m:sub>
            <m:r>
              <w:rPr>
                <w:rFonts w:ascii="Cambria Math" w:hAnsi="Cambria Math" w:cs="Times New Roman"/>
                <w:sz w:val="32"/>
                <w:szCs w:val="24"/>
              </w:rPr>
              <m:t>max</m:t>
            </m:r>
          </m:sub>
        </m:sSub>
        <m:r>
          <w:rPr>
            <w:rFonts w:ascii="Cambria Math" w:hAnsi="Cambria Math" w:cs="Times New Roman"/>
            <w:sz w:val="32"/>
            <w:szCs w:val="24"/>
          </w:rPr>
          <m:t>+(1-a)×</m:t>
        </m:r>
        <m:sSub>
          <m:sSubPr>
            <m:ctrlPr>
              <w:rPr>
                <w:rFonts w:ascii="Cambria Math" w:hAnsi="Cambria Math" w:cs="Times New Roman"/>
                <w:i/>
                <w:sz w:val="32"/>
                <w:szCs w:val="24"/>
              </w:rPr>
            </m:ctrlPr>
          </m:sSubPr>
          <m:e>
            <m:r>
              <w:rPr>
                <w:rFonts w:ascii="Cambria Math" w:hAnsi="Cambria Math" w:cs="Times New Roman"/>
                <w:sz w:val="32"/>
                <w:szCs w:val="24"/>
              </w:rPr>
              <m:t>NPV</m:t>
            </m:r>
          </m:e>
          <m:sub>
            <m:r>
              <w:rPr>
                <w:rFonts w:ascii="Cambria Math" w:hAnsi="Cambria Math" w:cs="Times New Roman"/>
                <w:sz w:val="32"/>
                <w:szCs w:val="24"/>
              </w:rPr>
              <m:t>min</m:t>
            </m:r>
          </m:sub>
        </m:sSub>
      </m:oMath>
      <w:r w:rsidR="00D21090" w:rsidRPr="0055663C">
        <w:rPr>
          <w:rFonts w:ascii="Times New Roman" w:eastAsiaTheme="minorEastAsia" w:hAnsi="Times New Roman" w:cs="Times New Roman"/>
          <w:sz w:val="32"/>
          <w:szCs w:val="24"/>
        </w:rPr>
        <w:t xml:space="preserve">, </w:t>
      </w:r>
      <w:r w:rsidR="0055663C">
        <w:rPr>
          <w:rFonts w:ascii="Times New Roman" w:eastAsiaTheme="minorEastAsia" w:hAnsi="Times New Roman" w:cs="Times New Roman"/>
          <w:sz w:val="32"/>
          <w:szCs w:val="24"/>
        </w:rPr>
        <w:tab/>
      </w:r>
      <w:r w:rsidR="0055663C">
        <w:rPr>
          <w:rFonts w:ascii="Times New Roman" w:eastAsiaTheme="minorEastAsia" w:hAnsi="Times New Roman" w:cs="Times New Roman"/>
          <w:sz w:val="32"/>
          <w:szCs w:val="24"/>
        </w:rPr>
        <w:tab/>
      </w:r>
      <w:r w:rsidR="0055663C" w:rsidRPr="0055663C">
        <w:rPr>
          <w:rFonts w:ascii="Times New Roman" w:eastAsiaTheme="minorEastAsia" w:hAnsi="Times New Roman" w:cs="Times New Roman"/>
          <w:sz w:val="24"/>
          <w:szCs w:val="24"/>
        </w:rPr>
        <w:t>(11)</w:t>
      </w:r>
    </w:p>
    <w:p w:rsidR="00D21090" w:rsidRPr="00C245D2" w:rsidRDefault="00D21090" w:rsidP="00C245D2">
      <w:pPr>
        <w:spacing w:after="0" w:line="360" w:lineRule="auto"/>
        <w:ind w:firstLine="851"/>
        <w:jc w:val="both"/>
        <w:rPr>
          <w:rFonts w:ascii="Times New Roman" w:eastAsiaTheme="minorEastAsia" w:hAnsi="Times New Roman" w:cs="Times New Roman"/>
          <w:sz w:val="24"/>
          <w:szCs w:val="24"/>
        </w:rPr>
      </w:pPr>
      <w:r w:rsidRPr="00C245D2">
        <w:rPr>
          <w:rFonts w:ascii="Times New Roman" w:eastAsiaTheme="minorEastAsia" w:hAnsi="Times New Roman" w:cs="Times New Roman"/>
          <w:sz w:val="24"/>
          <w:szCs w:val="24"/>
        </w:rPr>
        <w:t xml:space="preserve">где </w:t>
      </w:r>
      <w:r w:rsidRPr="00C245D2">
        <w:rPr>
          <w:rFonts w:ascii="Times New Roman" w:eastAsiaTheme="minorEastAsia" w:hAnsi="Times New Roman" w:cs="Times New Roman"/>
          <w:sz w:val="24"/>
          <w:szCs w:val="24"/>
          <w:lang w:val="en-US"/>
        </w:rPr>
        <w:t>a</w:t>
      </w:r>
      <w:r w:rsidRPr="00C245D2">
        <w:rPr>
          <w:rFonts w:ascii="Times New Roman" w:eastAsiaTheme="minorEastAsia" w:hAnsi="Times New Roman" w:cs="Times New Roman"/>
          <w:sz w:val="24"/>
          <w:szCs w:val="24"/>
        </w:rPr>
        <w:t xml:space="preserve"> – это коэффициент оптимизма, его значение располагается в диапазоне от 0 до 1.</w:t>
      </w:r>
    </w:p>
    <w:p w:rsidR="00D21090" w:rsidRPr="00C245D2" w:rsidRDefault="00D21090" w:rsidP="00C245D2">
      <w:pPr>
        <w:spacing w:after="0" w:line="360" w:lineRule="auto"/>
        <w:ind w:firstLine="851"/>
        <w:jc w:val="both"/>
        <w:rPr>
          <w:rFonts w:ascii="Times New Roman" w:eastAsiaTheme="minorEastAsia" w:hAnsi="Times New Roman" w:cs="Times New Roman"/>
          <w:sz w:val="24"/>
          <w:szCs w:val="24"/>
        </w:rPr>
      </w:pPr>
      <w:r w:rsidRPr="00C245D2">
        <w:rPr>
          <w:rFonts w:ascii="Times New Roman" w:eastAsiaTheme="minorEastAsia" w:hAnsi="Times New Roman" w:cs="Times New Roman"/>
          <w:sz w:val="24"/>
          <w:szCs w:val="24"/>
        </w:rPr>
        <w:t xml:space="preserve">Если эксперт </w:t>
      </w:r>
      <w:r w:rsidR="001E17FD" w:rsidRPr="00C245D2">
        <w:rPr>
          <w:rFonts w:ascii="Times New Roman" w:eastAsiaTheme="minorEastAsia" w:hAnsi="Times New Roman" w:cs="Times New Roman"/>
          <w:sz w:val="24"/>
          <w:szCs w:val="24"/>
        </w:rPr>
        <w:t>настроен</w:t>
      </w:r>
      <w:r w:rsidRPr="00C245D2">
        <w:rPr>
          <w:rFonts w:ascii="Times New Roman" w:eastAsiaTheme="minorEastAsia" w:hAnsi="Times New Roman" w:cs="Times New Roman"/>
          <w:sz w:val="24"/>
          <w:szCs w:val="24"/>
        </w:rPr>
        <w:t xml:space="preserve"> пессимистично, то выставляется коэффициент а=0 и  решение принимает </w:t>
      </w:r>
      <w:r w:rsidR="001E17FD" w:rsidRPr="00C245D2">
        <w:rPr>
          <w:rFonts w:ascii="Times New Roman" w:eastAsiaTheme="minorEastAsia" w:hAnsi="Times New Roman" w:cs="Times New Roman"/>
          <w:sz w:val="24"/>
          <w:szCs w:val="24"/>
        </w:rPr>
        <w:t>величину эффективности при худшем варианте развития событий, если оптимистично, то</w:t>
      </w:r>
      <w:r w:rsidR="001B2BAE" w:rsidRPr="00C245D2">
        <w:rPr>
          <w:rFonts w:ascii="Times New Roman" w:eastAsiaTheme="minorEastAsia" w:hAnsi="Times New Roman" w:cs="Times New Roman"/>
          <w:sz w:val="24"/>
          <w:szCs w:val="24"/>
        </w:rPr>
        <w:t xml:space="preserve"> а=1 и</w:t>
      </w:r>
      <w:r w:rsidR="001E17FD" w:rsidRPr="00C245D2">
        <w:rPr>
          <w:rFonts w:ascii="Times New Roman" w:eastAsiaTheme="minorEastAsia" w:hAnsi="Times New Roman" w:cs="Times New Roman"/>
          <w:sz w:val="24"/>
          <w:szCs w:val="24"/>
        </w:rPr>
        <w:t xml:space="preserve"> принимается показатель позитивного сценария. </w:t>
      </w:r>
    </w:p>
    <w:p w:rsidR="001E17FD" w:rsidRPr="00C245D2" w:rsidRDefault="001B2BAE"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Несмотря на то, что метод позволяет учесть все вероятные изменения исходных параметров, он несет в себе ряд недостатков. Во-первых, это ограниченность возможных вариантов развития ситуации, а во-вторых – это субъективизм в выставлении вероятностей наступления того или иного сценария или коэффициента оптимизма а в случае применения критерия Гурвица. При прогнозировании ситуации более пессимистичной, чем требовалось, инвестор может столкнуться с проблемой неоправданно высоких затрат и авансированного капитала, а также с проблемой отказа от многих эффективных проектов.</w:t>
      </w:r>
    </w:p>
    <w:p w:rsidR="00A215D8" w:rsidRPr="00C245D2" w:rsidRDefault="001B2BAE" w:rsidP="00C245D2">
      <w:pPr>
        <w:pStyle w:val="3"/>
        <w:spacing w:before="480"/>
        <w:jc w:val="both"/>
        <w:rPr>
          <w:rFonts w:ascii="Times New Roman" w:hAnsi="Times New Roman" w:cs="Times New Roman"/>
          <w:sz w:val="24"/>
          <w:szCs w:val="24"/>
        </w:rPr>
      </w:pPr>
      <w:bookmarkStart w:id="17" w:name="_Toc450920831"/>
      <w:r w:rsidRPr="00C245D2">
        <w:rPr>
          <w:rFonts w:ascii="Times New Roman" w:hAnsi="Times New Roman" w:cs="Times New Roman"/>
          <w:sz w:val="24"/>
          <w:szCs w:val="24"/>
        </w:rPr>
        <w:t>Метод дерева решений</w:t>
      </w:r>
      <w:bookmarkEnd w:id="17"/>
    </w:p>
    <w:p w:rsidR="00F73233" w:rsidRPr="00C245D2" w:rsidRDefault="001B2BAE" w:rsidP="00C245D2">
      <w:pPr>
        <w:spacing w:before="240"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Метод дерева решений сходен с методом сценариев и предполагает построение многовариантного прогноза динамики внешней </w:t>
      </w:r>
      <w:r w:rsidR="00AB2C4C" w:rsidRPr="00C245D2">
        <w:rPr>
          <w:rFonts w:ascii="Times New Roman" w:hAnsi="Times New Roman" w:cs="Times New Roman"/>
          <w:sz w:val="24"/>
          <w:szCs w:val="24"/>
        </w:rPr>
        <w:t>среды</w:t>
      </w:r>
      <w:r w:rsidR="00AB2C4C" w:rsidRPr="00C245D2">
        <w:rPr>
          <w:rStyle w:val="a8"/>
          <w:rFonts w:ascii="Times New Roman" w:hAnsi="Times New Roman" w:cs="Times New Roman"/>
          <w:sz w:val="24"/>
          <w:szCs w:val="24"/>
        </w:rPr>
        <w:footnoteReference w:id="14"/>
      </w:r>
      <w:r w:rsidRPr="00C245D2">
        <w:rPr>
          <w:rFonts w:ascii="Times New Roman" w:hAnsi="Times New Roman" w:cs="Times New Roman"/>
          <w:sz w:val="24"/>
          <w:szCs w:val="24"/>
        </w:rPr>
        <w:t>.</w:t>
      </w:r>
      <w:r w:rsidR="009D4A95" w:rsidRPr="00C245D2">
        <w:rPr>
          <w:rFonts w:ascii="Times New Roman" w:hAnsi="Times New Roman" w:cs="Times New Roman"/>
          <w:sz w:val="24"/>
          <w:szCs w:val="24"/>
        </w:rPr>
        <w:t xml:space="preserve"> </w:t>
      </w:r>
    </w:p>
    <w:p w:rsidR="00C228C2" w:rsidRPr="00C245D2" w:rsidRDefault="00F91091"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Использование данного метода наиболее уместно в ситуациях, когда организация имеет контроль над реализацией инвестиционного проекта в рамках принятия конкретных управленческих решений, при том условии, что любой выбор пути развития на раннем этапе имеет крайне существенное влияние на ход реализации ИП в дальнейшем и на более поздние этапы принятия решений. Наиболее репрезентативным является представление этого разветвленного процесса наступления событий графически в виде сетевого графика -  «дерева» решений. Его ветви показывают </w:t>
      </w:r>
      <w:r w:rsidR="00C228C2" w:rsidRPr="00C245D2">
        <w:rPr>
          <w:rFonts w:ascii="Times New Roman" w:hAnsi="Times New Roman" w:cs="Times New Roman"/>
          <w:sz w:val="24"/>
          <w:szCs w:val="24"/>
        </w:rPr>
        <w:t>альтернативные</w:t>
      </w:r>
      <w:r w:rsidRPr="00C245D2">
        <w:rPr>
          <w:rFonts w:ascii="Times New Roman" w:hAnsi="Times New Roman" w:cs="Times New Roman"/>
          <w:sz w:val="24"/>
          <w:szCs w:val="24"/>
        </w:rPr>
        <w:t xml:space="preserve"> </w:t>
      </w:r>
      <w:r w:rsidR="00C228C2" w:rsidRPr="00C245D2">
        <w:rPr>
          <w:rFonts w:ascii="Times New Roman" w:hAnsi="Times New Roman" w:cs="Times New Roman"/>
          <w:sz w:val="24"/>
          <w:szCs w:val="24"/>
        </w:rPr>
        <w:t>сценарии</w:t>
      </w:r>
      <w:r w:rsidRPr="00C245D2">
        <w:rPr>
          <w:rFonts w:ascii="Times New Roman" w:hAnsi="Times New Roman" w:cs="Times New Roman"/>
          <w:sz w:val="24"/>
          <w:szCs w:val="24"/>
        </w:rPr>
        <w:t xml:space="preserve"> </w:t>
      </w:r>
      <w:r w:rsidR="00C228C2" w:rsidRPr="00C245D2">
        <w:rPr>
          <w:rFonts w:ascii="Times New Roman" w:hAnsi="Times New Roman" w:cs="Times New Roman"/>
          <w:sz w:val="24"/>
          <w:szCs w:val="24"/>
        </w:rPr>
        <w:t>с определенными вероятностями, что позволяет сосчитать ожидаемый уровень дохода (риска) на основе формулы математического ожидания.</w:t>
      </w:r>
    </w:p>
    <w:p w:rsidR="00C228C2" w:rsidRPr="00C245D2" w:rsidRDefault="00C228C2" w:rsidP="00C245D2">
      <w:pPr>
        <w:spacing w:after="48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Основными недостатками метода является трудоемкость расчётов при большом количестве альтернатив, а так же субъективизм при определении вероятностей реализации того или иного события.</w:t>
      </w:r>
    </w:p>
    <w:p w:rsidR="009715DF" w:rsidRPr="00C245D2" w:rsidRDefault="009715DF" w:rsidP="00C245D2">
      <w:pPr>
        <w:pStyle w:val="3"/>
        <w:jc w:val="both"/>
        <w:rPr>
          <w:rFonts w:ascii="Times New Roman" w:hAnsi="Times New Roman" w:cs="Times New Roman"/>
          <w:sz w:val="24"/>
          <w:szCs w:val="24"/>
        </w:rPr>
      </w:pPr>
      <w:bookmarkStart w:id="18" w:name="_Toc450920832"/>
      <w:r w:rsidRPr="00C245D2">
        <w:rPr>
          <w:rFonts w:ascii="Times New Roman" w:hAnsi="Times New Roman" w:cs="Times New Roman"/>
          <w:sz w:val="24"/>
          <w:szCs w:val="24"/>
        </w:rPr>
        <w:lastRenderedPageBreak/>
        <w:t>Имитационное моделирование (метод Монте-Карло)</w:t>
      </w:r>
      <w:bookmarkEnd w:id="18"/>
      <w:r w:rsidRPr="00C245D2">
        <w:rPr>
          <w:rFonts w:ascii="Times New Roman" w:hAnsi="Times New Roman" w:cs="Times New Roman"/>
          <w:sz w:val="24"/>
          <w:szCs w:val="24"/>
        </w:rPr>
        <w:t xml:space="preserve"> </w:t>
      </w:r>
    </w:p>
    <w:p w:rsidR="009715DF" w:rsidRPr="00C245D2" w:rsidRDefault="009715DF" w:rsidP="00C245D2">
      <w:pPr>
        <w:spacing w:before="240"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Метод оцени риска с помощью имитационного моделирования, а именно, метод Монте-Карло, является наиболее сложным процессом, требующим достаточных </w:t>
      </w:r>
      <w:r w:rsidRPr="00C245D2">
        <w:rPr>
          <w:rFonts w:ascii="Times New Roman" w:hAnsi="Times New Roman" w:cs="Times New Roman"/>
          <w:color w:val="000000" w:themeColor="text1"/>
          <w:sz w:val="24"/>
          <w:szCs w:val="24"/>
        </w:rPr>
        <w:t xml:space="preserve">компетенций оценщика и использования определенных математических пакетов типа Crystal Ball, @Risk, </w:t>
      </w:r>
      <w:r w:rsidRPr="00C245D2">
        <w:rPr>
          <w:rFonts w:ascii="Times New Roman" w:hAnsi="Times New Roman" w:cs="Times New Roman"/>
          <w:color w:val="000000" w:themeColor="text1"/>
          <w:sz w:val="24"/>
          <w:szCs w:val="24"/>
          <w:shd w:val="clear" w:color="auto" w:fill="FFFFFF"/>
        </w:rPr>
        <w:t xml:space="preserve">Business Project, </w:t>
      </w:r>
      <w:r w:rsidRPr="00C245D2">
        <w:rPr>
          <w:rFonts w:ascii="Times New Roman" w:hAnsi="Times New Roman" w:cs="Times New Roman"/>
          <w:color w:val="000000" w:themeColor="text1"/>
          <w:sz w:val="24"/>
          <w:szCs w:val="24"/>
          <w:shd w:val="clear" w:color="auto" w:fill="FFFFFF"/>
          <w:lang w:val="en-US"/>
        </w:rPr>
        <w:t>Delphi</w:t>
      </w:r>
      <w:r w:rsidRPr="00C245D2">
        <w:rPr>
          <w:rFonts w:ascii="Times New Roman" w:hAnsi="Times New Roman" w:cs="Times New Roman"/>
          <w:color w:val="000000" w:themeColor="text1"/>
          <w:sz w:val="24"/>
          <w:szCs w:val="24"/>
          <w:shd w:val="clear" w:color="auto" w:fill="FFFFFF"/>
        </w:rPr>
        <w:t>  7.0 и т.д</w:t>
      </w:r>
      <w:r w:rsidRPr="00C245D2">
        <w:rPr>
          <w:rFonts w:ascii="Times New Roman" w:hAnsi="Times New Roman" w:cs="Times New Roman"/>
          <w:color w:val="000000" w:themeColor="text1"/>
          <w:sz w:val="24"/>
          <w:szCs w:val="24"/>
        </w:rPr>
        <w:t xml:space="preserve">. </w:t>
      </w:r>
      <w:r w:rsidRPr="00C245D2">
        <w:rPr>
          <w:rFonts w:ascii="Times New Roman" w:hAnsi="Times New Roman" w:cs="Times New Roman"/>
          <w:sz w:val="24"/>
          <w:szCs w:val="24"/>
        </w:rPr>
        <w:t>Так же, как и в двух предыдущих методах, основой метода является анализ возмо</w:t>
      </w:r>
      <w:r w:rsidR="000D0C0F">
        <w:rPr>
          <w:rFonts w:ascii="Times New Roman" w:hAnsi="Times New Roman" w:cs="Times New Roman"/>
          <w:sz w:val="24"/>
          <w:szCs w:val="24"/>
        </w:rPr>
        <w:t>жных вариантов развития событий, о</w:t>
      </w:r>
      <w:r w:rsidR="000D0C0F" w:rsidRPr="00C245D2">
        <w:rPr>
          <w:rFonts w:ascii="Times New Roman" w:hAnsi="Times New Roman" w:cs="Times New Roman"/>
          <w:color w:val="000000" w:themeColor="text1"/>
          <w:sz w:val="24"/>
          <w:szCs w:val="24"/>
        </w:rPr>
        <w:t xml:space="preserve">днако </w:t>
      </w:r>
      <w:r w:rsidR="000D0C0F" w:rsidRPr="00C245D2">
        <w:rPr>
          <w:rFonts w:ascii="Times New Roman" w:hAnsi="Times New Roman" w:cs="Times New Roman"/>
          <w:sz w:val="24"/>
          <w:szCs w:val="24"/>
        </w:rPr>
        <w:t>при этом</w:t>
      </w:r>
      <w:r w:rsidR="000D0C0F">
        <w:rPr>
          <w:rFonts w:ascii="Times New Roman" w:hAnsi="Times New Roman" w:cs="Times New Roman"/>
          <w:sz w:val="24"/>
          <w:szCs w:val="24"/>
        </w:rPr>
        <w:t>,</w:t>
      </w:r>
      <w:r w:rsidR="000D0C0F" w:rsidRPr="00C245D2">
        <w:rPr>
          <w:rFonts w:ascii="Times New Roman" w:hAnsi="Times New Roman" w:cs="Times New Roman"/>
          <w:sz w:val="24"/>
          <w:szCs w:val="24"/>
        </w:rPr>
        <w:t xml:space="preserve"> достоверность полученных результатов </w:t>
      </w:r>
      <w:r w:rsidR="000D0C0F">
        <w:rPr>
          <w:rFonts w:ascii="Times New Roman" w:hAnsi="Times New Roman" w:cs="Times New Roman"/>
          <w:sz w:val="24"/>
          <w:szCs w:val="24"/>
        </w:rPr>
        <w:t>значительно выше</w:t>
      </w:r>
      <w:r w:rsidR="000D0C0F" w:rsidRPr="00C245D2">
        <w:rPr>
          <w:rFonts w:ascii="Times New Roman" w:hAnsi="Times New Roman" w:cs="Times New Roman"/>
          <w:sz w:val="24"/>
          <w:szCs w:val="24"/>
        </w:rPr>
        <w:t>.</w:t>
      </w:r>
    </w:p>
    <w:p w:rsidR="009715DF" w:rsidRPr="00C245D2" w:rsidRDefault="009715DF"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Сущность  метода  состоит  в  соединении  анализа  чувствительности  и  вероятностных  распределений  факторов  модели. В ходе процесса имитации строятся последовательные сценарии с использованием исходных прогнозных данных, являющимися неопределенными и выступающими случайными величинами. Процесс имитации осуществляется таким образом, чтобы случайный выбор значений из определенных вероятностных распределений не нарушал существования известных или предполагаемых корреляционных связях между переменными. Результаты имитации собираются и анализируются статистически, с тем, чтобы оценить меру риска, то есть распределение вероятностей возможных результатов проекта (например, вероятность отрицательного чистого приведенного дохода)</w:t>
      </w:r>
      <w:r w:rsidRPr="00C245D2">
        <w:rPr>
          <w:rStyle w:val="a8"/>
          <w:rFonts w:ascii="Times New Roman" w:hAnsi="Times New Roman" w:cs="Times New Roman"/>
          <w:sz w:val="24"/>
          <w:szCs w:val="24"/>
        </w:rPr>
        <w:footnoteReference w:id="15"/>
      </w:r>
      <w:r w:rsidRPr="00C245D2">
        <w:rPr>
          <w:rFonts w:ascii="Times New Roman" w:hAnsi="Times New Roman" w:cs="Times New Roman"/>
          <w:sz w:val="24"/>
          <w:szCs w:val="24"/>
        </w:rPr>
        <w:t>.</w:t>
      </w:r>
    </w:p>
    <w:p w:rsidR="009715DF" w:rsidRPr="00C245D2" w:rsidRDefault="00043F49" w:rsidP="00C245D2">
      <w:pPr>
        <w:spacing w:before="360" w:line="360" w:lineRule="auto"/>
        <w:ind w:firstLine="851"/>
        <w:jc w:val="both"/>
        <w:rPr>
          <w:rFonts w:ascii="Times New Roman" w:hAnsi="Times New Roman" w:cs="Times New Roman"/>
          <w:sz w:val="24"/>
          <w:szCs w:val="24"/>
        </w:rPr>
      </w:pPr>
      <w:r w:rsidRPr="00C245D2">
        <w:rPr>
          <w:rFonts w:ascii="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165DA386" wp14:editId="215713B0">
                <wp:simplePos x="0" y="0"/>
                <wp:positionH relativeFrom="column">
                  <wp:posOffset>882015</wp:posOffset>
                </wp:positionH>
                <wp:positionV relativeFrom="paragraph">
                  <wp:posOffset>1773555</wp:posOffset>
                </wp:positionV>
                <wp:extent cx="485775" cy="24765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485775" cy="2476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CA5F9" id="Прямоугольник 2" o:spid="_x0000_s1026" style="position:absolute;margin-left:69.45pt;margin-top:139.65pt;width:38.25pt;height:19.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DMwwIAALgFAAAOAAAAZHJzL2Uyb0RvYy54bWysVM1u2zAMvg/YOwi6r3aMpGmDOkXQosOA&#10;rg3WDj0rspwYkEVNUv52GrDrgD3CHmKXYT99BueNRsk//Vmxw7CLLYrkR/ITyaPjTSnJShhbgEpp&#10;by+mRCgOWaHmKX17ffbigBLrmMqYBCVSuhWWHo+fPzta65FIYAEyE4YgiLKjtU7pwjk9iiLLF6Jk&#10;dg+0UKjMwZTMoWjmUWbYGtFLGSVxvB+twWTaABfW4u1praTjgJ/ngrvLPLfCEZlSzM2Frwnfmf9G&#10;4yM2mhumFwVv0mD/kEXJCoVBO6hT5hhZmuIPqLLgBizkbo9DGUGeF1yEGrCaXvyomqsF0yLUguRY&#10;3dFk/x8sv1hNDSmylCaUKFbiE1Vfdh92n6uf1e3uY/W1uq1+7D5Vv6pv1XeSeL7W2o7Q7UpPTSNZ&#10;PPriN7kp/R/LIpvA8bbjWGwc4XjZPxgMhwNKOKqS/nB/EN4gunPWxrqXAkriDyk1+ISBWbY6tw4D&#10;omlr4mNZkEV2VkgZBN824kQasmL44LN5L7jKZfkasvrucBDHbcjQZd48oD5AksrjKfDIdVB/E/na&#10;62rDyW2l8HZSvRE5soj1JSFih1wHZZwL5epk7IJlor72qTydSwD0yDnG77AbgIdFtth1lo29dxWh&#10;/Tvn+G+J1c6dR4gMynXOZaHAPAUgsaomcm3fklRT41maQbbFHjNQD5/V/KzApz1n1k2ZwWnDucQN&#10;4i7xk0tYpxSaEyULMO+fuvf2OASopWSN05tS+27JjKBEvlI4Hoe9ft+PexD6g2GCgrmvmd3XqGV5&#10;AtgvPdxVmoejt3eyPeYGyhtcNBMfFVVMcYydUu5MK5y4eqvgquJiMglmOOKauXN1pbkH96z61r3e&#10;3DCjm/52OBgX0E46Gz1q89rWeyqYLB3kRZiBO14bvnE9hCZuVpnfP/flYHW3cMe/AQAA//8DAFBL&#10;AwQUAAYACAAAACEAwf+AMOEAAAALAQAADwAAAGRycy9kb3ducmV2LnhtbEyPy07DMBBF90j8gzVI&#10;bCrqPFpIQ5wKkLqhGyiI9TQe4ojYDrbTBL4es4Ll1Rzde6bazrpnJ3K+s0ZAukyAkWms7Ewr4PVl&#10;d1UA8wGNxN4aEvBFHrb1+VmFpbSTeabTIbQslhhfogAVwlBy7htFGv3SDmTi7d06jSFG13LpcIrl&#10;uudZklxzjZ2JCwoHelDUfBxGLYBQPslxtX5cfH/uXKfe5v20uBfi8mK+uwUWaA5/MPzqR3Woo9PR&#10;jkZ61secF5uICshuNjmwSGTpegXsKCBPixx4XfH/P9Q/AAAA//8DAFBLAQItABQABgAIAAAAIQC2&#10;gziS/gAAAOEBAAATAAAAAAAAAAAAAAAAAAAAAABbQ29udGVudF9UeXBlc10ueG1sUEsBAi0AFAAG&#10;AAgAAAAhADj9If/WAAAAlAEAAAsAAAAAAAAAAAAAAAAALwEAAF9yZWxzLy5yZWxzUEsBAi0AFAAG&#10;AAgAAAAhAEB+YMzDAgAAuAUAAA4AAAAAAAAAAAAAAAAALgIAAGRycy9lMm9Eb2MueG1sUEsBAi0A&#10;FAAGAAgAAAAhAMH/gDDhAAAACwEAAA8AAAAAAAAAAAAAAAAAHQUAAGRycy9kb3ducmV2LnhtbFBL&#10;BQYAAAAABAAEAPMAAAArBgAAAAA=&#10;" fillcolor="#f2f2f2 [3052]" stroked="f" strokeweight="2pt"/>
            </w:pict>
          </mc:Fallback>
        </mc:AlternateContent>
      </w:r>
      <w:r w:rsidRPr="00C245D2">
        <w:rPr>
          <w:rFonts w:ascii="Times New Roman" w:hAnsi="Times New Roman" w:cs="Times New Roman"/>
          <w:noProof/>
          <w:sz w:val="24"/>
          <w:szCs w:val="24"/>
          <w:lang w:eastAsia="ru-RU"/>
        </w:rPr>
        <w:drawing>
          <wp:anchor distT="0" distB="0" distL="114300" distR="114300" simplePos="0" relativeHeight="251646976" behindDoc="0" locked="0" layoutInCell="1" allowOverlap="1" wp14:anchorId="249B0FC5" wp14:editId="6BB8C152">
            <wp:simplePos x="0" y="0"/>
            <wp:positionH relativeFrom="column">
              <wp:posOffset>-111125</wp:posOffset>
            </wp:positionH>
            <wp:positionV relativeFrom="paragraph">
              <wp:posOffset>558800</wp:posOffset>
            </wp:positionV>
            <wp:extent cx="5800725" cy="2714625"/>
            <wp:effectExtent l="0" t="0" r="0" b="0"/>
            <wp:wrapTopAndBottom/>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9715DF" w:rsidRPr="00C245D2">
        <w:rPr>
          <w:rFonts w:ascii="Times New Roman" w:hAnsi="Times New Roman" w:cs="Times New Roman"/>
          <w:sz w:val="24"/>
          <w:szCs w:val="24"/>
        </w:rPr>
        <w:t>Процесс процедуры анализа можно представить в виде следующей схемы:</w:t>
      </w:r>
    </w:p>
    <w:p w:rsidR="00CC5B4E" w:rsidRPr="00C245D2" w:rsidRDefault="00043F49" w:rsidP="00C245D2">
      <w:pPr>
        <w:pStyle w:val="3"/>
        <w:jc w:val="both"/>
        <w:rPr>
          <w:rFonts w:ascii="Times New Roman" w:hAnsi="Times New Roman" w:cs="Times New Roman"/>
          <w:sz w:val="24"/>
          <w:szCs w:val="24"/>
        </w:rPr>
      </w:pPr>
      <w:bookmarkStart w:id="19" w:name="_Toc450920833"/>
      <w:r w:rsidRPr="00C245D2">
        <w:rPr>
          <w:rFonts w:ascii="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14:anchorId="6749AD2D" wp14:editId="1085801A">
                <wp:simplePos x="0" y="0"/>
                <wp:positionH relativeFrom="column">
                  <wp:posOffset>-53975</wp:posOffset>
                </wp:positionH>
                <wp:positionV relativeFrom="paragraph">
                  <wp:posOffset>2647950</wp:posOffset>
                </wp:positionV>
                <wp:extent cx="6715125" cy="635"/>
                <wp:effectExtent l="0" t="0" r="9525" b="0"/>
                <wp:wrapNone/>
                <wp:docPr id="3" name="Поле 3"/>
                <wp:cNvGraphicFramePr/>
                <a:graphic xmlns:a="http://schemas.openxmlformats.org/drawingml/2006/main">
                  <a:graphicData uri="http://schemas.microsoft.com/office/word/2010/wordprocessingShape">
                    <wps:wsp>
                      <wps:cNvSpPr txBox="1"/>
                      <wps:spPr>
                        <a:xfrm>
                          <a:off x="0" y="0"/>
                          <a:ext cx="6715125" cy="635"/>
                        </a:xfrm>
                        <a:prstGeom prst="rect">
                          <a:avLst/>
                        </a:prstGeom>
                        <a:solidFill>
                          <a:prstClr val="white"/>
                        </a:solidFill>
                        <a:ln>
                          <a:noFill/>
                        </a:ln>
                        <a:effectLst/>
                      </wps:spPr>
                      <wps:txbx>
                        <w:txbxContent>
                          <w:p w:rsidR="00322F14" w:rsidRPr="000055C9" w:rsidRDefault="00322F14" w:rsidP="000055C9">
                            <w:pPr>
                              <w:pStyle w:val="af"/>
                              <w:rPr>
                                <w:rFonts w:ascii="Times New Roman" w:hAnsi="Times New Roman" w:cs="Times New Roman"/>
                                <w:noProof/>
                                <w:color w:val="000000" w:themeColor="text1"/>
                                <w:sz w:val="24"/>
                                <w:szCs w:val="24"/>
                              </w:rPr>
                            </w:pPr>
                            <w:r w:rsidRPr="000055C9">
                              <w:rPr>
                                <w:color w:val="000000" w:themeColor="text1"/>
                              </w:rPr>
                              <w:t xml:space="preserve">Рисунок </w:t>
                            </w:r>
                            <w:r>
                              <w:rPr>
                                <w:color w:val="000000" w:themeColor="text1"/>
                              </w:rPr>
                              <w:t>«</w:t>
                            </w:r>
                            <w:r w:rsidRPr="000055C9">
                              <w:rPr>
                                <w:color w:val="000000" w:themeColor="text1"/>
                              </w:rPr>
                              <w:t>Схема метода Монте-Карло</w:t>
                            </w:r>
                            <w:r>
                              <w:rPr>
                                <w:color w:val="000000" w:themeColor="text1"/>
                              </w:rPr>
                              <w:t>». Источник: составлено автором.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49AD2D" id="_x0000_t202" coordsize="21600,21600" o:spt="202" path="m,l,21600r21600,l21600,xe">
                <v:stroke joinstyle="miter"/>
                <v:path gradientshapeok="t" o:connecttype="rect"/>
              </v:shapetype>
              <v:shape id="Поле 3" o:spid="_x0000_s1026" type="#_x0000_t202" style="position:absolute;left:0;text-align:left;margin-left:-4.25pt;margin-top:208.5pt;width:528.7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yPgIAAGsEAAAOAAAAZHJzL2Uyb0RvYy54bWysVM2O0zAQviPxDpbvNP1RC6qarkpXRUjV&#10;7kpdtGfXcRpLtsfYbpPyMjwFJySeoY/E2Em6sHBCXNzxzOeZzPfNdHHTaEVOwnkJJqejwZASYTgU&#10;0hxy+ulx8+YdJT4wUzAFRuT0LDy9Wb5+tajtXIyhAlUIRzCJ8fPa5rQKwc6zzPNKaOYHYIXBYAlO&#10;s4BXd8gKx2rMrlU2Hg5nWQ2usA648B69t22QLlP+shQ83JelF4GonOK3hXS6dO7jmS0XbH5wzFaS&#10;d5/B/uErNJMGi15T3bLAyNHJP1JpyR14KMOAg86gLCUXqQfsZjR80c2uYlakXpAcb680+f+Xlt+d&#10;HhyRRU4nlBimUaLL18uPy/fLNzKJ7NTWzxG0swgLzXtoUOXe79EZm25Kp+MvtkMwjjyfr9yKJhCO&#10;ztnb0XQ0nlLCMTabTGOO7PmpdT58EKBJNHLqULjEJzttfWihPSRW8qBksZFKxUsMrJUjJ4Yi15UM&#10;okv+G0qZiDUQX7UJW49IU9JVid22XUUrNPumo2APxRkZcNBOkLd8I7HslvnwwByODDaNaxDu8SgV&#10;1DmFzqKkAvflb/6IRyUxSkmNI5hT//nInKBEfTSocZzX3nC9se8Nc9RrwIZHuGCWJxMfuKB6s3Sg&#10;n3A7VrEKhpjhWCunoTfXoV0E3C4uVqsEwqm0LGzNzvKYuqf3sXliznbiBNT0DvrhZPMXGrXYpJJd&#10;HQMSngSMhLYsovDxghOdRqDbvrgyv94T6vk/YvkTAAD//wMAUEsDBBQABgAIAAAAIQBc/ki34QAA&#10;AAsBAAAPAAAAZHJzL2Rvd25yZXYueG1sTI8xT8MwEIV3JP6DdUgsqHUCoS0hTlVVMNClIu3C5sbX&#10;OBCfI9tpw7/HZYHt7t7Tu+8Vy9F07ITOt5YEpNMEGFJtVUuNgP3udbIA5oMkJTtLKOAbPSzL66tC&#10;5sqe6R1PVWhYDCGfSwE6hD7n3NcajfRT2yNF7WidkSGuruHKyXMMNx2/T5IZN7Kl+EHLHtca669q&#10;MAK22cdW3w3Hl80qe3Bv+2E9+2wqIW5vxtUzsIBj+DPDBT+iQxmZDnYg5VknYLJ4jE4BWTqPnS6G&#10;JHuK0+H3lAIvC/6/Q/kDAAD//wMAUEsBAi0AFAAGAAgAAAAhALaDOJL+AAAA4QEAABMAAAAAAAAA&#10;AAAAAAAAAAAAAFtDb250ZW50X1R5cGVzXS54bWxQSwECLQAUAAYACAAAACEAOP0h/9YAAACUAQAA&#10;CwAAAAAAAAAAAAAAAAAvAQAAX3JlbHMvLnJlbHNQSwECLQAUAAYACAAAACEAv0gksj4CAABrBAAA&#10;DgAAAAAAAAAAAAAAAAAuAgAAZHJzL2Uyb0RvYy54bWxQSwECLQAUAAYACAAAACEAXP5It+EAAAAL&#10;AQAADwAAAAAAAAAAAAAAAACYBAAAZHJzL2Rvd25yZXYueG1sUEsFBgAAAAAEAAQA8wAAAKYFAAAA&#10;AA==&#10;" stroked="f">
                <v:textbox style="mso-fit-shape-to-text:t" inset="0,0,0,0">
                  <w:txbxContent>
                    <w:p w:rsidR="00322F14" w:rsidRPr="000055C9" w:rsidRDefault="00322F14" w:rsidP="000055C9">
                      <w:pPr>
                        <w:pStyle w:val="af"/>
                        <w:rPr>
                          <w:rFonts w:ascii="Times New Roman" w:hAnsi="Times New Roman" w:cs="Times New Roman"/>
                          <w:noProof/>
                          <w:color w:val="000000" w:themeColor="text1"/>
                          <w:sz w:val="24"/>
                          <w:szCs w:val="24"/>
                        </w:rPr>
                      </w:pPr>
                      <w:r w:rsidRPr="000055C9">
                        <w:rPr>
                          <w:color w:val="000000" w:themeColor="text1"/>
                        </w:rPr>
                        <w:t xml:space="preserve">Рисунок </w:t>
                      </w:r>
                      <w:r>
                        <w:rPr>
                          <w:color w:val="000000" w:themeColor="text1"/>
                        </w:rPr>
                        <w:t>«</w:t>
                      </w:r>
                      <w:r w:rsidRPr="000055C9">
                        <w:rPr>
                          <w:color w:val="000000" w:themeColor="text1"/>
                        </w:rPr>
                        <w:t>Схема метода Монте-Карло</w:t>
                      </w:r>
                      <w:r>
                        <w:rPr>
                          <w:color w:val="000000" w:themeColor="text1"/>
                        </w:rPr>
                        <w:t>». Источник: составлено автором.</w:t>
                      </w:r>
                    </w:p>
                  </w:txbxContent>
                </v:textbox>
              </v:shape>
            </w:pict>
          </mc:Fallback>
        </mc:AlternateContent>
      </w:r>
      <w:bookmarkEnd w:id="19"/>
    </w:p>
    <w:p w:rsidR="00043F49" w:rsidRDefault="00043F49" w:rsidP="00C245D2">
      <w:pPr>
        <w:spacing w:after="0" w:line="360" w:lineRule="auto"/>
        <w:ind w:firstLine="851"/>
        <w:jc w:val="both"/>
        <w:rPr>
          <w:rFonts w:ascii="Times New Roman" w:hAnsi="Times New Roman" w:cs="Times New Roman"/>
          <w:sz w:val="24"/>
          <w:szCs w:val="24"/>
        </w:rPr>
      </w:pPr>
    </w:p>
    <w:p w:rsidR="00E176D4" w:rsidRPr="00C245D2" w:rsidRDefault="000700F9"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lastRenderedPageBreak/>
        <w:t xml:space="preserve">За базовую модель для анализа риска ИП как правило используют формулу расчета показателя </w:t>
      </w:r>
      <w:r w:rsidRPr="00C245D2">
        <w:rPr>
          <w:rFonts w:ascii="Times New Roman" w:hAnsi="Times New Roman" w:cs="Times New Roman"/>
          <w:sz w:val="24"/>
          <w:szCs w:val="24"/>
          <w:lang w:val="en-US"/>
        </w:rPr>
        <w:t>NPV</w:t>
      </w:r>
      <w:r w:rsidRPr="00C245D2">
        <w:rPr>
          <w:rFonts w:ascii="Times New Roman" w:hAnsi="Times New Roman" w:cs="Times New Roman"/>
          <w:sz w:val="24"/>
          <w:szCs w:val="24"/>
        </w:rPr>
        <w:t>.</w:t>
      </w:r>
      <w:r w:rsidR="000055C9" w:rsidRPr="00C245D2">
        <w:rPr>
          <w:rFonts w:ascii="Times New Roman" w:hAnsi="Times New Roman" w:cs="Times New Roman"/>
          <w:sz w:val="24"/>
          <w:szCs w:val="24"/>
        </w:rPr>
        <w:t>Отбор</w:t>
      </w:r>
      <w:r w:rsidR="00843A8A" w:rsidRPr="00C245D2">
        <w:rPr>
          <w:rFonts w:ascii="Times New Roman" w:hAnsi="Times New Roman" w:cs="Times New Roman"/>
          <w:sz w:val="24"/>
          <w:szCs w:val="24"/>
        </w:rPr>
        <w:t xml:space="preserve"> ключевых</w:t>
      </w:r>
      <w:r w:rsidR="000055C9" w:rsidRPr="00C245D2">
        <w:rPr>
          <w:rFonts w:ascii="Times New Roman" w:hAnsi="Times New Roman" w:cs="Times New Roman"/>
          <w:sz w:val="24"/>
          <w:szCs w:val="24"/>
        </w:rPr>
        <w:t xml:space="preserve"> переменных </w:t>
      </w:r>
      <w:r w:rsidR="00843A8A" w:rsidRPr="00C245D2">
        <w:rPr>
          <w:rFonts w:ascii="Times New Roman" w:hAnsi="Times New Roman" w:cs="Times New Roman"/>
          <w:sz w:val="24"/>
          <w:szCs w:val="24"/>
        </w:rPr>
        <w:t xml:space="preserve">происходит на основе анализа чувствительности, для каждой из которых определяется диапазон допустимых значений и закон распределения: треугольный, нормальный, равномерный, дискретный и т.д. Как правило, функции задается </w:t>
      </w:r>
      <w:r w:rsidR="00E176D4" w:rsidRPr="00C245D2">
        <w:rPr>
          <w:rFonts w:ascii="Times New Roman" w:hAnsi="Times New Roman" w:cs="Times New Roman"/>
          <w:sz w:val="24"/>
          <w:szCs w:val="24"/>
        </w:rPr>
        <w:t>нормальный</w:t>
      </w:r>
      <w:r w:rsidR="00843A8A" w:rsidRPr="00C245D2">
        <w:rPr>
          <w:rFonts w:ascii="Times New Roman" w:hAnsi="Times New Roman" w:cs="Times New Roman"/>
          <w:sz w:val="24"/>
          <w:szCs w:val="24"/>
        </w:rPr>
        <w:t xml:space="preserve"> закон. </w:t>
      </w:r>
      <w:r w:rsidR="006A7576" w:rsidRPr="00C245D2">
        <w:rPr>
          <w:rFonts w:ascii="Times New Roman" w:hAnsi="Times New Roman" w:cs="Times New Roman"/>
          <w:sz w:val="24"/>
          <w:szCs w:val="24"/>
        </w:rPr>
        <w:t xml:space="preserve">Для </w:t>
      </w:r>
      <w:r w:rsidR="00E176D4" w:rsidRPr="00C245D2">
        <w:rPr>
          <w:rFonts w:ascii="Times New Roman" w:hAnsi="Times New Roman" w:cs="Times New Roman"/>
          <w:sz w:val="24"/>
          <w:szCs w:val="24"/>
        </w:rPr>
        <w:t>определения</w:t>
      </w:r>
      <w:r w:rsidR="006A7576" w:rsidRPr="00C245D2">
        <w:rPr>
          <w:rFonts w:ascii="Times New Roman" w:hAnsi="Times New Roman" w:cs="Times New Roman"/>
          <w:sz w:val="24"/>
          <w:szCs w:val="24"/>
        </w:rPr>
        <w:t xml:space="preserve"> корреляции</w:t>
      </w:r>
      <w:r w:rsidR="00E176D4" w:rsidRPr="00C245D2">
        <w:rPr>
          <w:rFonts w:ascii="Times New Roman" w:hAnsi="Times New Roman" w:cs="Times New Roman"/>
          <w:sz w:val="24"/>
          <w:szCs w:val="24"/>
        </w:rPr>
        <w:t xml:space="preserve"> между параметрами</w:t>
      </w:r>
      <w:r w:rsidR="006A7576" w:rsidRPr="00C245D2">
        <w:rPr>
          <w:rFonts w:ascii="Times New Roman" w:hAnsi="Times New Roman" w:cs="Times New Roman"/>
          <w:sz w:val="24"/>
          <w:szCs w:val="24"/>
        </w:rPr>
        <w:t xml:space="preserve"> используются</w:t>
      </w:r>
      <w:r w:rsidR="00E176D4" w:rsidRPr="00C245D2">
        <w:rPr>
          <w:rFonts w:ascii="Times New Roman" w:hAnsi="Times New Roman" w:cs="Times New Roman"/>
          <w:sz w:val="24"/>
          <w:szCs w:val="24"/>
        </w:rPr>
        <w:t xml:space="preserve"> методы регрессионного анализа,</w:t>
      </w:r>
      <w:r w:rsidR="006A7576" w:rsidRPr="00C245D2">
        <w:rPr>
          <w:rFonts w:ascii="Times New Roman" w:hAnsi="Times New Roman" w:cs="Times New Roman"/>
          <w:sz w:val="24"/>
          <w:szCs w:val="24"/>
        </w:rPr>
        <w:t xml:space="preserve"> значение </w:t>
      </w:r>
      <w:r w:rsidR="00E176D4" w:rsidRPr="00C245D2">
        <w:rPr>
          <w:rFonts w:ascii="Times New Roman" w:hAnsi="Times New Roman" w:cs="Times New Roman"/>
          <w:sz w:val="24"/>
          <w:szCs w:val="24"/>
        </w:rPr>
        <w:t>расчётного</w:t>
      </w:r>
      <w:r w:rsidR="006A7576" w:rsidRPr="00C245D2">
        <w:rPr>
          <w:rFonts w:ascii="Times New Roman" w:hAnsi="Times New Roman" w:cs="Times New Roman"/>
          <w:sz w:val="24"/>
          <w:szCs w:val="24"/>
        </w:rPr>
        <w:t xml:space="preserve"> коэффициента может </w:t>
      </w:r>
      <w:r w:rsidR="00E176D4" w:rsidRPr="00C245D2">
        <w:rPr>
          <w:rFonts w:ascii="Times New Roman" w:hAnsi="Times New Roman" w:cs="Times New Roman"/>
          <w:sz w:val="24"/>
          <w:szCs w:val="24"/>
        </w:rPr>
        <w:t>принимать</w:t>
      </w:r>
      <w:r w:rsidR="006A7576" w:rsidRPr="00C245D2">
        <w:rPr>
          <w:rFonts w:ascii="Times New Roman" w:hAnsi="Times New Roman" w:cs="Times New Roman"/>
          <w:sz w:val="24"/>
          <w:szCs w:val="24"/>
        </w:rPr>
        <w:t xml:space="preserve"> значение от -1 до 1. </w:t>
      </w:r>
    </w:p>
    <w:p w:rsidR="00BB7BBE" w:rsidRPr="00C245D2" w:rsidRDefault="00843A8A"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Таким</w:t>
      </w:r>
      <w:r w:rsidR="00E176D4" w:rsidRPr="00C245D2">
        <w:rPr>
          <w:rFonts w:ascii="Times New Roman" w:hAnsi="Times New Roman" w:cs="Times New Roman"/>
          <w:sz w:val="24"/>
          <w:szCs w:val="24"/>
        </w:rPr>
        <w:t xml:space="preserve"> </w:t>
      </w:r>
      <w:r w:rsidRPr="00C245D2">
        <w:rPr>
          <w:rFonts w:ascii="Times New Roman" w:hAnsi="Times New Roman" w:cs="Times New Roman"/>
          <w:sz w:val="24"/>
          <w:szCs w:val="24"/>
        </w:rPr>
        <w:t xml:space="preserve">образом, процесс анализа заключается в многочисленном повторе двух операций: переменной случайным </w:t>
      </w:r>
      <w:r w:rsidR="00E176D4" w:rsidRPr="00C245D2">
        <w:rPr>
          <w:rFonts w:ascii="Times New Roman" w:hAnsi="Times New Roman" w:cs="Times New Roman"/>
          <w:sz w:val="24"/>
          <w:szCs w:val="24"/>
        </w:rPr>
        <w:t>образом</w:t>
      </w:r>
      <w:r w:rsidRPr="00C245D2">
        <w:rPr>
          <w:rFonts w:ascii="Times New Roman" w:hAnsi="Times New Roman" w:cs="Times New Roman"/>
          <w:sz w:val="24"/>
          <w:szCs w:val="24"/>
        </w:rPr>
        <w:t xml:space="preserve"> присуждается значение в соответствии с заданным законом распределения, а затем это значение </w:t>
      </w:r>
      <w:r w:rsidR="00E176D4" w:rsidRPr="00C245D2">
        <w:rPr>
          <w:rFonts w:ascii="Times New Roman" w:hAnsi="Times New Roman" w:cs="Times New Roman"/>
          <w:sz w:val="24"/>
          <w:szCs w:val="24"/>
        </w:rPr>
        <w:t>используется</w:t>
      </w:r>
      <w:r w:rsidRPr="00C245D2">
        <w:rPr>
          <w:rFonts w:ascii="Times New Roman" w:hAnsi="Times New Roman" w:cs="Times New Roman"/>
          <w:sz w:val="24"/>
          <w:szCs w:val="24"/>
        </w:rPr>
        <w:t xml:space="preserve"> для расчета результирующего показателя (например, </w:t>
      </w:r>
      <w:r w:rsidRPr="00C245D2">
        <w:rPr>
          <w:rFonts w:ascii="Times New Roman" w:hAnsi="Times New Roman" w:cs="Times New Roman"/>
          <w:sz w:val="24"/>
          <w:szCs w:val="24"/>
          <w:lang w:val="en-US"/>
        </w:rPr>
        <w:t>NPV</w:t>
      </w:r>
      <w:r w:rsidRPr="00C245D2">
        <w:rPr>
          <w:rFonts w:ascii="Times New Roman" w:hAnsi="Times New Roman" w:cs="Times New Roman"/>
          <w:sz w:val="24"/>
          <w:szCs w:val="24"/>
        </w:rPr>
        <w:t xml:space="preserve">). </w:t>
      </w:r>
      <w:r w:rsidR="000700F9" w:rsidRPr="00C245D2">
        <w:rPr>
          <w:rFonts w:ascii="Times New Roman" w:hAnsi="Times New Roman" w:cs="Times New Roman"/>
          <w:sz w:val="24"/>
          <w:szCs w:val="24"/>
        </w:rPr>
        <w:t xml:space="preserve">На основе сгенерированных вариантов (их число выставляется </w:t>
      </w:r>
      <w:r w:rsidR="00E176D4" w:rsidRPr="00C245D2">
        <w:rPr>
          <w:rFonts w:ascii="Times New Roman" w:hAnsi="Times New Roman" w:cs="Times New Roman"/>
          <w:sz w:val="24"/>
          <w:szCs w:val="24"/>
        </w:rPr>
        <w:t>произвольно</w:t>
      </w:r>
      <w:r w:rsidR="000700F9" w:rsidRPr="00C245D2">
        <w:rPr>
          <w:rFonts w:ascii="Times New Roman" w:hAnsi="Times New Roman" w:cs="Times New Roman"/>
          <w:sz w:val="24"/>
          <w:szCs w:val="24"/>
        </w:rPr>
        <w:t xml:space="preserve">, </w:t>
      </w:r>
      <w:r w:rsidR="009715DF" w:rsidRPr="00C245D2">
        <w:rPr>
          <w:rFonts w:ascii="Times New Roman" w:hAnsi="Times New Roman" w:cs="Times New Roman"/>
          <w:sz w:val="24"/>
          <w:szCs w:val="24"/>
        </w:rPr>
        <w:t xml:space="preserve">обычно около </w:t>
      </w:r>
      <w:r w:rsidR="000700F9" w:rsidRPr="00C245D2">
        <w:rPr>
          <w:rFonts w:ascii="Times New Roman" w:hAnsi="Times New Roman" w:cs="Times New Roman"/>
          <w:sz w:val="24"/>
          <w:szCs w:val="24"/>
        </w:rPr>
        <w:t xml:space="preserve">500) производится статистический анализ и выделяется доля сценариев, когда </w:t>
      </w:r>
      <w:r w:rsidR="000700F9" w:rsidRPr="00C245D2">
        <w:rPr>
          <w:rFonts w:ascii="Times New Roman" w:hAnsi="Times New Roman" w:cs="Times New Roman"/>
          <w:sz w:val="24"/>
          <w:szCs w:val="24"/>
          <w:lang w:val="en-US"/>
        </w:rPr>
        <w:t>NPV</w:t>
      </w:r>
      <w:r w:rsidR="000700F9" w:rsidRPr="00C245D2">
        <w:rPr>
          <w:rFonts w:ascii="Times New Roman" w:hAnsi="Times New Roman" w:cs="Times New Roman"/>
          <w:sz w:val="24"/>
          <w:szCs w:val="24"/>
        </w:rPr>
        <w:t xml:space="preserve"> отрицателен, что и является мерой риска ИП. </w:t>
      </w:r>
      <w:r w:rsidR="006A7576" w:rsidRPr="00C245D2">
        <w:rPr>
          <w:rFonts w:ascii="Times New Roman" w:hAnsi="Times New Roman" w:cs="Times New Roman"/>
          <w:sz w:val="24"/>
          <w:szCs w:val="24"/>
        </w:rPr>
        <w:t>Полученные вероятностные распределения позволяют установить критические значения переменных, что, например, в нашем случае позволяет определить диапазоны величин денежных потоков, при которых проект будет эффективен</w:t>
      </w:r>
      <w:r w:rsidR="006A7576" w:rsidRPr="00C245D2">
        <w:rPr>
          <w:rStyle w:val="a8"/>
          <w:rFonts w:ascii="Times New Roman" w:hAnsi="Times New Roman" w:cs="Times New Roman"/>
          <w:sz w:val="24"/>
          <w:szCs w:val="24"/>
        </w:rPr>
        <w:footnoteReference w:id="16"/>
      </w:r>
      <w:r w:rsidR="006A7576" w:rsidRPr="00C245D2">
        <w:rPr>
          <w:rFonts w:ascii="Times New Roman" w:hAnsi="Times New Roman" w:cs="Times New Roman"/>
          <w:sz w:val="24"/>
          <w:szCs w:val="24"/>
        </w:rPr>
        <w:t>.</w:t>
      </w:r>
      <w:r w:rsidR="000700F9" w:rsidRPr="00C245D2">
        <w:rPr>
          <w:rFonts w:ascii="Times New Roman" w:hAnsi="Times New Roman" w:cs="Times New Roman"/>
          <w:sz w:val="24"/>
          <w:szCs w:val="24"/>
        </w:rPr>
        <w:t xml:space="preserve"> </w:t>
      </w:r>
    </w:p>
    <w:p w:rsidR="00E176D4" w:rsidRPr="00C245D2" w:rsidRDefault="00805EAB"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Благодаря использованию специальных пакетов прикладных программ имитационное моделирование позволяет охватить максимально возможное число факторов, влияющих на оценку ИП. Однако, не</w:t>
      </w:r>
      <w:r w:rsidR="00E176D4" w:rsidRPr="00C245D2">
        <w:rPr>
          <w:rFonts w:ascii="Times New Roman" w:hAnsi="Times New Roman" w:cs="Times New Roman"/>
          <w:sz w:val="24"/>
          <w:szCs w:val="24"/>
        </w:rPr>
        <w:t xml:space="preserve">смотря на однозначность полученных результатов, их достоверность может быть существенно искажена из-за необоснованно </w:t>
      </w:r>
      <w:r w:rsidRPr="00C245D2">
        <w:rPr>
          <w:rFonts w:ascii="Times New Roman" w:hAnsi="Times New Roman" w:cs="Times New Roman"/>
          <w:sz w:val="24"/>
          <w:szCs w:val="24"/>
        </w:rPr>
        <w:t>выбранных</w:t>
      </w:r>
      <w:r w:rsidR="00E176D4" w:rsidRPr="00C245D2">
        <w:rPr>
          <w:rFonts w:ascii="Times New Roman" w:hAnsi="Times New Roman" w:cs="Times New Roman"/>
          <w:sz w:val="24"/>
          <w:szCs w:val="24"/>
        </w:rPr>
        <w:t xml:space="preserve"> корреляций переменных и их законов распределения. Так, если коэффициент корреляции между такими переменными, как цена и </w:t>
      </w:r>
      <w:r w:rsidRPr="00C245D2">
        <w:rPr>
          <w:rFonts w:ascii="Times New Roman" w:hAnsi="Times New Roman" w:cs="Times New Roman"/>
          <w:sz w:val="24"/>
          <w:szCs w:val="24"/>
        </w:rPr>
        <w:t>объём</w:t>
      </w:r>
      <w:r w:rsidR="00E176D4" w:rsidRPr="00C245D2">
        <w:rPr>
          <w:rFonts w:ascii="Times New Roman" w:hAnsi="Times New Roman" w:cs="Times New Roman"/>
          <w:sz w:val="24"/>
          <w:szCs w:val="24"/>
        </w:rPr>
        <w:t xml:space="preserve"> продаж будет не установлен, компьютер будет считать их независимыми и начнет генерировать сценарии, когда и цена, и </w:t>
      </w:r>
      <w:r w:rsidRPr="00C245D2">
        <w:rPr>
          <w:rFonts w:ascii="Times New Roman" w:hAnsi="Times New Roman" w:cs="Times New Roman"/>
          <w:sz w:val="24"/>
          <w:szCs w:val="24"/>
        </w:rPr>
        <w:t>объём</w:t>
      </w:r>
      <w:r w:rsidR="00E176D4" w:rsidRPr="00C245D2">
        <w:rPr>
          <w:rFonts w:ascii="Times New Roman" w:hAnsi="Times New Roman" w:cs="Times New Roman"/>
          <w:sz w:val="24"/>
          <w:szCs w:val="24"/>
        </w:rPr>
        <w:t xml:space="preserve"> будут либо одновременно высоки, либо низки, что крайне нереалистично и негативно отразится на результатах </w:t>
      </w:r>
      <w:r w:rsidRPr="00C245D2">
        <w:rPr>
          <w:rFonts w:ascii="Times New Roman" w:hAnsi="Times New Roman" w:cs="Times New Roman"/>
          <w:sz w:val="24"/>
          <w:szCs w:val="24"/>
        </w:rPr>
        <w:t>анализа</w:t>
      </w:r>
      <w:r w:rsidR="00E176D4" w:rsidRPr="00C245D2">
        <w:rPr>
          <w:rFonts w:ascii="Times New Roman" w:hAnsi="Times New Roman" w:cs="Times New Roman"/>
          <w:sz w:val="24"/>
          <w:szCs w:val="24"/>
        </w:rPr>
        <w:t>. В этом состоит главная пробле</w:t>
      </w:r>
      <w:r w:rsidRPr="00C245D2">
        <w:rPr>
          <w:rFonts w:ascii="Times New Roman" w:hAnsi="Times New Roman" w:cs="Times New Roman"/>
          <w:sz w:val="24"/>
          <w:szCs w:val="24"/>
        </w:rPr>
        <w:t>ма метода: наличие компетентного специалиста и крайняя сложность выставления законов распределения вероятностей и зависимостей случайных входных параметров ИП</w:t>
      </w:r>
      <w:r w:rsidR="009715DF" w:rsidRPr="00C245D2">
        <w:rPr>
          <w:rFonts w:ascii="Times New Roman" w:hAnsi="Times New Roman" w:cs="Times New Roman"/>
          <w:sz w:val="24"/>
          <w:szCs w:val="24"/>
        </w:rPr>
        <w:t>, и, как следствие, субъективизм оценок риска.</w:t>
      </w:r>
      <w:r w:rsidRPr="00C245D2">
        <w:rPr>
          <w:rFonts w:ascii="Times New Roman" w:hAnsi="Times New Roman" w:cs="Times New Roman"/>
          <w:sz w:val="24"/>
          <w:szCs w:val="24"/>
        </w:rPr>
        <w:t xml:space="preserve"> </w:t>
      </w:r>
    </w:p>
    <w:p w:rsidR="0059449D" w:rsidRDefault="0059449D" w:rsidP="0059449D"/>
    <w:p w:rsidR="00347239" w:rsidRPr="0059449D" w:rsidRDefault="00347239" w:rsidP="0059449D"/>
    <w:p w:rsidR="0059449D" w:rsidRPr="0059449D" w:rsidRDefault="004E19AA" w:rsidP="0059449D">
      <w:pPr>
        <w:keepNext/>
        <w:keepLines/>
        <w:spacing w:before="200" w:after="0"/>
        <w:outlineLvl w:val="1"/>
        <w:rPr>
          <w:rFonts w:asciiTheme="majorHAnsi" w:eastAsiaTheme="majorEastAsia" w:hAnsiTheme="majorHAnsi" w:cstheme="majorBidi"/>
          <w:b/>
          <w:bCs/>
          <w:color w:val="4F81BD" w:themeColor="accent1"/>
          <w:sz w:val="26"/>
          <w:szCs w:val="26"/>
        </w:rPr>
      </w:pPr>
      <w:bookmarkStart w:id="20" w:name="_Toc450920834"/>
      <w:r>
        <w:rPr>
          <w:rFonts w:asciiTheme="majorHAnsi" w:eastAsiaTheme="majorEastAsia" w:hAnsiTheme="majorHAnsi" w:cstheme="majorBidi"/>
          <w:b/>
          <w:bCs/>
          <w:color w:val="4F81BD" w:themeColor="accent1"/>
          <w:sz w:val="26"/>
          <w:szCs w:val="26"/>
        </w:rPr>
        <w:lastRenderedPageBreak/>
        <w:t>1.3</w:t>
      </w:r>
      <w:r w:rsidR="0059449D" w:rsidRPr="0059449D">
        <w:rPr>
          <w:rFonts w:asciiTheme="majorHAnsi" w:eastAsiaTheme="majorEastAsia" w:hAnsiTheme="majorHAnsi" w:cstheme="majorBidi"/>
          <w:b/>
          <w:bCs/>
          <w:color w:val="4F81BD" w:themeColor="accent1"/>
          <w:sz w:val="26"/>
          <w:szCs w:val="26"/>
        </w:rPr>
        <w:t xml:space="preserve"> Метод реальных опционов</w:t>
      </w:r>
      <w:bookmarkEnd w:id="20"/>
    </w:p>
    <w:p w:rsidR="0059449D" w:rsidRPr="0059449D" w:rsidRDefault="0059449D" w:rsidP="0059449D">
      <w:pPr>
        <w:spacing w:before="360"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 xml:space="preserve">Опцион – это мощный финансовый инструмент, применяющийся как в сфере финансовых </w:t>
      </w:r>
      <w:r>
        <w:rPr>
          <w:rFonts w:ascii="Times New Roman" w:hAnsi="Times New Roman" w:cs="Times New Roman"/>
          <w:sz w:val="24"/>
          <w:szCs w:val="24"/>
        </w:rPr>
        <w:t xml:space="preserve"> </w:t>
      </w:r>
      <w:r w:rsidRPr="0059449D">
        <w:rPr>
          <w:rFonts w:ascii="Times New Roman" w:hAnsi="Times New Roman" w:cs="Times New Roman"/>
          <w:sz w:val="24"/>
          <w:szCs w:val="24"/>
        </w:rPr>
        <w:t>активов, так и в сфере реальных активов. Последний опцион носит название «реальный». В отличии от финансового, он имеет в основе базовые реальные активы в виде денежных потоков, сгенерированных в ходе реализации ИП, а также стоимость реальных опционов, связанных с альтернативным использованием данных активов. Другими его отличиями являются те факты, что они не принадлежит определенному инвестору и не могут быть проданы/приобретены, они безоговорочны (инвестор имеет лишь 2 альтернативы – предпринимать какие-либо действия или нет), чаще всего они имеют сложную многокомпонентную структуру</w:t>
      </w:r>
      <w:r w:rsidRPr="0059449D">
        <w:rPr>
          <w:rFonts w:ascii="Times New Roman" w:hAnsi="Times New Roman" w:cs="Times New Roman"/>
          <w:sz w:val="24"/>
          <w:szCs w:val="24"/>
          <w:vertAlign w:val="superscript"/>
        </w:rPr>
        <w:footnoteReference w:id="17"/>
      </w:r>
      <w:r w:rsidRPr="0059449D">
        <w:rPr>
          <w:rFonts w:ascii="Times New Roman" w:hAnsi="Times New Roman" w:cs="Times New Roman"/>
          <w:sz w:val="24"/>
          <w:szCs w:val="24"/>
        </w:rPr>
        <w:t>.</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Поскольку целью оценки методом реальных опционов является максимизация стоимости инвестиционного проекта в условиях неопределенности, этот подход позволяет количественно связать бизнес стратегию, которой придерживается компания во время реализации проекта, и финансовый аспект. С учетом возможности менеджеров реагировать на изменяющуюся среду и принимать оперативные решения в процессе проекта, реальные опционы представляют собой метод наиболее гибкого использования активов и пассивов предприятия</w:t>
      </w:r>
      <w:r w:rsidRPr="0059449D">
        <w:rPr>
          <w:rFonts w:ascii="Times New Roman" w:hAnsi="Times New Roman" w:cs="Times New Roman"/>
          <w:sz w:val="24"/>
          <w:szCs w:val="24"/>
          <w:vertAlign w:val="superscript"/>
        </w:rPr>
        <w:footnoteReference w:id="18"/>
      </w:r>
      <w:r w:rsidRPr="0059449D">
        <w:rPr>
          <w:rFonts w:ascii="Times New Roman" w:hAnsi="Times New Roman" w:cs="Times New Roman"/>
          <w:sz w:val="24"/>
          <w:szCs w:val="24"/>
        </w:rPr>
        <w:t xml:space="preserve">. </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 xml:space="preserve">Реальные опционы в большинстве своем используются в ситуациях с наибольшей долей определенности, когда величина </w:t>
      </w:r>
      <w:r w:rsidRPr="0059449D">
        <w:rPr>
          <w:rFonts w:ascii="Times New Roman" w:hAnsi="Times New Roman" w:cs="Times New Roman"/>
          <w:sz w:val="24"/>
          <w:szCs w:val="24"/>
          <w:lang w:val="en-US"/>
        </w:rPr>
        <w:t>NPV</w:t>
      </w:r>
      <w:r w:rsidRPr="0059449D">
        <w:rPr>
          <w:rFonts w:ascii="Times New Roman" w:hAnsi="Times New Roman" w:cs="Times New Roman"/>
          <w:sz w:val="24"/>
          <w:szCs w:val="24"/>
        </w:rPr>
        <w:t xml:space="preserve"> ИП близка к нулевому значению. В случае, когда </w:t>
      </w:r>
      <w:r w:rsidRPr="0059449D">
        <w:rPr>
          <w:rFonts w:ascii="Times New Roman" w:hAnsi="Times New Roman" w:cs="Times New Roman"/>
          <w:sz w:val="24"/>
          <w:szCs w:val="24"/>
          <w:lang w:val="en-US"/>
        </w:rPr>
        <w:t>NPV</w:t>
      </w:r>
      <w:r w:rsidRPr="0059449D">
        <w:rPr>
          <w:rFonts w:ascii="Times New Roman" w:hAnsi="Times New Roman" w:cs="Times New Roman"/>
          <w:sz w:val="24"/>
          <w:szCs w:val="24"/>
        </w:rPr>
        <w:t xml:space="preserve"> достаточно велик, применение опционов теряет смысл, так как они несут в себе только положительную добавочную стоимость к самому проекту и не будут корректировать его в меньшую сторону (это не актуально при выборе одного проекта из нескольких, в этом случае непременно следует учитывать стоимость опциона)</w:t>
      </w:r>
      <w:r w:rsidRPr="0059449D">
        <w:rPr>
          <w:rFonts w:ascii="Times New Roman" w:hAnsi="Times New Roman" w:cs="Times New Roman"/>
          <w:sz w:val="24"/>
          <w:szCs w:val="24"/>
          <w:vertAlign w:val="superscript"/>
        </w:rPr>
        <w:footnoteReference w:id="19"/>
      </w:r>
      <w:r w:rsidRPr="0059449D">
        <w:rPr>
          <w:rFonts w:ascii="Times New Roman" w:hAnsi="Times New Roman" w:cs="Times New Roman"/>
          <w:sz w:val="24"/>
          <w:szCs w:val="24"/>
        </w:rPr>
        <w:t xml:space="preserve">. </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 xml:space="preserve">В зависимости от действий, предполагающих реализацию опциона, можно выделить следующие его основные виды: </w:t>
      </w:r>
    </w:p>
    <w:p w:rsidR="0059449D" w:rsidRPr="0059449D" w:rsidRDefault="0059449D" w:rsidP="0059449D">
      <w:pPr>
        <w:numPr>
          <w:ilvl w:val="0"/>
          <w:numId w:val="16"/>
        </w:numPr>
        <w:spacing w:after="0"/>
        <w:jc w:val="both"/>
        <w:rPr>
          <w:rFonts w:ascii="Times New Roman" w:hAnsi="Times New Roman" w:cs="Times New Roman"/>
          <w:sz w:val="24"/>
          <w:szCs w:val="24"/>
        </w:rPr>
      </w:pPr>
      <w:r w:rsidRPr="0059449D">
        <w:rPr>
          <w:rFonts w:ascii="Times New Roman" w:hAnsi="Times New Roman" w:cs="Times New Roman"/>
          <w:sz w:val="24"/>
          <w:szCs w:val="24"/>
        </w:rPr>
        <w:t>опцион роста: расширение масштаба проекта, переключение на новые продукты в результате успешной реализации целевых, переориентация в новую отрасль за счёт преимуществ уже освоенной;</w:t>
      </w:r>
    </w:p>
    <w:p w:rsidR="0059449D" w:rsidRPr="0059449D" w:rsidRDefault="0059449D" w:rsidP="0059449D">
      <w:pPr>
        <w:numPr>
          <w:ilvl w:val="0"/>
          <w:numId w:val="16"/>
        </w:numPr>
        <w:spacing w:after="0"/>
        <w:jc w:val="both"/>
        <w:rPr>
          <w:rFonts w:ascii="Times New Roman" w:hAnsi="Times New Roman" w:cs="Times New Roman"/>
          <w:sz w:val="24"/>
          <w:szCs w:val="24"/>
        </w:rPr>
      </w:pPr>
      <w:r w:rsidRPr="0059449D">
        <w:rPr>
          <w:rFonts w:ascii="Times New Roman" w:hAnsi="Times New Roman" w:cs="Times New Roman"/>
          <w:sz w:val="24"/>
          <w:szCs w:val="24"/>
        </w:rPr>
        <w:t xml:space="preserve">опцион на отсрочку: проект откладывается на некоторый срок ввиду внешних обстоятельств или отсутствия требуемых навыков и умений; </w:t>
      </w:r>
    </w:p>
    <w:p w:rsidR="0059449D" w:rsidRPr="0059449D" w:rsidRDefault="0059449D" w:rsidP="0059449D">
      <w:pPr>
        <w:numPr>
          <w:ilvl w:val="0"/>
          <w:numId w:val="16"/>
        </w:numPr>
        <w:spacing w:after="0"/>
        <w:jc w:val="both"/>
        <w:rPr>
          <w:rFonts w:ascii="Times New Roman" w:hAnsi="Times New Roman" w:cs="Times New Roman"/>
          <w:sz w:val="24"/>
          <w:szCs w:val="24"/>
        </w:rPr>
      </w:pPr>
      <w:r w:rsidRPr="0059449D">
        <w:rPr>
          <w:rFonts w:ascii="Times New Roman" w:hAnsi="Times New Roman" w:cs="Times New Roman"/>
          <w:sz w:val="24"/>
          <w:szCs w:val="24"/>
        </w:rPr>
        <w:lastRenderedPageBreak/>
        <w:t>опцион на сокращение: уменьшение масштаба проекта, переключение на более перспективные проекты, отказ от реализации.</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В сфере финансов получили свое развитие множество различных методов оценки опционов, самыми фундаментальными из которых являются модель Блека-Шоулза и биноминальная модель. Эти методики могут быть переняты и для сферы реальных активов в виду того, что реальный опцион по своей трактовке близок к европейскому финансовому колл-опциону. Инвестиционные вложения аналогичны колл-опциону: владелец имеет право, но не обязательство заплатить за реализацию инвестиций.</w:t>
      </w:r>
    </w:p>
    <w:p w:rsidR="0059449D" w:rsidRPr="0059449D" w:rsidRDefault="004E19AA" w:rsidP="0059449D">
      <w:pPr>
        <w:keepNext/>
        <w:keepLines/>
        <w:spacing w:before="200" w:after="0"/>
        <w:outlineLvl w:val="2"/>
        <w:rPr>
          <w:rFonts w:asciiTheme="majorHAnsi" w:eastAsiaTheme="majorEastAsia" w:hAnsiTheme="majorHAnsi" w:cstheme="majorBidi"/>
          <w:b/>
          <w:bCs/>
          <w:color w:val="4F81BD" w:themeColor="accent1"/>
        </w:rPr>
      </w:pPr>
      <w:bookmarkStart w:id="21" w:name="_Toc450920835"/>
      <w:r>
        <w:rPr>
          <w:rFonts w:asciiTheme="majorHAnsi" w:eastAsiaTheme="majorEastAsia" w:hAnsiTheme="majorHAnsi" w:cstheme="majorBidi"/>
          <w:b/>
          <w:bCs/>
          <w:color w:val="4F81BD" w:themeColor="accent1"/>
        </w:rPr>
        <w:t>1.3.1.</w:t>
      </w:r>
      <w:r w:rsidR="0059449D" w:rsidRPr="0059449D">
        <w:rPr>
          <w:rFonts w:asciiTheme="majorHAnsi" w:eastAsiaTheme="majorEastAsia" w:hAnsiTheme="majorHAnsi" w:cstheme="majorBidi"/>
          <w:b/>
          <w:bCs/>
          <w:color w:val="4F81BD" w:themeColor="accent1"/>
        </w:rPr>
        <w:t>Модель Блека-Шоулза</w:t>
      </w:r>
      <w:bookmarkEnd w:id="21"/>
    </w:p>
    <w:p w:rsidR="0059449D" w:rsidRPr="0059449D" w:rsidRDefault="0059449D" w:rsidP="0059449D">
      <w:pPr>
        <w:spacing w:before="24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Данная модель непрерывного времени является самой популярность для расчета стоимости реального опциона ввиду своей простоты.</w:t>
      </w:r>
    </w:p>
    <w:p w:rsidR="0059449D" w:rsidRPr="0059449D" w:rsidRDefault="0059449D" w:rsidP="0055663C">
      <w:pPr>
        <w:spacing w:before="240" w:line="360" w:lineRule="auto"/>
        <w:ind w:left="1416" w:firstLine="708"/>
        <w:jc w:val="both"/>
        <w:rPr>
          <w:rFonts w:ascii="Times New Roman" w:eastAsiaTheme="minorEastAsia" w:hAnsi="Times New Roman" w:cs="Times New Roman"/>
          <w:sz w:val="24"/>
          <w:szCs w:val="24"/>
        </w:rPr>
      </w:pPr>
      <m:oMath>
        <m:r>
          <w:rPr>
            <w:rFonts w:ascii="Cambria Math" w:hAnsi="Cambria Math" w:cs="Times New Roman"/>
            <w:sz w:val="24"/>
            <w:szCs w:val="24"/>
            <w:lang w:val="en-US"/>
          </w:rPr>
          <m:t>C</m:t>
        </m:r>
        <m:r>
          <w:rPr>
            <w:rFonts w:ascii="Cambria Math" w:hAnsi="Cambria Math" w:cs="Times New Roman"/>
            <w:sz w:val="24"/>
            <w:szCs w:val="24"/>
          </w:rPr>
          <m:t>=</m:t>
        </m:r>
        <m:r>
          <w:rPr>
            <w:rFonts w:ascii="Cambria Math" w:hAnsi="Cambria Math" w:cs="Times New Roman"/>
            <w:sz w:val="24"/>
            <w:szCs w:val="24"/>
            <w:lang w:val="en-US"/>
          </w:rPr>
          <m:t>S</m:t>
        </m:r>
        <m:r>
          <w:rPr>
            <w:rFonts w:ascii="Cambria Math" w:hAnsi="Cambria Math" w:cs="Times New Roman"/>
            <w:sz w:val="24"/>
            <w:szCs w:val="24"/>
          </w:rPr>
          <m:t>×</m:t>
        </m:r>
        <m:r>
          <w:rPr>
            <w:rFonts w:ascii="Cambria Math" w:hAnsi="Cambria Math" w:cs="Times New Roman"/>
            <w:sz w:val="24"/>
            <w:szCs w:val="24"/>
            <w:lang w:val="en-US"/>
          </w:rPr>
          <m:t>N</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rPr>
                  <m:t>1</m:t>
                </m:r>
              </m:sub>
            </m:sSub>
          </m:e>
        </m:d>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rPr>
              <m:t>-</m:t>
            </m:r>
            <m:r>
              <w:rPr>
                <w:rFonts w:ascii="Cambria Math" w:hAnsi="Cambria Math" w:cs="Times New Roman"/>
                <w:sz w:val="24"/>
                <w:szCs w:val="24"/>
                <w:lang w:val="en-US"/>
              </w:rPr>
              <m:t>rt</m:t>
            </m:r>
          </m:sup>
        </m:sSup>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rPr>
              <m:t>2</m:t>
            </m:r>
          </m:sub>
        </m:sSub>
        <m:r>
          <w:rPr>
            <w:rFonts w:ascii="Cambria Math" w:hAnsi="Cambria Math" w:cs="Times New Roman"/>
            <w:sz w:val="24"/>
            <w:szCs w:val="24"/>
          </w:rPr>
          <m:t>)</m:t>
        </m:r>
      </m:oMath>
      <w:r w:rsidRPr="0059449D">
        <w:rPr>
          <w:rFonts w:ascii="Times New Roman" w:eastAsiaTheme="minorEastAsia" w:hAnsi="Times New Roman" w:cs="Times New Roman"/>
          <w:sz w:val="24"/>
          <w:szCs w:val="24"/>
        </w:rPr>
        <w:t xml:space="preserve"> ,</w:t>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t>(12)</w:t>
      </w:r>
    </w:p>
    <w:p w:rsidR="0059449D" w:rsidRPr="0059449D" w:rsidRDefault="00322F14" w:rsidP="0055663C">
      <w:pPr>
        <w:spacing w:before="240" w:line="360" w:lineRule="auto"/>
        <w:ind w:left="1416" w:firstLine="70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X</m:t>
                        </m:r>
                      </m:den>
                    </m:f>
                  </m:e>
                </m:d>
              </m:e>
            </m:fun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f>
                  <m:fPr>
                    <m:type m:val="skw"/>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t</m:t>
            </m:r>
          </m:num>
          <m:den>
            <m:r>
              <w:rPr>
                <w:rFonts w:ascii="Cambria Math" w:eastAsiaTheme="minorEastAsia" w:hAnsi="Cambria Math" w:cs="Times New Roman"/>
                <w:sz w:val="24"/>
                <w:szCs w:val="24"/>
              </w:rPr>
              <m:t>σ</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t</m:t>
                </m:r>
              </m:e>
            </m:rad>
          </m:den>
        </m:f>
      </m:oMath>
      <w:r w:rsidR="0059449D" w:rsidRPr="0059449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-σ</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lang w:val="en-US"/>
              </w:rPr>
              <m:t>t</m:t>
            </m:r>
          </m:e>
        </m:rad>
      </m:oMath>
      <w:r w:rsidR="00347239">
        <w:rPr>
          <w:rFonts w:ascii="Times New Roman" w:eastAsiaTheme="minorEastAsia" w:hAnsi="Times New Roman" w:cs="Times New Roman"/>
          <w:sz w:val="24"/>
          <w:szCs w:val="24"/>
        </w:rPr>
        <w:t>,</w:t>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r>
      <w:r w:rsidR="0055663C">
        <w:rPr>
          <w:rFonts w:ascii="Times New Roman" w:eastAsiaTheme="minorEastAsia" w:hAnsi="Times New Roman" w:cs="Times New Roman"/>
          <w:sz w:val="24"/>
          <w:szCs w:val="24"/>
        </w:rPr>
        <w:tab/>
        <w:t>(13)</w:t>
      </w:r>
    </w:p>
    <w:p w:rsidR="0059449D" w:rsidRPr="0059449D" w:rsidRDefault="0059449D" w:rsidP="0059449D">
      <w:pPr>
        <w:spacing w:after="0" w:line="240" w:lineRule="atLeast"/>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rPr>
        <w:t xml:space="preserve">где: </w:t>
      </w:r>
    </w:p>
    <w:p w:rsidR="0059449D" w:rsidRPr="0059449D" w:rsidRDefault="0059449D" w:rsidP="0059449D">
      <w:pPr>
        <w:spacing w:after="0" w:line="240" w:lineRule="atLeast"/>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rPr>
        <w:t>С – текущая стоимость колл-опциона;</w:t>
      </w:r>
    </w:p>
    <w:p w:rsidR="0059449D" w:rsidRPr="0059449D" w:rsidRDefault="0059449D" w:rsidP="0059449D">
      <w:pPr>
        <w:spacing w:after="0" w:line="240" w:lineRule="atLeast"/>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lang w:val="en-US"/>
        </w:rPr>
        <w:t>S</w:t>
      </w:r>
      <w:r w:rsidRPr="0059449D">
        <w:rPr>
          <w:rFonts w:ascii="Times New Roman" w:eastAsiaTheme="minorEastAsia" w:hAnsi="Times New Roman" w:cs="Times New Roman"/>
          <w:sz w:val="24"/>
          <w:szCs w:val="24"/>
        </w:rPr>
        <w:t xml:space="preserve"> – текущая стоимость базового актива (в случае реальных опционов – текущая; приведенная стоимость будущих денежных потоков от инвестиций);</w:t>
      </w:r>
    </w:p>
    <w:p w:rsidR="0059449D" w:rsidRPr="0059449D" w:rsidRDefault="0059449D" w:rsidP="0059449D">
      <w:pPr>
        <w:spacing w:after="0" w:line="240" w:lineRule="atLeast"/>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lang w:val="en-US"/>
        </w:rPr>
        <w:t>X</w:t>
      </w:r>
      <w:r w:rsidRPr="0059449D">
        <w:rPr>
          <w:rFonts w:ascii="Times New Roman" w:eastAsiaTheme="minorEastAsia" w:hAnsi="Times New Roman" w:cs="Times New Roman"/>
          <w:sz w:val="24"/>
          <w:szCs w:val="24"/>
        </w:rPr>
        <w:t xml:space="preserve"> – цена исполнения опциона ( величина инвестиций);</w:t>
      </w:r>
    </w:p>
    <w:p w:rsidR="0059449D" w:rsidRPr="0059449D" w:rsidRDefault="0059449D" w:rsidP="0059449D">
      <w:pPr>
        <w:spacing w:after="0" w:line="240" w:lineRule="atLeast"/>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lang w:val="en-US"/>
        </w:rPr>
        <w:t>r</w:t>
      </w:r>
      <w:r w:rsidRPr="0059449D">
        <w:rPr>
          <w:rFonts w:ascii="Times New Roman" w:eastAsiaTheme="minorEastAsia" w:hAnsi="Times New Roman" w:cs="Times New Roman"/>
          <w:sz w:val="24"/>
          <w:szCs w:val="24"/>
        </w:rPr>
        <w:t xml:space="preserve"> – безрисковая ставка доходности;</w:t>
      </w:r>
    </w:p>
    <w:p w:rsidR="0059449D" w:rsidRPr="0059449D" w:rsidRDefault="0059449D" w:rsidP="0059449D">
      <w:pPr>
        <w:spacing w:after="0" w:line="240" w:lineRule="atLeast"/>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lang w:val="en-US"/>
        </w:rPr>
        <w:t>t</w:t>
      </w:r>
      <w:r w:rsidRPr="0059449D">
        <w:rPr>
          <w:rFonts w:ascii="Times New Roman" w:eastAsiaTheme="minorEastAsia" w:hAnsi="Times New Roman" w:cs="Times New Roman"/>
          <w:sz w:val="24"/>
          <w:szCs w:val="24"/>
        </w:rPr>
        <w:t xml:space="preserve"> – период времени исполнения опциона (на какой срок может быть отложено решение); </w:t>
      </w:r>
    </w:p>
    <w:p w:rsidR="0059449D" w:rsidRPr="0059449D" w:rsidRDefault="0059449D" w:rsidP="0059449D">
      <w:pPr>
        <w:spacing w:after="0" w:line="240" w:lineRule="atLeast"/>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lang w:val="en-US"/>
        </w:rPr>
        <w:t>N</w:t>
      </w:r>
      <w:r w:rsidRPr="0059449D">
        <w:rPr>
          <w:rFonts w:ascii="Times New Roman" w:eastAsiaTheme="minorEastAsia" w:hAnsi="Times New Roman" w:cs="Times New Roman"/>
          <w:sz w:val="24"/>
          <w:szCs w:val="24"/>
        </w:rPr>
        <w:t>(</w:t>
      </w:r>
      <w:r w:rsidRPr="0059449D">
        <w:rPr>
          <w:rFonts w:ascii="Times New Roman" w:eastAsiaTheme="minorEastAsia" w:hAnsi="Times New Roman" w:cs="Times New Roman"/>
          <w:sz w:val="24"/>
          <w:szCs w:val="24"/>
          <w:lang w:val="en-US"/>
        </w:rPr>
        <w:t>d</w:t>
      </w:r>
      <w:r w:rsidRPr="0059449D">
        <w:rPr>
          <w:rFonts w:ascii="Times New Roman" w:eastAsiaTheme="minorEastAsia" w:hAnsi="Times New Roman" w:cs="Times New Roman"/>
          <w:sz w:val="24"/>
          <w:szCs w:val="24"/>
        </w:rPr>
        <w:t xml:space="preserve">) – кумулятивная функция нормального распределения; </w:t>
      </w:r>
    </w:p>
    <w:p w:rsidR="0059449D" w:rsidRPr="0059449D" w:rsidRDefault="0059449D" w:rsidP="0059449D">
      <w:pPr>
        <w:spacing w:after="0" w:line="240" w:lineRule="atLeast"/>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lang w:val="en-US"/>
        </w:rPr>
        <w:t>σ</w:t>
      </w:r>
      <w:r w:rsidRPr="0059449D">
        <w:rPr>
          <w:rFonts w:ascii="Times New Roman" w:eastAsiaTheme="minorEastAsia" w:hAnsi="Times New Roman" w:cs="Times New Roman"/>
          <w:sz w:val="24"/>
          <w:szCs w:val="24"/>
        </w:rPr>
        <w:t xml:space="preserve"> – волатильность (среднее квадратическое отклонение) денежных потоков.</w:t>
      </w:r>
    </w:p>
    <w:p w:rsidR="0059449D" w:rsidRPr="0059449D" w:rsidRDefault="0059449D" w:rsidP="0059449D">
      <w:pPr>
        <w:spacing w:before="24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SN(d1) представляет собой ожидаемую величину текущего базового актива при том, что текущее значение будет больше, чем инвестиционные затраты по истечении срока действия опциона; N(d2) - это нейтральная к риску вероятность того, что текущее значение базового актива будет больше, чем стоимость инвестиций по истечении срока действия (поэтому он является вероятностью исполнения опциона).  Наконец, X(e</w:t>
      </w:r>
      <w:r w:rsidRPr="0059449D">
        <w:rPr>
          <w:rFonts w:ascii="Times New Roman" w:hAnsi="Times New Roman" w:cs="Times New Roman"/>
          <w:sz w:val="24"/>
          <w:szCs w:val="24"/>
          <w:vertAlign w:val="superscript"/>
        </w:rPr>
        <w:t>-rt</w:t>
      </w:r>
      <w:r w:rsidRPr="0059449D">
        <w:rPr>
          <w:rFonts w:ascii="Times New Roman" w:hAnsi="Times New Roman" w:cs="Times New Roman"/>
          <w:sz w:val="24"/>
          <w:szCs w:val="24"/>
        </w:rPr>
        <w:t>) представляет собой текущую стоимость инвестиционных вложений</w:t>
      </w:r>
      <w:r w:rsidRPr="0059449D">
        <w:rPr>
          <w:rFonts w:ascii="Times New Roman" w:hAnsi="Times New Roman" w:cs="Times New Roman"/>
          <w:sz w:val="24"/>
          <w:szCs w:val="24"/>
          <w:vertAlign w:val="superscript"/>
        </w:rPr>
        <w:footnoteReference w:id="20"/>
      </w:r>
      <w:r w:rsidRPr="0059449D">
        <w:rPr>
          <w:rFonts w:ascii="Times New Roman" w:hAnsi="Times New Roman" w:cs="Times New Roman"/>
          <w:sz w:val="24"/>
          <w:szCs w:val="24"/>
        </w:rPr>
        <w:t xml:space="preserve">. </w:t>
      </w:r>
    </w:p>
    <w:p w:rsidR="0059449D" w:rsidRPr="0059449D" w:rsidRDefault="0059449D" w:rsidP="0059449D">
      <w:pPr>
        <w:spacing w:before="24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 xml:space="preserve">Очевидно, что главный плюс модели заключается как в однозначности калькуляций, так и в простоте интерпретации результатов. Это в свою очередь указывает на легкость проведения анализа чувствительности. Главными ограничениями является как раз таки его факт схожести в европейским финансовым опционом: он не может быть </w:t>
      </w:r>
      <w:r w:rsidRPr="0059449D">
        <w:rPr>
          <w:rFonts w:ascii="Times New Roman" w:hAnsi="Times New Roman" w:cs="Times New Roman"/>
          <w:sz w:val="24"/>
          <w:szCs w:val="24"/>
        </w:rPr>
        <w:lastRenderedPageBreak/>
        <w:t xml:space="preserve">исполнен до срока истечения его действия, никаких выплат дивидендов при этом не происходит.  </w:t>
      </w:r>
    </w:p>
    <w:p w:rsidR="0059449D" w:rsidRPr="0059449D" w:rsidRDefault="004E19AA" w:rsidP="0059449D">
      <w:pPr>
        <w:keepNext/>
        <w:keepLines/>
        <w:spacing w:before="200" w:after="0"/>
        <w:outlineLvl w:val="2"/>
        <w:rPr>
          <w:rFonts w:asciiTheme="majorHAnsi" w:eastAsiaTheme="majorEastAsia" w:hAnsiTheme="majorHAnsi" w:cstheme="majorBidi"/>
          <w:b/>
          <w:bCs/>
          <w:color w:val="4F81BD" w:themeColor="accent1"/>
        </w:rPr>
      </w:pPr>
      <w:bookmarkStart w:id="22" w:name="_Toc450920836"/>
      <w:r>
        <w:rPr>
          <w:rFonts w:asciiTheme="majorHAnsi" w:eastAsiaTheme="majorEastAsia" w:hAnsiTheme="majorHAnsi" w:cstheme="majorBidi"/>
          <w:b/>
          <w:bCs/>
          <w:color w:val="4F81BD" w:themeColor="accent1"/>
        </w:rPr>
        <w:t>1</w:t>
      </w:r>
      <w:r w:rsidR="0059449D" w:rsidRPr="0059449D">
        <w:rPr>
          <w:rFonts w:asciiTheme="majorHAnsi" w:eastAsiaTheme="majorEastAsia" w:hAnsiTheme="majorHAnsi" w:cstheme="majorBidi"/>
          <w:b/>
          <w:bCs/>
          <w:color w:val="4F81BD" w:themeColor="accent1"/>
        </w:rPr>
        <w:t>.3.2. Биноминальная модель</w:t>
      </w:r>
      <w:bookmarkEnd w:id="22"/>
    </w:p>
    <w:p w:rsidR="0059449D" w:rsidRPr="0059449D" w:rsidRDefault="0059449D" w:rsidP="0059449D">
      <w:pPr>
        <w:spacing w:before="360"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Основой биномиальной модели является дискретное модель оценки, которая основана рыночном допущении, что рыночная стоимость опциона и базовый актив следуют биноминальному распределению, то есть инвестору в каждый момент времени предлагается только два варианта развития событий. В конце расчетного периода цена базового актива может как увеличиться, так и уменьшиться с конкретными вероятностями и с различными значениями.</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 xml:space="preserve">Расчет стоимости опциона основывается на построении биноминального дерева. На каждом промежутке времени перед инвестором стоит выбор: исполнить реальный опцион или нет. Согласно модели, за один период величина базового актива увеличится до </w:t>
      </w:r>
      <w:r w:rsidRPr="0059449D">
        <w:rPr>
          <w:rFonts w:ascii="Times New Roman" w:hAnsi="Times New Roman" w:cs="Times New Roman"/>
          <w:sz w:val="24"/>
          <w:szCs w:val="24"/>
          <w:lang w:val="en-US"/>
        </w:rPr>
        <w:t>S</w:t>
      </w:r>
      <w:r w:rsidRPr="0059449D">
        <w:rPr>
          <w:rFonts w:ascii="Times New Roman" w:hAnsi="Times New Roman" w:cs="Times New Roman"/>
          <w:sz w:val="24"/>
          <w:szCs w:val="24"/>
        </w:rPr>
        <w:t>×</w:t>
      </w:r>
      <w:r w:rsidRPr="0059449D">
        <w:rPr>
          <w:rFonts w:ascii="Times New Roman" w:hAnsi="Times New Roman" w:cs="Times New Roman"/>
          <w:sz w:val="24"/>
          <w:szCs w:val="24"/>
          <w:lang w:val="en-US"/>
        </w:rPr>
        <w:t>u</w:t>
      </w:r>
      <w:r w:rsidRPr="0059449D">
        <w:rPr>
          <w:rFonts w:ascii="Times New Roman" w:hAnsi="Times New Roman" w:cs="Times New Roman"/>
          <w:sz w:val="24"/>
          <w:szCs w:val="24"/>
        </w:rPr>
        <w:t xml:space="preserve"> с вероятностью </w:t>
      </w:r>
      <w:r w:rsidRPr="0059449D">
        <w:rPr>
          <w:rFonts w:ascii="Times New Roman" w:hAnsi="Times New Roman" w:cs="Times New Roman"/>
          <w:sz w:val="24"/>
          <w:szCs w:val="24"/>
          <w:lang w:val="en-US"/>
        </w:rPr>
        <w:t>p</w:t>
      </w:r>
      <w:r w:rsidRPr="0059449D">
        <w:rPr>
          <w:rFonts w:ascii="Times New Roman" w:hAnsi="Times New Roman" w:cs="Times New Roman"/>
          <w:sz w:val="24"/>
          <w:szCs w:val="24"/>
        </w:rPr>
        <w:t xml:space="preserve"> или упадет до </w:t>
      </w:r>
      <w:r w:rsidRPr="0059449D">
        <w:rPr>
          <w:rFonts w:ascii="Times New Roman" w:hAnsi="Times New Roman" w:cs="Times New Roman"/>
          <w:sz w:val="24"/>
          <w:szCs w:val="24"/>
          <w:lang w:val="en-US"/>
        </w:rPr>
        <w:t>S</w:t>
      </w:r>
      <w:r w:rsidRPr="0059449D">
        <w:rPr>
          <w:rFonts w:ascii="Times New Roman" w:hAnsi="Times New Roman" w:cs="Times New Roman"/>
          <w:sz w:val="24"/>
          <w:szCs w:val="24"/>
        </w:rPr>
        <w:t>×</w:t>
      </w:r>
      <w:r w:rsidRPr="0059449D">
        <w:rPr>
          <w:rFonts w:ascii="Times New Roman" w:hAnsi="Times New Roman" w:cs="Times New Roman"/>
          <w:sz w:val="24"/>
          <w:szCs w:val="24"/>
          <w:lang w:val="en-US"/>
        </w:rPr>
        <w:t>d</w:t>
      </w:r>
      <w:r w:rsidRPr="0059449D">
        <w:rPr>
          <w:rFonts w:ascii="Times New Roman" w:hAnsi="Times New Roman" w:cs="Times New Roman"/>
          <w:sz w:val="24"/>
          <w:szCs w:val="24"/>
        </w:rPr>
        <w:t xml:space="preserve"> с вероятностью 1-</w:t>
      </w:r>
      <w:r w:rsidRPr="0059449D">
        <w:rPr>
          <w:rFonts w:ascii="Times New Roman" w:hAnsi="Times New Roman" w:cs="Times New Roman"/>
          <w:sz w:val="24"/>
          <w:szCs w:val="24"/>
          <w:lang w:val="en-US"/>
        </w:rPr>
        <w:t>p</w:t>
      </w:r>
      <w:r w:rsidRPr="0059449D">
        <w:rPr>
          <w:rFonts w:ascii="Times New Roman" w:hAnsi="Times New Roman" w:cs="Times New Roman"/>
          <w:sz w:val="24"/>
          <w:szCs w:val="24"/>
        </w:rPr>
        <w:t xml:space="preserve">. В конечной точке (в конце периода)  получаются возможные стоимости опциона, и чтобы привести их на нулевой период, их необходимо продисконтировать по безрисковой ставке. </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В обычном случае необходим расчет стоимости опциона в каждом узлу решетки, однако для облегчения процедуры разумней прибегать к методологиям, позволяющим это избежать: например, с помощью риск-нейтральной вероятности.</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Таким образом, на дереве с несколькими ветвями с одинаковыми риск-нейтральными вероятностями, по которым проект реализуется, дисконтируется денежный поток наиболее оптимального опциона по безрисковой ставке. Риск-нейтральная вероятность для биноминальной модели рассчитывается по формуле:</w:t>
      </w:r>
    </w:p>
    <w:p w:rsidR="0055663C" w:rsidRPr="00642BE5" w:rsidRDefault="00642BE5" w:rsidP="00642BE5">
      <w:pPr>
        <w:spacing w:after="0" w:line="360" w:lineRule="auto"/>
        <w:ind w:left="708" w:firstLine="143"/>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24"/>
        </w:rPr>
        <w:t xml:space="preserve">  </w:t>
      </w:r>
      <m:oMath>
        <m:r>
          <w:rPr>
            <w:rFonts w:ascii="Cambria Math" w:hAnsi="Cambria Math" w:cs="Times New Roman"/>
            <w:sz w:val="32"/>
            <w:szCs w:val="24"/>
          </w:rPr>
          <m:t>p=</m:t>
        </m:r>
        <m:f>
          <m:fPr>
            <m:ctrlPr>
              <w:rPr>
                <w:rFonts w:ascii="Cambria Math" w:hAnsi="Cambria Math" w:cs="Times New Roman"/>
                <w:i/>
                <w:sz w:val="32"/>
                <w:szCs w:val="24"/>
              </w:rPr>
            </m:ctrlPr>
          </m:fPr>
          <m:num>
            <m:r>
              <w:rPr>
                <w:rFonts w:ascii="Cambria Math" w:hAnsi="Cambria Math" w:cs="Times New Roman"/>
                <w:sz w:val="32"/>
                <w:szCs w:val="24"/>
              </w:rPr>
              <m:t>1+r-d</m:t>
            </m:r>
          </m:num>
          <m:den>
            <m:r>
              <w:rPr>
                <w:rFonts w:ascii="Cambria Math" w:hAnsi="Cambria Math" w:cs="Times New Roman"/>
                <w:sz w:val="32"/>
                <w:szCs w:val="24"/>
              </w:rPr>
              <m:t>u-d</m:t>
            </m:r>
          </m:den>
        </m:f>
      </m:oMath>
      <w:r w:rsidR="0059449D" w:rsidRPr="0055663C">
        <w:rPr>
          <w:rFonts w:ascii="Times New Roman" w:eastAsiaTheme="minorEastAsia" w:hAnsi="Times New Roman" w:cs="Times New Roman"/>
          <w:sz w:val="32"/>
          <w:szCs w:val="24"/>
        </w:rPr>
        <w:t xml:space="preserve">. </w:t>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t xml:space="preserve">  </w:t>
      </w:r>
      <w:r>
        <w:rPr>
          <w:rFonts w:ascii="Times New Roman" w:eastAsiaTheme="minorEastAsia" w:hAnsi="Times New Roman" w:cs="Times New Roman"/>
          <w:sz w:val="32"/>
          <w:szCs w:val="24"/>
        </w:rPr>
        <w:tab/>
      </w:r>
      <w:r>
        <w:rPr>
          <w:rFonts w:ascii="Times New Roman" w:eastAsiaTheme="minorEastAsia" w:hAnsi="Times New Roman" w:cs="Times New Roman"/>
          <w:sz w:val="24"/>
          <w:szCs w:val="24"/>
        </w:rPr>
        <w:t>(14)</w:t>
      </w:r>
    </w:p>
    <w:p w:rsidR="0059449D" w:rsidRPr="0059449D" w:rsidRDefault="0059449D" w:rsidP="0059449D">
      <w:pPr>
        <w:spacing w:after="0" w:line="360" w:lineRule="auto"/>
        <w:ind w:firstLine="851"/>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rPr>
        <w:t xml:space="preserve">Далее вычисляется ожидаемая стоимость опциона в нулевой период: </w:t>
      </w:r>
    </w:p>
    <w:p w:rsidR="00642BE5" w:rsidRDefault="0059449D" w:rsidP="0059449D">
      <w:pPr>
        <w:spacing w:after="0" w:line="360" w:lineRule="auto"/>
        <w:ind w:firstLine="851"/>
        <w:jc w:val="both"/>
        <w:rPr>
          <w:rFonts w:ascii="Times New Roman" w:eastAsiaTheme="minorEastAsia" w:hAnsi="Times New Roman" w:cs="Times New Roman"/>
          <w:sz w:val="24"/>
          <w:szCs w:val="24"/>
        </w:rPr>
      </w:pPr>
      <w:r w:rsidRPr="00642BE5">
        <w:rPr>
          <w:rFonts w:ascii="Times New Roman" w:eastAsiaTheme="minorEastAsia" w:hAnsi="Times New Roman" w:cs="Times New Roman"/>
          <w:sz w:val="32"/>
          <w:szCs w:val="24"/>
        </w:rPr>
        <w:t xml:space="preserve"> </w:t>
      </w:r>
      <m:oMath>
        <m:r>
          <w:rPr>
            <w:rFonts w:ascii="Cambria Math" w:eastAsiaTheme="minorEastAsia" w:hAnsi="Cambria Math" w:cs="Times New Roman"/>
            <w:sz w:val="32"/>
            <w:szCs w:val="24"/>
            <w:lang w:val="en-US"/>
          </w:rPr>
          <m:t>C</m:t>
        </m:r>
        <m:r>
          <w:rPr>
            <w:rFonts w:ascii="Cambria Math" w:eastAsiaTheme="minorEastAsia" w:hAnsi="Cambria Math" w:cs="Times New Roman"/>
            <w:sz w:val="32"/>
            <w:szCs w:val="24"/>
          </w:rPr>
          <m:t>=</m:t>
        </m:r>
        <m:f>
          <m:fPr>
            <m:ctrlPr>
              <w:rPr>
                <w:rFonts w:ascii="Cambria Math" w:eastAsiaTheme="minorEastAsia" w:hAnsi="Cambria Math" w:cs="Times New Roman"/>
                <w:i/>
                <w:sz w:val="32"/>
                <w:szCs w:val="24"/>
              </w:rPr>
            </m:ctrlPr>
          </m:fPr>
          <m:num>
            <m:d>
              <m:dPr>
                <m:begChr m:val="["/>
                <m:endChr m:val="]"/>
                <m:ctrlPr>
                  <w:rPr>
                    <w:rFonts w:ascii="Cambria Math" w:eastAsiaTheme="minorEastAsia" w:hAnsi="Cambria Math" w:cs="Times New Roman"/>
                    <w:i/>
                    <w:sz w:val="32"/>
                    <w:szCs w:val="24"/>
                    <w:lang w:val="en-US"/>
                  </w:rPr>
                </m:ctrlPr>
              </m:dPr>
              <m:e>
                <m:r>
                  <w:rPr>
                    <w:rFonts w:ascii="Cambria Math" w:eastAsiaTheme="minorEastAsia" w:hAnsi="Cambria Math" w:cs="Times New Roman"/>
                    <w:sz w:val="32"/>
                    <w:szCs w:val="24"/>
                    <w:lang w:val="en-US"/>
                  </w:rPr>
                  <m:t>p</m:t>
                </m:r>
                <m:r>
                  <w:rPr>
                    <w:rFonts w:ascii="Cambria Math" w:eastAsiaTheme="minorEastAsia" w:hAnsi="Cambria Math" w:cs="Times New Roman"/>
                    <w:sz w:val="32"/>
                    <w:szCs w:val="24"/>
                  </w:rPr>
                  <m:t>×</m:t>
                </m:r>
                <m:sSub>
                  <m:sSubPr>
                    <m:ctrlPr>
                      <w:rPr>
                        <w:rFonts w:ascii="Cambria Math" w:eastAsiaTheme="minorEastAsia" w:hAnsi="Cambria Math" w:cs="Times New Roman"/>
                        <w:i/>
                        <w:sz w:val="32"/>
                        <w:szCs w:val="24"/>
                        <w:lang w:val="en-US"/>
                      </w:rPr>
                    </m:ctrlPr>
                  </m:sSubPr>
                  <m:e>
                    <m:r>
                      <w:rPr>
                        <w:rFonts w:ascii="Cambria Math" w:eastAsiaTheme="minorEastAsia" w:hAnsi="Cambria Math" w:cs="Times New Roman"/>
                        <w:sz w:val="32"/>
                        <w:szCs w:val="24"/>
                        <w:lang w:val="en-US"/>
                      </w:rPr>
                      <m:t>C</m:t>
                    </m:r>
                  </m:e>
                  <m:sub>
                    <m:r>
                      <w:rPr>
                        <w:rFonts w:ascii="Cambria Math" w:eastAsiaTheme="minorEastAsia" w:hAnsi="Cambria Math" w:cs="Times New Roman"/>
                        <w:sz w:val="32"/>
                        <w:szCs w:val="24"/>
                        <w:lang w:val="en-US"/>
                      </w:rPr>
                      <m:t>u</m:t>
                    </m:r>
                  </m:sub>
                </m:sSub>
                <m:r>
                  <w:rPr>
                    <w:rFonts w:ascii="Cambria Math" w:eastAsiaTheme="minorEastAsia" w:hAnsi="Cambria Math" w:cs="Times New Roman"/>
                    <w:sz w:val="32"/>
                    <w:szCs w:val="24"/>
                  </w:rPr>
                  <m:t>+</m:t>
                </m:r>
                <m:d>
                  <m:dPr>
                    <m:ctrlPr>
                      <w:rPr>
                        <w:rFonts w:ascii="Cambria Math" w:eastAsiaTheme="minorEastAsia" w:hAnsi="Cambria Math" w:cs="Times New Roman"/>
                        <w:i/>
                        <w:sz w:val="32"/>
                        <w:szCs w:val="24"/>
                        <w:lang w:val="en-US"/>
                      </w:rPr>
                    </m:ctrlPr>
                  </m:dPr>
                  <m:e>
                    <m:r>
                      <w:rPr>
                        <w:rFonts w:ascii="Cambria Math" w:eastAsiaTheme="minorEastAsia" w:hAnsi="Cambria Math" w:cs="Times New Roman"/>
                        <w:sz w:val="32"/>
                        <w:szCs w:val="24"/>
                      </w:rPr>
                      <m:t>1-</m:t>
                    </m:r>
                    <m:r>
                      <w:rPr>
                        <w:rFonts w:ascii="Cambria Math" w:eastAsiaTheme="minorEastAsia" w:hAnsi="Cambria Math" w:cs="Times New Roman"/>
                        <w:sz w:val="32"/>
                        <w:szCs w:val="24"/>
                        <w:lang w:val="en-US"/>
                      </w:rPr>
                      <m:t>p</m:t>
                    </m:r>
                  </m:e>
                </m:d>
                <m:r>
                  <w:rPr>
                    <w:rFonts w:ascii="Cambria Math" w:eastAsiaTheme="minorEastAsia" w:hAnsi="Cambria Math" w:cs="Times New Roman"/>
                    <w:sz w:val="32"/>
                    <w:szCs w:val="24"/>
                  </w:rPr>
                  <m:t>×</m:t>
                </m:r>
                <m:sSub>
                  <m:sSubPr>
                    <m:ctrlPr>
                      <w:rPr>
                        <w:rFonts w:ascii="Cambria Math" w:eastAsiaTheme="minorEastAsia" w:hAnsi="Cambria Math" w:cs="Times New Roman"/>
                        <w:i/>
                        <w:sz w:val="32"/>
                        <w:szCs w:val="24"/>
                        <w:lang w:val="en-US"/>
                      </w:rPr>
                    </m:ctrlPr>
                  </m:sSubPr>
                  <m:e>
                    <m:r>
                      <w:rPr>
                        <w:rFonts w:ascii="Cambria Math" w:eastAsiaTheme="minorEastAsia" w:hAnsi="Cambria Math" w:cs="Times New Roman"/>
                        <w:sz w:val="32"/>
                        <w:szCs w:val="24"/>
                        <w:lang w:val="en-US"/>
                      </w:rPr>
                      <m:t>C</m:t>
                    </m:r>
                  </m:e>
                  <m:sub>
                    <m:r>
                      <w:rPr>
                        <w:rFonts w:ascii="Cambria Math" w:eastAsiaTheme="minorEastAsia" w:hAnsi="Cambria Math" w:cs="Times New Roman"/>
                        <w:sz w:val="32"/>
                        <w:szCs w:val="24"/>
                        <w:lang w:val="en-US"/>
                      </w:rPr>
                      <m:t>d</m:t>
                    </m:r>
                  </m:sub>
                </m:sSub>
              </m:e>
            </m:d>
          </m:num>
          <m:den>
            <m:r>
              <w:rPr>
                <w:rFonts w:ascii="Cambria Math" w:eastAsiaTheme="minorEastAsia" w:hAnsi="Cambria Math" w:cs="Times New Roman"/>
                <w:sz w:val="32"/>
                <w:szCs w:val="24"/>
              </w:rPr>
              <m:t>1+</m:t>
            </m:r>
            <m:r>
              <w:rPr>
                <w:rFonts w:ascii="Cambria Math" w:eastAsiaTheme="minorEastAsia" w:hAnsi="Cambria Math" w:cs="Times New Roman"/>
                <w:sz w:val="32"/>
                <w:szCs w:val="24"/>
                <w:lang w:val="en-US"/>
              </w:rPr>
              <m:t>r</m:t>
            </m:r>
          </m:den>
        </m:f>
        <m:r>
          <w:rPr>
            <w:rFonts w:ascii="Cambria Math" w:eastAsiaTheme="minorEastAsia" w:hAnsi="Cambria Math" w:cs="Times New Roman"/>
            <w:sz w:val="32"/>
            <w:szCs w:val="24"/>
          </w:rPr>
          <m:t>=</m:t>
        </m:r>
        <m:f>
          <m:fPr>
            <m:ctrlPr>
              <w:rPr>
                <w:rFonts w:ascii="Cambria Math" w:eastAsiaTheme="minorEastAsia" w:hAnsi="Cambria Math" w:cs="Times New Roman"/>
                <w:i/>
                <w:sz w:val="32"/>
                <w:szCs w:val="24"/>
              </w:rPr>
            </m:ctrlPr>
          </m:fPr>
          <m:num>
            <m:r>
              <w:rPr>
                <w:rFonts w:ascii="Cambria Math" w:eastAsiaTheme="minorEastAsia" w:hAnsi="Cambria Math" w:cs="Times New Roman"/>
                <w:sz w:val="32"/>
                <w:szCs w:val="24"/>
              </w:rPr>
              <m:t>p×max</m:t>
            </m:r>
            <m:d>
              <m:dPr>
                <m:begChr m:val="["/>
                <m:endChr m:val="]"/>
                <m:ctrlPr>
                  <w:rPr>
                    <w:rFonts w:ascii="Cambria Math" w:eastAsiaTheme="minorEastAsia" w:hAnsi="Cambria Math" w:cs="Times New Roman"/>
                    <w:i/>
                    <w:sz w:val="32"/>
                    <w:szCs w:val="24"/>
                  </w:rPr>
                </m:ctrlPr>
              </m:dPr>
              <m:e>
                <m:r>
                  <w:rPr>
                    <w:rFonts w:ascii="Cambria Math" w:eastAsiaTheme="minorEastAsia" w:hAnsi="Cambria Math" w:cs="Times New Roman"/>
                    <w:sz w:val="32"/>
                    <w:szCs w:val="24"/>
                  </w:rPr>
                  <m:t>0,uS-X</m:t>
                </m:r>
              </m:e>
            </m:d>
            <m:r>
              <w:rPr>
                <w:rFonts w:ascii="Cambria Math" w:eastAsiaTheme="minorEastAsia" w:hAnsi="Cambria Math" w:cs="Times New Roman"/>
                <w:sz w:val="32"/>
                <w:szCs w:val="24"/>
              </w:rPr>
              <m:t>+</m:t>
            </m:r>
            <m:d>
              <m:dPr>
                <m:ctrlPr>
                  <w:rPr>
                    <w:rFonts w:ascii="Cambria Math" w:eastAsiaTheme="minorEastAsia" w:hAnsi="Cambria Math" w:cs="Times New Roman"/>
                    <w:i/>
                    <w:sz w:val="32"/>
                    <w:szCs w:val="24"/>
                  </w:rPr>
                </m:ctrlPr>
              </m:dPr>
              <m:e>
                <m:r>
                  <w:rPr>
                    <w:rFonts w:ascii="Cambria Math" w:eastAsiaTheme="minorEastAsia" w:hAnsi="Cambria Math" w:cs="Times New Roman"/>
                    <w:sz w:val="32"/>
                    <w:szCs w:val="24"/>
                  </w:rPr>
                  <m:t>1-p</m:t>
                </m:r>
              </m:e>
            </m:d>
            <m:r>
              <m:rPr>
                <m:sty m:val="p"/>
              </m:rPr>
              <w:rPr>
                <w:rFonts w:ascii="Cambria Math" w:eastAsiaTheme="minorEastAsia" w:hAnsi="Cambria Math" w:cs="Times New Roman"/>
                <w:sz w:val="32"/>
                <w:szCs w:val="24"/>
              </w:rPr>
              <m:t>×max⁡</m:t>
            </m:r>
            <m:r>
              <w:rPr>
                <w:rFonts w:ascii="Cambria Math" w:eastAsiaTheme="minorEastAsia" w:hAnsi="Cambria Math" w:cs="Times New Roman"/>
                <w:sz w:val="32"/>
                <w:szCs w:val="24"/>
              </w:rPr>
              <m:t>[0,dS-X]</m:t>
            </m:r>
          </m:num>
          <m:den>
            <m:r>
              <w:rPr>
                <w:rFonts w:ascii="Cambria Math" w:eastAsiaTheme="minorEastAsia" w:hAnsi="Cambria Math" w:cs="Times New Roman"/>
                <w:sz w:val="32"/>
                <w:szCs w:val="24"/>
              </w:rPr>
              <m:t>1+r</m:t>
            </m:r>
          </m:den>
        </m:f>
      </m:oMath>
      <w:r w:rsidRPr="0059449D">
        <w:rPr>
          <w:rFonts w:ascii="Times New Roman" w:eastAsiaTheme="minorEastAsia" w:hAnsi="Times New Roman" w:cs="Times New Roman"/>
          <w:sz w:val="24"/>
          <w:szCs w:val="24"/>
        </w:rPr>
        <w:t xml:space="preserve">,   </w:t>
      </w:r>
      <w:r w:rsidR="00642BE5">
        <w:rPr>
          <w:rFonts w:ascii="Times New Roman" w:eastAsiaTheme="minorEastAsia" w:hAnsi="Times New Roman" w:cs="Times New Roman"/>
          <w:sz w:val="24"/>
          <w:szCs w:val="24"/>
        </w:rPr>
        <w:tab/>
        <w:t>(15)</w:t>
      </w:r>
    </w:p>
    <w:p w:rsidR="0059449D" w:rsidRPr="0059449D" w:rsidRDefault="0059449D" w:rsidP="0059449D">
      <w:pPr>
        <w:spacing w:after="0" w:line="360" w:lineRule="auto"/>
        <w:ind w:firstLine="851"/>
        <w:jc w:val="both"/>
        <w:rPr>
          <w:rFonts w:ascii="Times New Roman" w:eastAsiaTheme="minorEastAsia" w:hAnsi="Times New Roman" w:cs="Times New Roman"/>
          <w:sz w:val="24"/>
          <w:szCs w:val="24"/>
        </w:rPr>
      </w:pPr>
      <w:r w:rsidRPr="0059449D">
        <w:rPr>
          <w:rFonts w:ascii="Times New Roman" w:eastAsiaTheme="minorEastAsia" w:hAnsi="Times New Roman" w:cs="Times New Roman"/>
          <w:sz w:val="24"/>
          <w:szCs w:val="24"/>
        </w:rPr>
        <w:t xml:space="preserve">где </w:t>
      </w:r>
      <m:oMath>
        <m:r>
          <w:rPr>
            <w:rFonts w:ascii="Cambria Math" w:eastAsiaTheme="minorEastAsia" w:hAnsi="Cambria Math" w:cs="Times New Roman"/>
            <w:sz w:val="24"/>
            <w:szCs w:val="24"/>
          </w:rPr>
          <m:t>u=</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σ</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∆t</m:t>
                </m:r>
              </m:e>
            </m:rad>
          </m:sup>
        </m:sSup>
      </m:oMath>
      <w:r w:rsidRPr="0059449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u</m:t>
            </m:r>
          </m:den>
        </m:f>
      </m:oMath>
      <w:r w:rsidR="00347239">
        <w:rPr>
          <w:rFonts w:ascii="Times New Roman" w:eastAsiaTheme="minorEastAsia" w:hAnsi="Times New Roman" w:cs="Times New Roman"/>
          <w:sz w:val="24"/>
          <w:szCs w:val="24"/>
        </w:rPr>
        <w:tab/>
      </w:r>
      <w:r w:rsidR="00347239">
        <w:rPr>
          <w:rFonts w:ascii="Times New Roman" w:eastAsiaTheme="minorEastAsia" w:hAnsi="Times New Roman" w:cs="Times New Roman"/>
          <w:sz w:val="24"/>
          <w:szCs w:val="24"/>
        </w:rPr>
        <w:tab/>
      </w:r>
      <w:r w:rsidR="00347239">
        <w:rPr>
          <w:rFonts w:ascii="Times New Roman" w:eastAsiaTheme="minorEastAsia" w:hAnsi="Times New Roman" w:cs="Times New Roman"/>
          <w:sz w:val="24"/>
          <w:szCs w:val="24"/>
        </w:rPr>
        <w:tab/>
      </w:r>
      <w:r w:rsidR="00347239">
        <w:rPr>
          <w:rFonts w:ascii="Times New Roman" w:eastAsiaTheme="minorEastAsia" w:hAnsi="Times New Roman" w:cs="Times New Roman"/>
          <w:sz w:val="24"/>
          <w:szCs w:val="24"/>
        </w:rPr>
        <w:tab/>
      </w:r>
      <w:r w:rsidR="00347239">
        <w:rPr>
          <w:rFonts w:ascii="Times New Roman" w:eastAsiaTheme="minorEastAsia" w:hAnsi="Times New Roman" w:cs="Times New Roman"/>
          <w:sz w:val="24"/>
          <w:szCs w:val="24"/>
        </w:rPr>
        <w:tab/>
      </w:r>
      <w:r w:rsidR="00347239">
        <w:rPr>
          <w:rFonts w:ascii="Times New Roman" w:eastAsiaTheme="minorEastAsia" w:hAnsi="Times New Roman" w:cs="Times New Roman"/>
          <w:sz w:val="24"/>
          <w:szCs w:val="24"/>
        </w:rPr>
        <w:tab/>
        <w:t xml:space="preserve"> </w:t>
      </w:r>
      <w:r w:rsidR="00347239">
        <w:rPr>
          <w:rFonts w:ascii="Times New Roman" w:eastAsiaTheme="minorEastAsia" w:hAnsi="Times New Roman" w:cs="Times New Roman"/>
          <w:sz w:val="24"/>
          <w:szCs w:val="24"/>
        </w:rPr>
        <w:tab/>
        <w:t xml:space="preserve">    (16), (17)</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 xml:space="preserve">С помощью этого уравнения представляется возможным определить две возможные стоимости колл-опциона в момент времени 1, </w:t>
      </w:r>
      <w:r w:rsidRPr="0059449D">
        <w:rPr>
          <w:rFonts w:ascii="Times New Roman" w:hAnsi="Times New Roman" w:cs="Times New Roman"/>
          <w:sz w:val="24"/>
          <w:szCs w:val="24"/>
          <w:lang w:val="en-US"/>
        </w:rPr>
        <w:t>C</w:t>
      </w:r>
      <w:r w:rsidRPr="0059449D">
        <w:rPr>
          <w:rFonts w:ascii="Times New Roman" w:hAnsi="Times New Roman" w:cs="Times New Roman"/>
          <w:sz w:val="24"/>
          <w:szCs w:val="24"/>
          <w:vertAlign w:val="subscript"/>
          <w:lang w:val="en-US"/>
        </w:rPr>
        <w:t>u</w:t>
      </w:r>
      <w:r w:rsidRPr="0059449D">
        <w:rPr>
          <w:rFonts w:ascii="Times New Roman" w:hAnsi="Times New Roman" w:cs="Times New Roman"/>
          <w:sz w:val="24"/>
          <w:szCs w:val="24"/>
          <w:vertAlign w:val="subscript"/>
        </w:rPr>
        <w:t xml:space="preserve">  </w:t>
      </w:r>
      <w:r w:rsidRPr="0059449D">
        <w:rPr>
          <w:rFonts w:ascii="Times New Roman" w:hAnsi="Times New Roman" w:cs="Times New Roman"/>
          <w:sz w:val="24"/>
          <w:szCs w:val="24"/>
        </w:rPr>
        <w:t xml:space="preserve">и </w:t>
      </w:r>
      <w:r w:rsidRPr="0059449D">
        <w:rPr>
          <w:rFonts w:ascii="Times New Roman" w:hAnsi="Times New Roman" w:cs="Times New Roman"/>
          <w:sz w:val="24"/>
          <w:szCs w:val="24"/>
          <w:lang w:val="en-US"/>
        </w:rPr>
        <w:t>C</w:t>
      </w:r>
      <w:r w:rsidRPr="0059449D">
        <w:rPr>
          <w:rFonts w:ascii="Times New Roman" w:hAnsi="Times New Roman" w:cs="Times New Roman"/>
          <w:sz w:val="24"/>
          <w:szCs w:val="24"/>
          <w:vertAlign w:val="subscript"/>
          <w:lang w:val="en-US"/>
        </w:rPr>
        <w:t>d</w:t>
      </w:r>
      <w:r w:rsidRPr="0059449D">
        <w:rPr>
          <w:rFonts w:ascii="Times New Roman" w:hAnsi="Times New Roman" w:cs="Times New Roman"/>
          <w:sz w:val="24"/>
          <w:szCs w:val="24"/>
        </w:rPr>
        <w:t xml:space="preserve">, если стоимость базового </w:t>
      </w:r>
      <w:r w:rsidRPr="0059449D">
        <w:rPr>
          <w:rFonts w:ascii="Times New Roman" w:hAnsi="Times New Roman" w:cs="Times New Roman"/>
          <w:sz w:val="24"/>
          <w:szCs w:val="24"/>
        </w:rPr>
        <w:lastRenderedPageBreak/>
        <w:t xml:space="preserve">актива изменится за первый период с повышающим или понижающим коэффициентом и станет </w:t>
      </w:r>
      <w:r w:rsidRPr="0059449D">
        <w:rPr>
          <w:rFonts w:ascii="Times New Roman" w:hAnsi="Times New Roman" w:cs="Times New Roman"/>
          <w:sz w:val="24"/>
          <w:szCs w:val="24"/>
          <w:lang w:val="en-US"/>
        </w:rPr>
        <w:t>uS</w:t>
      </w:r>
      <w:r w:rsidRPr="0059449D">
        <w:rPr>
          <w:rFonts w:ascii="Times New Roman" w:hAnsi="Times New Roman" w:cs="Times New Roman"/>
          <w:sz w:val="24"/>
          <w:szCs w:val="24"/>
        </w:rPr>
        <w:t xml:space="preserve"> или </w:t>
      </w:r>
      <w:r w:rsidRPr="0059449D">
        <w:rPr>
          <w:rFonts w:ascii="Times New Roman" w:hAnsi="Times New Roman" w:cs="Times New Roman"/>
          <w:sz w:val="24"/>
          <w:szCs w:val="24"/>
          <w:lang w:val="en-US"/>
        </w:rPr>
        <w:t>dS</w:t>
      </w:r>
      <w:r w:rsidRPr="0059449D">
        <w:rPr>
          <w:rFonts w:ascii="Times New Roman" w:hAnsi="Times New Roman" w:cs="Times New Roman"/>
          <w:sz w:val="24"/>
          <w:szCs w:val="24"/>
        </w:rPr>
        <w:t xml:space="preserve"> соответственно</w:t>
      </w:r>
      <w:r w:rsidRPr="0059449D">
        <w:rPr>
          <w:rFonts w:ascii="Times New Roman" w:hAnsi="Times New Roman" w:cs="Times New Roman"/>
          <w:sz w:val="24"/>
          <w:szCs w:val="24"/>
          <w:vertAlign w:val="superscript"/>
        </w:rPr>
        <w:footnoteReference w:id="21"/>
      </w:r>
      <w:r w:rsidRPr="0059449D">
        <w:rPr>
          <w:rFonts w:ascii="Times New Roman" w:hAnsi="Times New Roman" w:cs="Times New Roman"/>
          <w:sz w:val="24"/>
          <w:szCs w:val="24"/>
        </w:rPr>
        <w:t>.</w:t>
      </w:r>
    </w:p>
    <w:p w:rsidR="0059449D" w:rsidRPr="0059449D" w:rsidRDefault="0059449D" w:rsidP="0059449D">
      <w:pPr>
        <w:spacing w:after="0" w:line="360" w:lineRule="auto"/>
        <w:ind w:firstLine="851"/>
        <w:jc w:val="both"/>
        <w:rPr>
          <w:rFonts w:ascii="Times New Roman" w:hAnsi="Times New Roman" w:cs="Times New Roman"/>
          <w:sz w:val="24"/>
          <w:szCs w:val="24"/>
        </w:rPr>
      </w:pPr>
      <w:r w:rsidRPr="0059449D">
        <w:rPr>
          <w:rFonts w:ascii="Times New Roman" w:hAnsi="Times New Roman" w:cs="Times New Roman"/>
          <w:sz w:val="24"/>
          <w:szCs w:val="24"/>
        </w:rPr>
        <w:t>Главным преимуществом является использование риск-нейтральной ставки, которая исключает любое отношение инвестора к риску</w:t>
      </w:r>
      <w:r w:rsidRPr="0059449D">
        <w:rPr>
          <w:rFonts w:ascii="Times New Roman" w:hAnsi="Times New Roman" w:cs="Times New Roman"/>
          <w:sz w:val="24"/>
          <w:szCs w:val="24"/>
          <w:vertAlign w:val="superscript"/>
        </w:rPr>
        <w:footnoteReference w:id="22"/>
      </w:r>
      <w:r w:rsidRPr="0059449D">
        <w:rPr>
          <w:rFonts w:ascii="Times New Roman" w:hAnsi="Times New Roman" w:cs="Times New Roman"/>
          <w:sz w:val="24"/>
          <w:szCs w:val="24"/>
        </w:rPr>
        <w:t xml:space="preserve">. Более того, в этой модели преодолены некоторые недостатки предыдущей, и ее можно использовать для оценки реальных опционов со сроком исполнения раньше установленного с учетом дивидендных выплат, что является его сходством с американским колл-опционом. </w:t>
      </w:r>
    </w:p>
    <w:p w:rsidR="002019B2" w:rsidRDefault="002019B2" w:rsidP="00C245D2">
      <w:pPr>
        <w:pStyle w:val="2"/>
        <w:jc w:val="both"/>
        <w:rPr>
          <w:rFonts w:ascii="Times New Roman" w:hAnsi="Times New Roman" w:cs="Times New Roman"/>
          <w:sz w:val="24"/>
          <w:szCs w:val="24"/>
        </w:rPr>
      </w:pPr>
    </w:p>
    <w:p w:rsidR="002019B2" w:rsidRDefault="002019B2" w:rsidP="00C245D2">
      <w:pPr>
        <w:pStyle w:val="2"/>
        <w:jc w:val="both"/>
        <w:rPr>
          <w:rFonts w:ascii="Times New Roman" w:hAnsi="Times New Roman" w:cs="Times New Roman"/>
          <w:sz w:val="24"/>
          <w:szCs w:val="24"/>
        </w:rPr>
      </w:pPr>
    </w:p>
    <w:p w:rsidR="002019B2" w:rsidRDefault="002019B2" w:rsidP="00C245D2">
      <w:pPr>
        <w:pStyle w:val="2"/>
        <w:jc w:val="both"/>
        <w:rPr>
          <w:rFonts w:ascii="Times New Roman" w:hAnsi="Times New Roman" w:cs="Times New Roman"/>
          <w:sz w:val="24"/>
          <w:szCs w:val="24"/>
        </w:rPr>
      </w:pPr>
    </w:p>
    <w:p w:rsidR="002019B2" w:rsidRDefault="002019B2" w:rsidP="00C245D2">
      <w:pPr>
        <w:pStyle w:val="2"/>
        <w:jc w:val="both"/>
        <w:rPr>
          <w:rFonts w:ascii="Times New Roman" w:hAnsi="Times New Roman" w:cs="Times New Roman"/>
          <w:sz w:val="24"/>
          <w:szCs w:val="24"/>
        </w:rPr>
      </w:pPr>
    </w:p>
    <w:p w:rsidR="002019B2" w:rsidRDefault="002019B2" w:rsidP="00C245D2">
      <w:pPr>
        <w:pStyle w:val="2"/>
        <w:jc w:val="both"/>
        <w:rPr>
          <w:rFonts w:ascii="Times New Roman" w:hAnsi="Times New Roman" w:cs="Times New Roman"/>
          <w:sz w:val="24"/>
          <w:szCs w:val="24"/>
        </w:rPr>
      </w:pPr>
    </w:p>
    <w:p w:rsidR="002019B2" w:rsidRDefault="002019B2">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6162C9" w:rsidRPr="00E82D69" w:rsidRDefault="006162C9" w:rsidP="00E82D69">
      <w:pPr>
        <w:pStyle w:val="2"/>
        <w:jc w:val="center"/>
        <w:rPr>
          <w:rFonts w:ascii="Times New Roman" w:hAnsi="Times New Roman" w:cs="Times New Roman"/>
          <w:sz w:val="28"/>
          <w:szCs w:val="24"/>
        </w:rPr>
      </w:pPr>
      <w:bookmarkStart w:id="23" w:name="_Toc450920837"/>
      <w:r w:rsidRPr="00E82D69">
        <w:rPr>
          <w:rFonts w:ascii="Times New Roman" w:hAnsi="Times New Roman" w:cs="Times New Roman"/>
          <w:sz w:val="28"/>
          <w:szCs w:val="24"/>
        </w:rPr>
        <w:lastRenderedPageBreak/>
        <w:t>Выводы к главе 2</w:t>
      </w:r>
      <w:bookmarkEnd w:id="23"/>
    </w:p>
    <w:p w:rsidR="006162C9" w:rsidRPr="00C245D2" w:rsidRDefault="006162C9" w:rsidP="00C245D2">
      <w:pPr>
        <w:jc w:val="both"/>
        <w:rPr>
          <w:rFonts w:ascii="Times New Roman" w:hAnsi="Times New Roman" w:cs="Times New Roman"/>
          <w:sz w:val="24"/>
          <w:szCs w:val="24"/>
        </w:rPr>
      </w:pPr>
    </w:p>
    <w:p w:rsidR="00043F49" w:rsidRPr="00C245D2" w:rsidRDefault="00043F49" w:rsidP="00043F49">
      <w:pPr>
        <w:pStyle w:val="21"/>
        <w:tabs>
          <w:tab w:val="center" w:pos="4677"/>
        </w:tabs>
        <w:spacing w:after="120"/>
        <w:ind w:left="0" w:firstLine="851"/>
        <w:jc w:val="both"/>
        <w:rPr>
          <w:sz w:val="24"/>
          <w:szCs w:val="24"/>
        </w:rPr>
      </w:pPr>
      <w:r>
        <w:rPr>
          <w:sz w:val="24"/>
          <w:szCs w:val="24"/>
        </w:rPr>
        <w:t>При оценке экономической эффективности инвестиционного проекта динамическими методами в</w:t>
      </w:r>
      <w:r w:rsidRPr="00C245D2">
        <w:rPr>
          <w:sz w:val="24"/>
          <w:szCs w:val="24"/>
        </w:rPr>
        <w:t xml:space="preserve">ыбор и формирование ставки дисконтирования является принципиальным моментом расчета, т.к. ее необоснованный выбор может существенно исказить результаты анализа и привести к ошибочному выводу. Существует пять различных подходов к методам обоснования ставки дисконта, каждый из которых соответствует специфическим характеристикам и исходным данным анализируемого проекта. </w:t>
      </w:r>
    </w:p>
    <w:p w:rsidR="00043F49" w:rsidRPr="00C245D2" w:rsidRDefault="00043F49" w:rsidP="00043F49">
      <w:pPr>
        <w:pStyle w:val="21"/>
        <w:tabs>
          <w:tab w:val="center" w:pos="4677"/>
        </w:tabs>
        <w:spacing w:after="120"/>
        <w:ind w:left="0" w:firstLine="851"/>
        <w:jc w:val="both"/>
        <w:rPr>
          <w:color w:val="000000"/>
          <w:sz w:val="24"/>
          <w:szCs w:val="24"/>
          <w:shd w:val="clear" w:color="auto" w:fill="FFFFFF"/>
        </w:rPr>
      </w:pPr>
      <w:r w:rsidRPr="00C245D2">
        <w:rPr>
          <w:sz w:val="24"/>
          <w:szCs w:val="24"/>
        </w:rPr>
        <w:t xml:space="preserve">Показатель NPV отражает возможное изменение экономического потенциала предприятия в случае принятия анализируемого инвестиционного проекта, то есть непосредственно измеряет вклад рассматриваемого проекта в стоимость компании. За счет свойства аддитивности метод </w:t>
      </w:r>
      <w:r w:rsidRPr="00C245D2">
        <w:rPr>
          <w:color w:val="000000"/>
          <w:sz w:val="24"/>
          <w:szCs w:val="24"/>
          <w:shd w:val="clear" w:color="auto" w:fill="FFFFFF"/>
        </w:rPr>
        <w:t xml:space="preserve">позволяет складывать значения по различным проектам и использовать суммарный показатель по проектам в целях оптимизации инвестиционного портфеля. </w:t>
      </w:r>
    </w:p>
    <w:p w:rsidR="00043F49" w:rsidRPr="00C245D2" w:rsidRDefault="00043F49" w:rsidP="00043F49">
      <w:pPr>
        <w:pStyle w:val="21"/>
        <w:tabs>
          <w:tab w:val="center" w:pos="4677"/>
        </w:tabs>
        <w:spacing w:after="120"/>
        <w:ind w:left="0" w:firstLine="851"/>
        <w:jc w:val="both"/>
        <w:rPr>
          <w:sz w:val="24"/>
          <w:szCs w:val="24"/>
        </w:rPr>
      </w:pPr>
      <w:r w:rsidRPr="00C245D2">
        <w:rPr>
          <w:sz w:val="24"/>
          <w:szCs w:val="24"/>
        </w:rPr>
        <w:t>Метод внутренней нормы доходности ориентирован на учет возможностей альтернативного вложения финансовых средств, поскольку он показывает не абсолютную эффективность проекта (для этого было бы достаточно неотрицательн</w:t>
      </w:r>
      <w:r>
        <w:rPr>
          <w:sz w:val="24"/>
          <w:szCs w:val="24"/>
        </w:rPr>
        <w:t>ой ставки IRR), а относительную, сравнение которой со стоимостью собственного и/или заемного капитала позволяет дать ответ на вопрос о прибыльности проекта. При этом является показателем запаса прочности проекта и позволяет сравнивать ИП с позиции риска.</w:t>
      </w:r>
    </w:p>
    <w:p w:rsidR="00043F49" w:rsidRPr="00C245D2" w:rsidRDefault="00043F49" w:rsidP="00043F49">
      <w:pPr>
        <w:pStyle w:val="21"/>
        <w:tabs>
          <w:tab w:val="center" w:pos="4677"/>
        </w:tabs>
        <w:spacing w:after="120"/>
        <w:ind w:left="0" w:firstLine="851"/>
        <w:jc w:val="both"/>
        <w:rPr>
          <w:sz w:val="24"/>
          <w:szCs w:val="24"/>
        </w:rPr>
      </w:pPr>
      <w:r w:rsidRPr="00C245D2">
        <w:rPr>
          <w:sz w:val="24"/>
          <w:szCs w:val="24"/>
        </w:rPr>
        <w:t>Критерий РI наиболее часто применяется при выборе одного проекта из ряда имеющих примерно одинаковые значения NPV, но разные суммы первоначальных инвестиций. Более целесообразным окажется тот, который обеспечивает большую доходность вложений. В связи с этим данный показатель позволяет ранжировать проекты при ограниченности финансовых ресурсов.</w:t>
      </w:r>
    </w:p>
    <w:p w:rsidR="00043F49" w:rsidRPr="00C245D2" w:rsidRDefault="00043F49" w:rsidP="00043F49">
      <w:pPr>
        <w:pStyle w:val="21"/>
        <w:tabs>
          <w:tab w:val="center" w:pos="4677"/>
        </w:tabs>
        <w:spacing w:after="120"/>
        <w:ind w:left="0" w:firstLine="851"/>
        <w:jc w:val="both"/>
        <w:rPr>
          <w:sz w:val="24"/>
          <w:szCs w:val="24"/>
        </w:rPr>
      </w:pPr>
      <w:r w:rsidRPr="00C245D2">
        <w:rPr>
          <w:sz w:val="24"/>
          <w:szCs w:val="24"/>
        </w:rPr>
        <w:t xml:space="preserve">Определение периода окупаемости зачастую является дополняющим шагом в ходе оценки проектов из-за своего главного недостатка – данный метод не учитывает денежные поступления за пределами срока окупаемости. Однако он позволяет сравнивать проекты с точки зрения ликвидности и риска – чем меньше срок окупаемости, тем выше ликвидность и ниже риски. </w:t>
      </w:r>
    </w:p>
    <w:p w:rsidR="00043F49" w:rsidRPr="00C245D2" w:rsidRDefault="00043F49" w:rsidP="00043F49">
      <w:pPr>
        <w:pStyle w:val="21"/>
        <w:tabs>
          <w:tab w:val="center" w:pos="4677"/>
        </w:tabs>
        <w:spacing w:after="120"/>
        <w:ind w:left="0" w:firstLine="851"/>
        <w:jc w:val="both"/>
        <w:rPr>
          <w:sz w:val="24"/>
          <w:szCs w:val="24"/>
        </w:rPr>
      </w:pPr>
      <w:r w:rsidRPr="00C245D2">
        <w:rPr>
          <w:sz w:val="24"/>
          <w:szCs w:val="24"/>
        </w:rPr>
        <w:t xml:space="preserve">На основе всех характеристик вышеупомянутых методов оценки эффективности инвестиционных проектов, несложно прийти к выводу, что каждый из них имеет как </w:t>
      </w:r>
      <w:r w:rsidRPr="00C245D2">
        <w:rPr>
          <w:sz w:val="24"/>
          <w:szCs w:val="24"/>
        </w:rPr>
        <w:lastRenderedPageBreak/>
        <w:t xml:space="preserve">положительные, так и отрицательные стороны, а также что каждый из них имеет свою сферу применения и наиболее точно описывает ту характеристику, для анализа которой он был выведен. Таким образом, наиболее достоверные результаты оценки даст комплексный анализ рассматриваемого проекта с учетом его специфических черт. </w:t>
      </w:r>
    </w:p>
    <w:p w:rsidR="00043F49" w:rsidRPr="00C245D2" w:rsidRDefault="00043F49" w:rsidP="00043F49">
      <w:pPr>
        <w:pStyle w:val="21"/>
        <w:tabs>
          <w:tab w:val="center" w:pos="4677"/>
        </w:tabs>
        <w:spacing w:after="120"/>
        <w:ind w:left="0" w:firstLine="851"/>
        <w:jc w:val="both"/>
        <w:rPr>
          <w:sz w:val="24"/>
          <w:szCs w:val="24"/>
        </w:rPr>
      </w:pPr>
      <w:r w:rsidRPr="00C245D2">
        <w:rPr>
          <w:sz w:val="24"/>
          <w:szCs w:val="24"/>
        </w:rPr>
        <w:t xml:space="preserve">Однако даже таким образом, результаты не будут всегда однозначны, ведь рассмотренные методы не учитывают количественно невыразимые факторы, влияющие на предприятие при реализации определенного проекта, например, немонетное воздействие  в виде рост престижа компании, повышение квалификации персонала, уменьшение процента брака, повышение технологичности и т.д. </w:t>
      </w:r>
    </w:p>
    <w:p w:rsidR="00043F49" w:rsidRPr="00C245D2" w:rsidRDefault="00043F49" w:rsidP="00043F49">
      <w:pPr>
        <w:pStyle w:val="21"/>
        <w:tabs>
          <w:tab w:val="center" w:pos="4677"/>
        </w:tabs>
        <w:spacing w:after="120"/>
        <w:ind w:left="0" w:firstLine="851"/>
        <w:jc w:val="both"/>
        <w:rPr>
          <w:sz w:val="24"/>
          <w:szCs w:val="24"/>
        </w:rPr>
      </w:pPr>
      <w:r w:rsidRPr="00C245D2">
        <w:rPr>
          <w:sz w:val="24"/>
          <w:szCs w:val="24"/>
        </w:rPr>
        <w:t>Помимо этого, следует принимать во внимание, что в современных рыночных условиях все хозяйствующие субъекты функционируют в условиях постоянной неопределенности и риска. Говоря о динамических методах оценки эффективности, частично учет риска происходит за счет ставки дисконта, однако в современной литературе приводится большое разн</w:t>
      </w:r>
      <w:r>
        <w:rPr>
          <w:sz w:val="24"/>
          <w:szCs w:val="24"/>
        </w:rPr>
        <w:t xml:space="preserve">ообразие методов оценки рисков. </w:t>
      </w:r>
    </w:p>
    <w:p w:rsidR="00043F49" w:rsidRPr="00043F49" w:rsidRDefault="00043F49" w:rsidP="00043F4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043F49">
        <w:rPr>
          <w:rFonts w:ascii="Times New Roman" w:hAnsi="Times New Roman" w:cs="Times New Roman"/>
          <w:sz w:val="24"/>
          <w:szCs w:val="24"/>
        </w:rPr>
        <w:t xml:space="preserve"> зависимости от ситуации конечный результат может отличаться как в положительную, так и в отрицательную сторону. Здесь следует различать понятия неопределённости и риска; ведь риск – это численно охарактеризованная мера неопределенности. Именно поэтому были рассмотрены методы, выявляющие и нивелирующие риск, так как избавиться от определённости на практике не представляется возможным.</w:t>
      </w:r>
    </w:p>
    <w:p w:rsidR="0024404A" w:rsidRPr="00C245D2" w:rsidRDefault="00043F49" w:rsidP="00043F49">
      <w:pPr>
        <w:spacing w:after="0" w:line="360" w:lineRule="auto"/>
        <w:ind w:firstLine="851"/>
        <w:jc w:val="both"/>
        <w:rPr>
          <w:rFonts w:ascii="Times New Roman" w:hAnsi="Times New Roman" w:cs="Times New Roman"/>
          <w:sz w:val="24"/>
          <w:szCs w:val="24"/>
        </w:rPr>
      </w:pPr>
      <w:r w:rsidRPr="00043F49">
        <w:rPr>
          <w:rFonts w:ascii="Times New Roman" w:hAnsi="Times New Roman" w:cs="Times New Roman"/>
          <w:sz w:val="24"/>
          <w:szCs w:val="24"/>
        </w:rPr>
        <w:t>К оценке рисков в современной э</w:t>
      </w:r>
      <w:r>
        <w:rPr>
          <w:rFonts w:ascii="Times New Roman" w:hAnsi="Times New Roman" w:cs="Times New Roman"/>
          <w:sz w:val="24"/>
          <w:szCs w:val="24"/>
        </w:rPr>
        <w:t xml:space="preserve">кономике существует два подхода: качественные и количественные. </w:t>
      </w:r>
      <w:r w:rsidR="0024404A" w:rsidRPr="00C245D2">
        <w:rPr>
          <w:rFonts w:ascii="Times New Roman" w:hAnsi="Times New Roman" w:cs="Times New Roman"/>
          <w:sz w:val="24"/>
          <w:szCs w:val="24"/>
        </w:rPr>
        <w:t>Такие способы оценки рисков как метод анализа уместности затрат и метод аналогий в большей степени подходит для оценки возможных сценариев срыва проекта и других потенциальных рисков, чем для количественного обоснования величины выделенного риска. Метод экспертных оценок дает числовое значение, однако его достоверность ставится под сомнение за счет субъективизма оценок, сформированных специалистами. Достоинствами оценки рисков при помощи качественных методов являются простота расчетов, отсутствие необходимости в точной информации и в применении компьютерной техники.</w:t>
      </w:r>
    </w:p>
    <w:p w:rsidR="0024404A" w:rsidRPr="00C245D2" w:rsidRDefault="0024404A" w:rsidP="00C245D2">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Анализ чувствительности позволяет определить возможные рамки изменения показателей эффективности в случае несоответствия фактических расчетных параметров спрогнозированным, а также рискованность проекта за счет изменения той или иной переменной. Однако на практике все экономические факторы зачастую тесно коррелированы и их воздействие проявляется взаимосвязано, а в рамках этого метода </w:t>
      </w:r>
      <w:r w:rsidRPr="00C245D2">
        <w:rPr>
          <w:rFonts w:ascii="Times New Roman" w:hAnsi="Times New Roman" w:cs="Times New Roman"/>
          <w:sz w:val="24"/>
          <w:szCs w:val="24"/>
        </w:rPr>
        <w:lastRenderedPageBreak/>
        <w:t xml:space="preserve">подразумевается, лишь один из параметров претерпевает изменение. Это является серьезным ограничением применения данного метода на практике. </w:t>
      </w:r>
    </w:p>
    <w:p w:rsidR="00752C6A" w:rsidRPr="00C245D2" w:rsidRDefault="0024404A" w:rsidP="00010815">
      <w:pPr>
        <w:pStyle w:val="11"/>
      </w:pPr>
      <w:r w:rsidRPr="00C245D2">
        <w:t>Касательно метода проверки устойчивости, как и в случае с анализом чувствительности, существуют проблематичность применения в отсутствии возможности проведения комплексного анализа в связи с тем, что лишь один показатель берется в расчет при высчитывании критических точек. Более того, в зависимости от стадии реализации проекта и полноты включения издержек в расчетные величины, данный анализ может быть некорректным.</w:t>
      </w:r>
    </w:p>
    <w:p w:rsidR="00680E90" w:rsidRDefault="0024404A" w:rsidP="00010815">
      <w:pPr>
        <w:pStyle w:val="11"/>
      </w:pPr>
      <w:r w:rsidRPr="00C245D2">
        <w:t xml:space="preserve">Суть метода сценариев, метода дерева решений и имитационного </w:t>
      </w:r>
      <w:r w:rsidR="00752C6A" w:rsidRPr="00C245D2">
        <w:t>моделирования</w:t>
      </w:r>
      <w:r w:rsidRPr="00C245D2">
        <w:t xml:space="preserve"> заключается в формировании сценариев, согласно которым мог</w:t>
      </w:r>
      <w:r w:rsidR="00752C6A" w:rsidRPr="00C245D2">
        <w:t>у</w:t>
      </w:r>
      <w:r w:rsidRPr="00C245D2">
        <w:t xml:space="preserve">т разворачиваться события в пределах горизонта планирования. Этим сценариям задаются вероятности и </w:t>
      </w:r>
      <w:r w:rsidR="00752C6A" w:rsidRPr="00C245D2">
        <w:t>рассчитывается</w:t>
      </w:r>
      <w:r w:rsidRPr="00C245D2">
        <w:t xml:space="preserve"> итоговый </w:t>
      </w:r>
      <w:r w:rsidR="00752C6A" w:rsidRPr="00C245D2">
        <w:t>результат</w:t>
      </w:r>
      <w:r w:rsidRPr="00C245D2">
        <w:t xml:space="preserve">. Первые два метода в силу трудоемкости расчетов не могут </w:t>
      </w:r>
      <w:r w:rsidR="00752C6A" w:rsidRPr="00C245D2">
        <w:t>рассмотреть</w:t>
      </w:r>
      <w:r w:rsidRPr="00C245D2">
        <w:t xml:space="preserve"> </w:t>
      </w:r>
      <w:r w:rsidR="00752C6A" w:rsidRPr="00C245D2">
        <w:t>достаточное множество</w:t>
      </w:r>
      <w:r w:rsidRPr="00C245D2">
        <w:t xml:space="preserve"> вариант</w:t>
      </w:r>
      <w:r w:rsidR="00752C6A" w:rsidRPr="00C245D2">
        <w:t>ов</w:t>
      </w:r>
      <w:r w:rsidRPr="00C245D2">
        <w:t xml:space="preserve"> ситуаций, однако эту проблему решает метод имитационного моделирова</w:t>
      </w:r>
      <w:r w:rsidR="00752C6A" w:rsidRPr="00C245D2">
        <w:t>ни</w:t>
      </w:r>
      <w:r w:rsidRPr="00C245D2">
        <w:t xml:space="preserve">я Монте-Карло. Если это ограничение получилось преодолеть, то проблему </w:t>
      </w:r>
      <w:r w:rsidR="00752C6A" w:rsidRPr="00C245D2">
        <w:t>субъективизма</w:t>
      </w:r>
      <w:r w:rsidRPr="00C245D2">
        <w:t xml:space="preserve"> в </w:t>
      </w:r>
      <w:r w:rsidR="00752C6A" w:rsidRPr="00C245D2">
        <w:t>расчётах</w:t>
      </w:r>
      <w:r w:rsidRPr="00C245D2">
        <w:t xml:space="preserve"> исключить не стало возможным. Все параметры модели все также экспертно подбираются в ручную. </w:t>
      </w:r>
    </w:p>
    <w:p w:rsidR="0059449D" w:rsidRPr="00C245D2" w:rsidRDefault="0059449D" w:rsidP="0059449D">
      <w:pPr>
        <w:spacing w:before="360"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Метод реальных опционов позволяет не только качественно, но и количественно измерить возможности, скрытые в реализуемом проекте. Именно величина и количество этих возможностей, а также затраты, с которыми столкнётся предприятие при осуществлении инвестиций в данные возможности, воздействуют на сумму стоимостей опционов конкретного инвестиционного проекта, и, соответственно, на стоимость и эффективность проекта. В случае непредвиденных трудностей появляется возможность нивелировать риски путем минимизации затрат и отложить проект, сократить его масштабы либо даже пойти на крайние меры и его ликвидировать.</w:t>
      </w:r>
    </w:p>
    <w:p w:rsidR="0059449D" w:rsidRPr="00C245D2" w:rsidRDefault="0059449D" w:rsidP="0059449D">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Главный ограничением модели Блека-Шоулза является допущение, что рассматриваемый нами ИП соответствует по условиям европейскому колл-опциону, в то время как в своем большинстве, реальные опционы – это американские опционы, которые реализуются до своего срока истечения, в ходе которых происходят выплаты дивидендов, а их базовый актив постоянно уменьшается (стоимость опциона падает по мере того, как исчезают неопределенности).</w:t>
      </w:r>
    </w:p>
    <w:p w:rsidR="0059449D" w:rsidRPr="00C245D2" w:rsidRDefault="0059449D" w:rsidP="0059449D">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Большой методической задачей является необходимость нахождения корректной дисперсии. Она может быть найдена исходя из предыдущих сходных проектов, осуществленных компанией, либо как дисперсию доходностей фирм, занимающихся в рамках тех областей, в которой реализуется ИП. Согласно модели, волатильность денежных </w:t>
      </w:r>
      <w:r w:rsidRPr="00C245D2">
        <w:rPr>
          <w:rFonts w:ascii="Times New Roman" w:hAnsi="Times New Roman" w:cs="Times New Roman"/>
          <w:sz w:val="24"/>
          <w:szCs w:val="24"/>
        </w:rPr>
        <w:lastRenderedPageBreak/>
        <w:t xml:space="preserve">потоков должна оставаться низменной в течение всего срока действия опциона, что на практике маловероятно. </w:t>
      </w:r>
    </w:p>
    <w:p w:rsidR="0059449D" w:rsidRPr="00C245D2" w:rsidRDefault="0059449D" w:rsidP="0059449D">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Не менее важной задачей является определение срока исполнения опциона ввиду такой выше обозначенной причины, как соответствие реального опциона европейскому колл-опциону. Возможно, выходом в этой ситуации может послужить расчет различных вариантов, в которых срок исполнения опциона меньше Т максимального. К тому же, если в примере с финансовым опционом его исполнение происходит мгновенно, то для нашего случая этот процесс может занять достаточно продолжительно время (например, при опционе на расширение – наращивание производства, покупка и освоение новых земель). </w:t>
      </w:r>
    </w:p>
    <w:p w:rsidR="0059449D" w:rsidRPr="00C245D2" w:rsidRDefault="0059449D" w:rsidP="0059449D">
      <w:pPr>
        <w:pStyle w:val="ad"/>
        <w:spacing w:after="0"/>
        <w:ind w:firstLine="851"/>
        <w:jc w:val="both"/>
      </w:pPr>
      <w:r w:rsidRPr="00C245D2">
        <w:t xml:space="preserve">Именно ввиду необходимости определения точного срока исполнения, основное применение модель Блэка-Шоулза находит в оценке опционов на отсрочку. Во всех остальных случаях предпочтительнее применение биномиальной модели, которая является гораздо более гибкой в оценке и позволяет найти стоимость опциона с более ранним сроком исполнения, что характерно для данных видов опционов. Так же, биномиальная модель является более наглядной и позволяет использовать риск-нейтральную ставку с единым значение на каждом узле принятия решения. Ограничением биномиальной модели является существование лишь двух вариантов развития событий в каждый период времени, когда на практике их, как правило, гораздо больше. </w:t>
      </w:r>
    </w:p>
    <w:p w:rsidR="0059449D" w:rsidRPr="00C245D2" w:rsidRDefault="0059449D" w:rsidP="0059449D">
      <w:pPr>
        <w:spacing w:after="0"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 xml:space="preserve">При большом количестве периодов (или узлов решетки/дерева), полученное значение стоимости опциона сближается с результатами метода Блека-Шоулза. </w:t>
      </w:r>
    </w:p>
    <w:p w:rsidR="0059449D" w:rsidRPr="00C245D2" w:rsidRDefault="0059449D" w:rsidP="0059449D">
      <w:pPr>
        <w:spacing w:line="360" w:lineRule="auto"/>
        <w:ind w:firstLine="851"/>
        <w:jc w:val="both"/>
        <w:rPr>
          <w:rFonts w:ascii="Times New Roman" w:hAnsi="Times New Roman" w:cs="Times New Roman"/>
          <w:sz w:val="24"/>
          <w:szCs w:val="24"/>
        </w:rPr>
      </w:pPr>
      <w:r w:rsidRPr="00C245D2">
        <w:rPr>
          <w:rFonts w:ascii="Times New Roman" w:hAnsi="Times New Roman" w:cs="Times New Roman"/>
          <w:sz w:val="24"/>
          <w:szCs w:val="24"/>
        </w:rPr>
        <w:t>На сегодняшний день существуют различные модификации рассмотренных моделей, однако, пока что, ни одна из них не позволяет разрешить все их недостатки.</w:t>
      </w:r>
      <w:r w:rsidR="00043F49">
        <w:rPr>
          <w:rFonts w:ascii="Times New Roman" w:hAnsi="Times New Roman" w:cs="Times New Roman"/>
          <w:sz w:val="24"/>
          <w:szCs w:val="24"/>
        </w:rPr>
        <w:t xml:space="preserve"> Однако именно</w:t>
      </w:r>
      <w:r w:rsidR="00043F49" w:rsidRPr="00043F49">
        <w:rPr>
          <w:rFonts w:ascii="Times New Roman" w:hAnsi="Times New Roman" w:cs="Times New Roman"/>
          <w:sz w:val="24"/>
          <w:szCs w:val="24"/>
        </w:rPr>
        <w:t xml:space="preserve"> метод реальных опционов – это наиболее прогрессивный метод анализа эффективности инвестиционных проектов на сегодняшний день.</w:t>
      </w:r>
    </w:p>
    <w:p w:rsidR="0039157D" w:rsidRPr="00C245D2" w:rsidRDefault="0039157D" w:rsidP="0059449D">
      <w:pPr>
        <w:pStyle w:val="2"/>
        <w:jc w:val="both"/>
        <w:rPr>
          <w:rFonts w:ascii="Times New Roman" w:hAnsi="Times New Roman" w:cs="Times New Roman"/>
          <w:sz w:val="24"/>
          <w:szCs w:val="24"/>
        </w:rPr>
      </w:pPr>
      <w:r w:rsidRPr="00C245D2">
        <w:rPr>
          <w:rFonts w:ascii="Times New Roman" w:hAnsi="Times New Roman" w:cs="Times New Roman"/>
          <w:sz w:val="24"/>
          <w:szCs w:val="24"/>
        </w:rPr>
        <w:br w:type="page"/>
      </w:r>
    </w:p>
    <w:p w:rsidR="00805291" w:rsidRPr="00805291" w:rsidRDefault="004E19AA" w:rsidP="004E19AA">
      <w:pPr>
        <w:pStyle w:val="1"/>
        <w:jc w:val="center"/>
      </w:pPr>
      <w:bookmarkStart w:id="24" w:name="_Toc450920838"/>
      <w:r>
        <w:lastRenderedPageBreak/>
        <w:t>Глава</w:t>
      </w:r>
      <w:r w:rsidR="00E82D69">
        <w:t xml:space="preserve"> 2. Применение методов оценки эффективности инвестиционных проектов и анализ рисков на конкретном примере</w:t>
      </w:r>
      <w:bookmarkEnd w:id="24"/>
    </w:p>
    <w:p w:rsidR="00805291" w:rsidRPr="00805291" w:rsidRDefault="00805291" w:rsidP="004E19AA">
      <w:pPr>
        <w:pStyle w:val="1"/>
        <w:jc w:val="center"/>
        <w:rPr>
          <w:rFonts w:ascii="Times New Roman" w:hAnsi="Times New Roman" w:cs="Times New Roman"/>
          <w:sz w:val="24"/>
        </w:rPr>
      </w:pPr>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Любая компания, деятельность которой затрагивает процесс инвестирования капитала, встречается с проблемой поиска объектов инвестирования и оценкой целесообразности этих капитальных вложений. Для этого используются многочисленные методики, самыми распространенными из которых является нахождение чистой приведенной стоимости, внутренней нормы рентабельности и другие традиционные методы определения экономической эффективности инвестиционного проекта.</w:t>
      </w:r>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Компания ПАО «Ленэнерго» не является исключением. Для этих целей содержится департамент инвестиций, включающий в себя как планово-экономический и производственно-технический отделы, так и отделы, занимающиеся пост анализом, консолидацией отчетности, анализом отчетов, присылаемых от филиалов предприятия.</w:t>
      </w:r>
    </w:p>
    <w:p w:rsidR="00805291" w:rsidRPr="004E19AA" w:rsidRDefault="004E19AA" w:rsidP="004E19AA">
      <w:pPr>
        <w:pStyle w:val="2"/>
        <w:jc w:val="center"/>
        <w:rPr>
          <w:sz w:val="28"/>
        </w:rPr>
      </w:pPr>
      <w:bookmarkStart w:id="25" w:name="_Toc445763065"/>
      <w:bookmarkStart w:id="26" w:name="_Toc450920839"/>
      <w:r>
        <w:rPr>
          <w:sz w:val="28"/>
        </w:rPr>
        <w:t>2</w:t>
      </w:r>
      <w:r w:rsidR="00805291" w:rsidRPr="004E19AA">
        <w:rPr>
          <w:sz w:val="28"/>
        </w:rPr>
        <w:t>.</w:t>
      </w:r>
      <w:r w:rsidRPr="004E19AA">
        <w:rPr>
          <w:sz w:val="28"/>
        </w:rPr>
        <w:t>1</w:t>
      </w:r>
      <w:r w:rsidR="00805291" w:rsidRPr="004E19AA">
        <w:rPr>
          <w:sz w:val="28"/>
        </w:rPr>
        <w:t xml:space="preserve"> Общие сведения о проекте</w:t>
      </w:r>
      <w:bookmarkEnd w:id="25"/>
      <w:bookmarkEnd w:id="26"/>
    </w:p>
    <w:p w:rsidR="00805291" w:rsidRPr="00805291" w:rsidRDefault="00805291" w:rsidP="004E19AA">
      <w:pPr>
        <w:spacing w:before="360" w:line="360" w:lineRule="auto"/>
        <w:ind w:firstLine="709"/>
        <w:rPr>
          <w:rFonts w:ascii="Times New Roman" w:hAnsi="Times New Roman" w:cs="Times New Roman"/>
          <w:sz w:val="24"/>
        </w:rPr>
      </w:pPr>
      <w:r w:rsidRPr="00805291">
        <w:rPr>
          <w:rFonts w:ascii="Times New Roman" w:hAnsi="Times New Roman" w:cs="Times New Roman"/>
          <w:sz w:val="24"/>
        </w:rPr>
        <w:t xml:space="preserve">Основными направлениями инвестиционной деятельности ПАО «Ленэнерго» являются следующие: техническое перевооружение и реконструкция, новое строительство и расширение. Рассматриваемый автором проект относится к первой группе и подразумевает </w:t>
      </w:r>
      <w:r w:rsidRPr="00805291">
        <w:rPr>
          <w:rFonts w:ascii="Times New Roman" w:eastAsia="Times New Roman" w:hAnsi="Times New Roman" w:cs="Times New Roman"/>
          <w:sz w:val="24"/>
          <w:szCs w:val="24"/>
          <w:lang w:eastAsia="ru-RU"/>
        </w:rPr>
        <w:t>реконструкцию и техническое перевооружение подстанции и линий электропередачи</w:t>
      </w:r>
      <w:r w:rsidRPr="00805291">
        <w:rPr>
          <w:rFonts w:ascii="Times New Roman" w:hAnsi="Times New Roman" w:cs="Times New Roman"/>
          <w:sz w:val="24"/>
        </w:rPr>
        <w:t xml:space="preserve">. Данный инвестиционный проект преследует следующие цели: </w:t>
      </w:r>
    </w:p>
    <w:p w:rsidR="00805291" w:rsidRPr="00805291" w:rsidRDefault="00805291" w:rsidP="00805291">
      <w:pPr>
        <w:numPr>
          <w:ilvl w:val="0"/>
          <w:numId w:val="24"/>
        </w:numPr>
        <w:spacing w:before="120" w:after="0" w:line="360" w:lineRule="auto"/>
        <w:ind w:left="709"/>
        <w:contextualSpacing/>
        <w:jc w:val="both"/>
        <w:rPr>
          <w:rFonts w:ascii="Times New Roman" w:hAnsi="Times New Roman" w:cs="Times New Roman"/>
          <w:sz w:val="24"/>
        </w:rPr>
      </w:pPr>
      <w:r w:rsidRPr="00805291">
        <w:rPr>
          <w:rFonts w:ascii="Times New Roman" w:hAnsi="Times New Roman" w:cs="Times New Roman"/>
          <w:sz w:val="24"/>
        </w:rPr>
        <w:t>предотвращение аварийных отключений оборудования;</w:t>
      </w:r>
    </w:p>
    <w:p w:rsidR="00805291" w:rsidRPr="00805291" w:rsidRDefault="00805291" w:rsidP="00805291">
      <w:pPr>
        <w:numPr>
          <w:ilvl w:val="0"/>
          <w:numId w:val="24"/>
        </w:numPr>
        <w:tabs>
          <w:tab w:val="num" w:pos="709"/>
        </w:tabs>
        <w:spacing w:before="120" w:after="0" w:line="360" w:lineRule="auto"/>
        <w:ind w:left="709"/>
        <w:contextualSpacing/>
        <w:jc w:val="both"/>
        <w:rPr>
          <w:rFonts w:ascii="Times New Roman" w:hAnsi="Times New Roman" w:cs="Times New Roman"/>
          <w:sz w:val="24"/>
        </w:rPr>
      </w:pPr>
      <w:r w:rsidRPr="00805291">
        <w:rPr>
          <w:rFonts w:ascii="Times New Roman" w:hAnsi="Times New Roman" w:cs="Times New Roman"/>
          <w:sz w:val="24"/>
        </w:rPr>
        <w:t>повышение надежности электроснабжения потребителей 1-ой и 2-ой категории (котельные,  школы, промышленные предприятия, больницы и д.р.);</w:t>
      </w:r>
    </w:p>
    <w:p w:rsidR="00805291" w:rsidRPr="00805291" w:rsidRDefault="00805291" w:rsidP="00805291">
      <w:pPr>
        <w:numPr>
          <w:ilvl w:val="0"/>
          <w:numId w:val="24"/>
        </w:numPr>
        <w:tabs>
          <w:tab w:val="num" w:pos="709"/>
        </w:tabs>
        <w:spacing w:before="120" w:after="0" w:line="360" w:lineRule="auto"/>
        <w:ind w:left="709"/>
        <w:contextualSpacing/>
        <w:jc w:val="both"/>
        <w:rPr>
          <w:rFonts w:ascii="Times New Roman" w:hAnsi="Times New Roman" w:cs="Times New Roman"/>
          <w:sz w:val="24"/>
        </w:rPr>
      </w:pPr>
      <w:r w:rsidRPr="00805291">
        <w:rPr>
          <w:rFonts w:ascii="Times New Roman" w:hAnsi="Times New Roman" w:cs="Times New Roman"/>
          <w:sz w:val="24"/>
        </w:rPr>
        <w:t xml:space="preserve">предотвращение недоотпуска электроэнергии в аварийной случаях. </w:t>
      </w:r>
    </w:p>
    <w:p w:rsidR="00805291" w:rsidRPr="00805291" w:rsidRDefault="00805291" w:rsidP="00805291">
      <w:pPr>
        <w:spacing w:before="120" w:after="0" w:line="360" w:lineRule="auto"/>
        <w:ind w:left="1788"/>
        <w:contextualSpacing/>
        <w:jc w:val="both"/>
        <w:rPr>
          <w:rFonts w:ascii="Times New Roman" w:hAnsi="Times New Roman" w:cs="Times New Roman"/>
          <w:sz w:val="24"/>
        </w:rPr>
      </w:pPr>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Техническим обоснованием реализации данного инвестиционного проекта являются следующие факторы:</w:t>
      </w:r>
    </w:p>
    <w:p w:rsidR="00805291" w:rsidRPr="00805291" w:rsidRDefault="00805291" w:rsidP="00805291">
      <w:pPr>
        <w:numPr>
          <w:ilvl w:val="0"/>
          <w:numId w:val="25"/>
        </w:numPr>
        <w:spacing w:line="360" w:lineRule="auto"/>
        <w:contextualSpacing/>
        <w:jc w:val="both"/>
        <w:rPr>
          <w:rFonts w:ascii="Times New Roman" w:eastAsia="Times New Roman" w:hAnsi="Times New Roman" w:cs="Times New Roman"/>
          <w:sz w:val="24"/>
          <w:szCs w:val="24"/>
          <w:lang w:eastAsia="ru-RU"/>
        </w:rPr>
      </w:pPr>
      <w:r w:rsidRPr="00805291">
        <w:rPr>
          <w:rFonts w:ascii="Times New Roman" w:eastAsia="Times New Roman" w:hAnsi="Times New Roman" w:cs="Times New Roman"/>
          <w:sz w:val="24"/>
          <w:szCs w:val="24"/>
          <w:lang w:eastAsia="ru-RU"/>
        </w:rPr>
        <w:t xml:space="preserve">Моральное и физическое старение оборудования ПС 110/35/10кВ №142 «Батово». Оборудование ПС 110/35/10кВ было введено в эксплуатацию в 1964г., при этом срок службы оборудования составляет 43 года. В связи с истечением нормативного срока службы оборудование ПС-110кВ имеет низкую надежность электроснабжения потребителей, высокую вероятность аварийных отключений оборудования и </w:t>
      </w:r>
      <w:r w:rsidRPr="00805291">
        <w:rPr>
          <w:rFonts w:ascii="Times New Roman" w:eastAsia="Times New Roman" w:hAnsi="Times New Roman" w:cs="Times New Roman"/>
          <w:sz w:val="24"/>
          <w:szCs w:val="24"/>
          <w:lang w:eastAsia="ru-RU"/>
        </w:rPr>
        <w:lastRenderedPageBreak/>
        <w:t>недоотпуска электроэнергии. Согласно данным бухгалтерского учёта, износ оборудования составляет 100%.</w:t>
      </w:r>
    </w:p>
    <w:p w:rsidR="00805291" w:rsidRPr="00805291" w:rsidRDefault="00805291" w:rsidP="00805291">
      <w:pPr>
        <w:numPr>
          <w:ilvl w:val="0"/>
          <w:numId w:val="25"/>
        </w:numPr>
        <w:spacing w:after="0" w:line="360" w:lineRule="auto"/>
        <w:contextualSpacing/>
        <w:jc w:val="both"/>
        <w:rPr>
          <w:rFonts w:ascii="Times New Roman" w:eastAsia="Times New Roman" w:hAnsi="Times New Roman" w:cs="Times New Roman"/>
          <w:sz w:val="24"/>
          <w:szCs w:val="24"/>
          <w:lang w:eastAsia="ru-RU"/>
        </w:rPr>
      </w:pPr>
      <w:r w:rsidRPr="00805291">
        <w:rPr>
          <w:rFonts w:ascii="Times New Roman" w:eastAsia="Times New Roman" w:hAnsi="Times New Roman" w:cs="Times New Roman"/>
          <w:sz w:val="24"/>
          <w:szCs w:val="24"/>
          <w:lang w:eastAsia="ru-RU"/>
        </w:rPr>
        <w:t>Существующая схема подключения подстанции по сети 110кВ является очень ненадежной, т.к. ПС «Батово» входит в транзит Гатчина-Луга и любые отключения линии Л-2 приводят к перегрузке второй цепи Лужского транзита. В период осенне-зимнего максимума при выводе одного трансформатора из работы на работающем трансформаторе нагрузка составляет 110%.</w:t>
      </w:r>
    </w:p>
    <w:p w:rsidR="00805291" w:rsidRPr="00805291" w:rsidRDefault="00805291" w:rsidP="00805291">
      <w:pPr>
        <w:numPr>
          <w:ilvl w:val="0"/>
          <w:numId w:val="25"/>
        </w:numPr>
        <w:spacing w:after="0" w:line="360" w:lineRule="auto"/>
        <w:contextualSpacing/>
        <w:jc w:val="both"/>
        <w:rPr>
          <w:rFonts w:ascii="Times New Roman" w:eastAsia="Times New Roman" w:hAnsi="Times New Roman" w:cs="Times New Roman"/>
          <w:sz w:val="24"/>
          <w:szCs w:val="24"/>
          <w:lang w:eastAsia="ru-RU"/>
        </w:rPr>
      </w:pPr>
      <w:r w:rsidRPr="00805291">
        <w:rPr>
          <w:rFonts w:ascii="Times New Roman" w:eastAsia="Times New Roman" w:hAnsi="Times New Roman" w:cs="Times New Roman"/>
          <w:sz w:val="24"/>
          <w:szCs w:val="24"/>
          <w:lang w:eastAsia="ru-RU"/>
        </w:rPr>
        <w:t>В настоящее время в связи с недостатком мощности невозможно присоединение новых потребителей.</w:t>
      </w:r>
    </w:p>
    <w:p w:rsidR="00805291" w:rsidRPr="00805291" w:rsidRDefault="00805291" w:rsidP="00805291">
      <w:pPr>
        <w:spacing w:after="0" w:line="360" w:lineRule="auto"/>
        <w:ind w:firstLine="708"/>
        <w:jc w:val="both"/>
        <w:rPr>
          <w:rFonts w:ascii="Times New Roman" w:eastAsia="Times New Roman" w:hAnsi="Times New Roman" w:cs="Times New Roman"/>
          <w:sz w:val="24"/>
          <w:szCs w:val="24"/>
          <w:lang w:eastAsia="ru-RU"/>
        </w:rPr>
      </w:pPr>
    </w:p>
    <w:p w:rsidR="00805291" w:rsidRPr="00805291" w:rsidRDefault="00805291" w:rsidP="00805291">
      <w:pPr>
        <w:spacing w:after="0" w:line="360" w:lineRule="auto"/>
        <w:ind w:firstLine="708"/>
        <w:jc w:val="both"/>
        <w:rPr>
          <w:rFonts w:ascii="Times New Roman" w:eastAsia="Times New Roman" w:hAnsi="Times New Roman" w:cs="Times New Roman"/>
          <w:sz w:val="24"/>
          <w:szCs w:val="24"/>
          <w:lang w:eastAsia="ru-RU"/>
        </w:rPr>
      </w:pPr>
      <w:r w:rsidRPr="00805291">
        <w:rPr>
          <w:rFonts w:ascii="Times New Roman" w:eastAsia="Times New Roman" w:hAnsi="Times New Roman" w:cs="Times New Roman"/>
          <w:sz w:val="24"/>
          <w:szCs w:val="24"/>
          <w:lang w:eastAsia="ru-RU"/>
        </w:rPr>
        <w:t>Реализация данного проекта вошла в «Программу первоочередных мер по недопущению дефицита мощности и повышению надежности энергоснабжения по Ленинградской области» (Соглашение между ОАО «Холдинг МРСК» и Правительством Ленинградской области.)</w:t>
      </w:r>
    </w:p>
    <w:p w:rsidR="00805291" w:rsidRPr="00805291" w:rsidRDefault="00805291" w:rsidP="00805291">
      <w:pPr>
        <w:spacing w:line="360" w:lineRule="auto"/>
        <w:ind w:firstLine="360"/>
        <w:rPr>
          <w:rFonts w:ascii="Times New Roman" w:eastAsia="Times New Roman" w:hAnsi="Times New Roman" w:cs="Times New Roman"/>
          <w:sz w:val="24"/>
          <w:szCs w:val="24"/>
          <w:lang w:eastAsia="ru-RU"/>
        </w:rPr>
      </w:pPr>
      <w:r w:rsidRPr="00805291">
        <w:rPr>
          <w:rFonts w:ascii="Times New Roman" w:eastAsia="Times New Roman" w:hAnsi="Times New Roman" w:cs="Times New Roman"/>
          <w:sz w:val="24"/>
          <w:szCs w:val="24"/>
          <w:lang w:eastAsia="ru-RU"/>
        </w:rPr>
        <w:t>Проект планируется реализовать на территории Гатчинского района Ленинградской области.</w:t>
      </w:r>
    </w:p>
    <w:p w:rsidR="00805291" w:rsidRPr="00805291" w:rsidRDefault="00805291" w:rsidP="00805291">
      <w:pPr>
        <w:spacing w:line="360" w:lineRule="auto"/>
        <w:ind w:firstLine="360"/>
        <w:rPr>
          <w:rFonts w:ascii="Times New Roman" w:eastAsia="Times New Roman" w:hAnsi="Times New Roman" w:cs="Times New Roman"/>
          <w:sz w:val="24"/>
          <w:szCs w:val="24"/>
          <w:lang w:eastAsia="ru-RU"/>
        </w:rPr>
      </w:pPr>
      <w:r w:rsidRPr="00805291">
        <w:rPr>
          <w:rFonts w:ascii="Times New Roman" w:eastAsia="Times New Roman" w:hAnsi="Times New Roman" w:cs="Times New Roman"/>
          <w:sz w:val="24"/>
          <w:szCs w:val="24"/>
          <w:lang w:eastAsia="ru-RU"/>
        </w:rPr>
        <w:t>Сроки выполнения проекта: 2008-2020 гг.</w:t>
      </w:r>
    </w:p>
    <w:p w:rsidR="00805291" w:rsidRPr="00805291" w:rsidRDefault="00805291" w:rsidP="00805291">
      <w:pPr>
        <w:spacing w:line="360" w:lineRule="auto"/>
        <w:ind w:firstLine="360"/>
        <w:rPr>
          <w:rFonts w:ascii="Times New Roman" w:eastAsia="Times New Roman" w:hAnsi="Times New Roman" w:cs="Times New Roman"/>
          <w:sz w:val="24"/>
          <w:szCs w:val="24"/>
          <w:lang w:eastAsia="ru-RU"/>
        </w:rPr>
      </w:pPr>
      <w:r w:rsidRPr="00805291">
        <w:rPr>
          <w:rFonts w:ascii="Times New Roman" w:eastAsia="Times New Roman" w:hAnsi="Times New Roman" w:cs="Times New Roman"/>
          <w:sz w:val="24"/>
          <w:szCs w:val="24"/>
          <w:lang w:eastAsia="ru-RU"/>
        </w:rPr>
        <w:t>Далее представлена структура инвестиционных затрат на реализацию проекта.</w:t>
      </w:r>
    </w:p>
    <w:p w:rsidR="00805291" w:rsidRPr="00805291" w:rsidRDefault="00805291" w:rsidP="00805291">
      <w:pPr>
        <w:spacing w:after="0" w:line="360" w:lineRule="auto"/>
        <w:ind w:firstLine="357"/>
        <w:jc w:val="right"/>
        <w:rPr>
          <w:rFonts w:ascii="Times New Roman" w:eastAsia="Times New Roman" w:hAnsi="Times New Roman" w:cs="Times New Roman"/>
          <w:sz w:val="24"/>
          <w:szCs w:val="24"/>
          <w:lang w:eastAsia="ru-RU"/>
        </w:rPr>
      </w:pPr>
      <w:r w:rsidRPr="00805291">
        <w:rPr>
          <w:rFonts w:ascii="Times New Roman" w:hAnsi="Times New Roman" w:cs="Times New Roman"/>
          <w:b/>
        </w:rPr>
        <w:t>Таблица 1. Структура инвестиционных затрат</w:t>
      </w:r>
      <w:r w:rsidR="00FE3398">
        <w:rPr>
          <w:rStyle w:val="a8"/>
          <w:rFonts w:ascii="Times New Roman" w:hAnsi="Times New Roman" w:cs="Times New Roman"/>
          <w:b/>
        </w:rPr>
        <w:footnoteReference w:id="23"/>
      </w:r>
    </w:p>
    <w:tbl>
      <w:tblPr>
        <w:tblStyle w:val="af6"/>
        <w:tblW w:w="5000" w:type="pct"/>
        <w:tblLook w:val="04A0" w:firstRow="1" w:lastRow="0" w:firstColumn="1" w:lastColumn="0" w:noHBand="0" w:noVBand="1"/>
      </w:tblPr>
      <w:tblGrid>
        <w:gridCol w:w="1527"/>
        <w:gridCol w:w="4457"/>
        <w:gridCol w:w="1720"/>
        <w:gridCol w:w="1651"/>
      </w:tblGrid>
      <w:tr w:rsidR="00805291" w:rsidRPr="00805291" w:rsidTr="0080529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jc w:val="center"/>
              <w:rPr>
                <w:rFonts w:ascii="Times New Roman" w:hAnsi="Times New Roman" w:cs="Times New Roman"/>
                <w:color w:val="000000"/>
              </w:rPr>
            </w:pPr>
            <w:r w:rsidRPr="00805291">
              <w:rPr>
                <w:rFonts w:ascii="Times New Roman" w:hAnsi="Times New Roman" w:cs="Times New Roman"/>
                <w:color w:val="000000"/>
              </w:rPr>
              <w:t>№ п/п</w:t>
            </w:r>
          </w:p>
        </w:tc>
        <w:tc>
          <w:tcPr>
            <w:tcW w:w="3010" w:type="pct"/>
            <w:noWrap/>
            <w:vAlign w:val="center"/>
            <w:hideMark/>
          </w:tcPr>
          <w:p w:rsidR="00805291" w:rsidRPr="00805291" w:rsidRDefault="00805291" w:rsidP="00805291">
            <w:pPr>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Наименование статьи затрат</w:t>
            </w:r>
          </w:p>
        </w:tc>
        <w:tc>
          <w:tcPr>
            <w:tcW w:w="728" w:type="pct"/>
            <w:noWrap/>
            <w:vAlign w:val="center"/>
            <w:hideMark/>
          </w:tcPr>
          <w:p w:rsidR="00805291" w:rsidRPr="00805291" w:rsidRDefault="00805291" w:rsidP="00805291">
            <w:pPr>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Ед.изм.</w:t>
            </w:r>
          </w:p>
        </w:tc>
        <w:tc>
          <w:tcPr>
            <w:tcW w:w="706" w:type="pct"/>
            <w:noWrap/>
            <w:vAlign w:val="center"/>
            <w:hideMark/>
          </w:tcPr>
          <w:p w:rsidR="00805291" w:rsidRPr="00805291" w:rsidRDefault="00805291" w:rsidP="00805291">
            <w:pPr>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Итого</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rPr>
                <w:rFonts w:ascii="Times New Roman" w:hAnsi="Times New Roman" w:cs="Times New Roman"/>
                <w:color w:val="000000"/>
              </w:rPr>
            </w:pPr>
            <w:r w:rsidRPr="00805291">
              <w:rPr>
                <w:rFonts w:ascii="Times New Roman" w:hAnsi="Times New Roman" w:cs="Times New Roman"/>
                <w:color w:val="000000"/>
              </w:rPr>
              <w:t>1.</w:t>
            </w:r>
          </w:p>
        </w:tc>
        <w:tc>
          <w:tcPr>
            <w:tcW w:w="3010" w:type="pct"/>
            <w:vAlign w:val="center"/>
            <w:hideMark/>
          </w:tcPr>
          <w:p w:rsidR="00805291" w:rsidRPr="00805291" w:rsidRDefault="00805291" w:rsidP="00805291">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805291">
              <w:rPr>
                <w:rFonts w:ascii="Times New Roman" w:hAnsi="Times New Roman" w:cs="Times New Roman"/>
                <w:bCs/>
              </w:rPr>
              <w:t>Инвестиционные затраты</w:t>
            </w:r>
          </w:p>
        </w:tc>
        <w:tc>
          <w:tcPr>
            <w:tcW w:w="728"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805291">
              <w:rPr>
                <w:rFonts w:ascii="Times New Roman" w:hAnsi="Times New Roman" w:cs="Times New Roman"/>
                <w:bCs/>
                <w:color w:val="000000"/>
              </w:rPr>
              <w:t>тыс.руб.</w:t>
            </w:r>
          </w:p>
        </w:tc>
        <w:tc>
          <w:tcPr>
            <w:tcW w:w="706"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796 262</w:t>
            </w:r>
          </w:p>
        </w:tc>
      </w:tr>
      <w:tr w:rsidR="00805291" w:rsidRPr="00805291" w:rsidTr="00805291">
        <w:trPr>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rPr>
                <w:rFonts w:ascii="Times New Roman" w:hAnsi="Times New Roman" w:cs="Times New Roman"/>
                <w:color w:val="000000"/>
              </w:rPr>
            </w:pPr>
            <w:r w:rsidRPr="00805291">
              <w:rPr>
                <w:rFonts w:ascii="Times New Roman" w:hAnsi="Times New Roman" w:cs="Times New Roman"/>
                <w:color w:val="000000"/>
              </w:rPr>
              <w:t>1.1</w:t>
            </w:r>
          </w:p>
        </w:tc>
        <w:tc>
          <w:tcPr>
            <w:tcW w:w="3010" w:type="pct"/>
            <w:vAlign w:val="center"/>
            <w:hideMark/>
          </w:tcPr>
          <w:p w:rsidR="00805291" w:rsidRPr="00805291" w:rsidRDefault="00805291" w:rsidP="00805291">
            <w:pPr>
              <w:ind w:left="720" w:firstLineChars="100" w:firstLine="2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Проектно-изыскательские работы</w:t>
            </w:r>
          </w:p>
        </w:tc>
        <w:tc>
          <w:tcPr>
            <w:tcW w:w="728" w:type="pct"/>
            <w:noWrap/>
            <w:vAlign w:val="center"/>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тыс.руб.</w:t>
            </w:r>
          </w:p>
        </w:tc>
        <w:tc>
          <w:tcPr>
            <w:tcW w:w="706" w:type="pct"/>
            <w:noWrap/>
            <w:vAlign w:val="center"/>
            <w:hideMark/>
          </w:tcPr>
          <w:p w:rsidR="00805291" w:rsidRPr="00805291" w:rsidRDefault="00805291" w:rsidP="00805291">
            <w:pPr>
              <w:widowControl w:val="0"/>
              <w:autoSpaceDE w:val="0"/>
              <w:autoSpaceDN w:val="0"/>
              <w:adjustRightInd w:val="0"/>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8"/>
              </w:rPr>
            </w:pPr>
            <w:r w:rsidRPr="00805291">
              <w:rPr>
                <w:rFonts w:ascii="Times New Roman" w:hAnsi="Times New Roman" w:cs="Times New Roman"/>
                <w:szCs w:val="28"/>
              </w:rPr>
              <w:t>79 211</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rPr>
                <w:rFonts w:ascii="Times New Roman" w:hAnsi="Times New Roman" w:cs="Times New Roman"/>
                <w:color w:val="000000"/>
              </w:rPr>
            </w:pPr>
            <w:r w:rsidRPr="00805291">
              <w:rPr>
                <w:rFonts w:ascii="Times New Roman" w:hAnsi="Times New Roman" w:cs="Times New Roman"/>
                <w:color w:val="000000"/>
              </w:rPr>
              <w:t>1.2</w:t>
            </w:r>
          </w:p>
        </w:tc>
        <w:tc>
          <w:tcPr>
            <w:tcW w:w="3010" w:type="pct"/>
            <w:vAlign w:val="center"/>
            <w:hideMark/>
          </w:tcPr>
          <w:p w:rsidR="00805291" w:rsidRPr="00805291" w:rsidRDefault="00805291" w:rsidP="00805291">
            <w:pPr>
              <w:ind w:left="720" w:firstLineChars="100" w:firstLine="2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Строительно-монтажные работы</w:t>
            </w:r>
          </w:p>
        </w:tc>
        <w:tc>
          <w:tcPr>
            <w:tcW w:w="728"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тыс.руб.</w:t>
            </w:r>
          </w:p>
        </w:tc>
        <w:tc>
          <w:tcPr>
            <w:tcW w:w="706" w:type="pct"/>
            <w:noWrap/>
            <w:vAlign w:val="center"/>
            <w:hideMark/>
          </w:tcPr>
          <w:p w:rsidR="00805291" w:rsidRPr="00805291" w:rsidRDefault="00805291" w:rsidP="00805291">
            <w:pPr>
              <w:widowControl w:val="0"/>
              <w:autoSpaceDE w:val="0"/>
              <w:autoSpaceDN w:val="0"/>
              <w:adjustRightInd w:val="0"/>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8"/>
              </w:rPr>
            </w:pPr>
            <w:r w:rsidRPr="00805291">
              <w:rPr>
                <w:rFonts w:ascii="Times New Roman" w:hAnsi="Times New Roman" w:cs="Times New Roman"/>
                <w:szCs w:val="28"/>
              </w:rPr>
              <w:t>258 493</w:t>
            </w:r>
          </w:p>
        </w:tc>
      </w:tr>
      <w:tr w:rsidR="00805291" w:rsidRPr="00805291" w:rsidTr="00805291">
        <w:trPr>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rPr>
                <w:rFonts w:ascii="Times New Roman" w:hAnsi="Times New Roman" w:cs="Times New Roman"/>
                <w:color w:val="000000"/>
              </w:rPr>
            </w:pPr>
            <w:r w:rsidRPr="00805291">
              <w:rPr>
                <w:rFonts w:ascii="Times New Roman" w:hAnsi="Times New Roman" w:cs="Times New Roman"/>
                <w:color w:val="000000"/>
              </w:rPr>
              <w:t>1.3</w:t>
            </w:r>
          </w:p>
        </w:tc>
        <w:tc>
          <w:tcPr>
            <w:tcW w:w="3010" w:type="pct"/>
            <w:vAlign w:val="center"/>
            <w:hideMark/>
          </w:tcPr>
          <w:p w:rsidR="00805291" w:rsidRPr="00805291" w:rsidRDefault="00805291" w:rsidP="00805291">
            <w:pPr>
              <w:ind w:left="720" w:firstLineChars="100" w:firstLine="2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Оборудование</w:t>
            </w:r>
          </w:p>
        </w:tc>
        <w:tc>
          <w:tcPr>
            <w:tcW w:w="728" w:type="pct"/>
            <w:noWrap/>
            <w:vAlign w:val="center"/>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тыс.руб.</w:t>
            </w:r>
          </w:p>
        </w:tc>
        <w:tc>
          <w:tcPr>
            <w:tcW w:w="706" w:type="pct"/>
            <w:noWrap/>
            <w:vAlign w:val="center"/>
            <w:hideMark/>
          </w:tcPr>
          <w:p w:rsidR="00805291" w:rsidRPr="00805291" w:rsidRDefault="00805291" w:rsidP="00805291">
            <w:pPr>
              <w:widowControl w:val="0"/>
              <w:autoSpaceDE w:val="0"/>
              <w:autoSpaceDN w:val="0"/>
              <w:adjustRightInd w:val="0"/>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8"/>
              </w:rPr>
            </w:pPr>
            <w:r w:rsidRPr="00805291">
              <w:rPr>
                <w:rFonts w:ascii="Times New Roman" w:hAnsi="Times New Roman" w:cs="Times New Roman"/>
                <w:szCs w:val="28"/>
              </w:rPr>
              <w:t>351 646</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rPr>
                <w:rFonts w:ascii="Times New Roman" w:hAnsi="Times New Roman" w:cs="Times New Roman"/>
                <w:color w:val="000000"/>
              </w:rPr>
            </w:pPr>
            <w:r w:rsidRPr="00805291">
              <w:rPr>
                <w:rFonts w:ascii="Times New Roman" w:hAnsi="Times New Roman" w:cs="Times New Roman"/>
                <w:color w:val="000000"/>
              </w:rPr>
              <w:t>1.4</w:t>
            </w:r>
          </w:p>
        </w:tc>
        <w:tc>
          <w:tcPr>
            <w:tcW w:w="3010" w:type="pct"/>
            <w:vAlign w:val="center"/>
            <w:hideMark/>
          </w:tcPr>
          <w:p w:rsidR="00805291" w:rsidRPr="00805291" w:rsidRDefault="00805291" w:rsidP="00805291">
            <w:pPr>
              <w:ind w:left="720" w:firstLineChars="100" w:firstLine="2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Здания и сооружения</w:t>
            </w:r>
          </w:p>
        </w:tc>
        <w:tc>
          <w:tcPr>
            <w:tcW w:w="728"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тыс.руб.</w:t>
            </w:r>
          </w:p>
        </w:tc>
        <w:tc>
          <w:tcPr>
            <w:tcW w:w="706"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05291" w:rsidRPr="00805291" w:rsidTr="00805291">
        <w:trPr>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rPr>
                <w:rFonts w:ascii="Times New Roman" w:hAnsi="Times New Roman" w:cs="Times New Roman"/>
                <w:color w:val="000000"/>
              </w:rPr>
            </w:pPr>
            <w:r w:rsidRPr="00805291">
              <w:rPr>
                <w:rFonts w:ascii="Times New Roman" w:hAnsi="Times New Roman" w:cs="Times New Roman"/>
                <w:color w:val="000000"/>
              </w:rPr>
              <w:t>1.5</w:t>
            </w:r>
          </w:p>
        </w:tc>
        <w:tc>
          <w:tcPr>
            <w:tcW w:w="3010" w:type="pct"/>
            <w:vAlign w:val="center"/>
            <w:hideMark/>
          </w:tcPr>
          <w:p w:rsidR="00805291" w:rsidRPr="00805291" w:rsidRDefault="00805291" w:rsidP="00805291">
            <w:pPr>
              <w:ind w:left="720" w:firstLineChars="100" w:firstLine="2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Получение разрешительной документации</w:t>
            </w:r>
          </w:p>
        </w:tc>
        <w:tc>
          <w:tcPr>
            <w:tcW w:w="728" w:type="pct"/>
            <w:noWrap/>
            <w:vAlign w:val="center"/>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тыс.руб.</w:t>
            </w:r>
          </w:p>
        </w:tc>
        <w:tc>
          <w:tcPr>
            <w:tcW w:w="706" w:type="pct"/>
            <w:noWrap/>
            <w:vAlign w:val="center"/>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rPr>
                <w:rFonts w:ascii="Times New Roman" w:hAnsi="Times New Roman" w:cs="Times New Roman"/>
                <w:color w:val="000000"/>
              </w:rPr>
            </w:pPr>
            <w:r w:rsidRPr="00805291">
              <w:rPr>
                <w:rFonts w:ascii="Times New Roman" w:hAnsi="Times New Roman" w:cs="Times New Roman"/>
                <w:color w:val="000000"/>
              </w:rPr>
              <w:t>1.6</w:t>
            </w:r>
          </w:p>
        </w:tc>
        <w:tc>
          <w:tcPr>
            <w:tcW w:w="3010" w:type="pct"/>
            <w:vAlign w:val="center"/>
            <w:hideMark/>
          </w:tcPr>
          <w:p w:rsidR="00805291" w:rsidRPr="00805291" w:rsidRDefault="00805291" w:rsidP="00805291">
            <w:pPr>
              <w:ind w:left="720" w:firstLineChars="100" w:firstLine="2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Пуско-наладочные работы</w:t>
            </w:r>
          </w:p>
        </w:tc>
        <w:tc>
          <w:tcPr>
            <w:tcW w:w="728"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тыс.руб.</w:t>
            </w:r>
          </w:p>
        </w:tc>
        <w:tc>
          <w:tcPr>
            <w:tcW w:w="706"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05291" w:rsidRPr="00805291" w:rsidTr="00805291">
        <w:trPr>
          <w:trHeight w:val="510"/>
        </w:trPr>
        <w:tc>
          <w:tcPr>
            <w:cnfStyle w:val="001000000000" w:firstRow="0" w:lastRow="0" w:firstColumn="1" w:lastColumn="0" w:oddVBand="0" w:evenVBand="0" w:oddHBand="0" w:evenHBand="0" w:firstRowFirstColumn="0" w:firstRowLastColumn="0" w:lastRowFirstColumn="0" w:lastRowLastColumn="0"/>
            <w:tcW w:w="556" w:type="pct"/>
            <w:noWrap/>
            <w:vAlign w:val="center"/>
            <w:hideMark/>
          </w:tcPr>
          <w:p w:rsidR="00805291" w:rsidRPr="00805291" w:rsidRDefault="00805291" w:rsidP="00805291">
            <w:pPr>
              <w:ind w:left="720"/>
              <w:contextualSpacing/>
              <w:rPr>
                <w:rFonts w:ascii="Times New Roman" w:hAnsi="Times New Roman" w:cs="Times New Roman"/>
                <w:color w:val="000000"/>
              </w:rPr>
            </w:pPr>
            <w:r w:rsidRPr="00805291">
              <w:rPr>
                <w:rFonts w:ascii="Times New Roman" w:hAnsi="Times New Roman" w:cs="Times New Roman"/>
                <w:color w:val="000000"/>
              </w:rPr>
              <w:t>1.7</w:t>
            </w:r>
          </w:p>
        </w:tc>
        <w:tc>
          <w:tcPr>
            <w:tcW w:w="3010" w:type="pct"/>
            <w:vAlign w:val="center"/>
            <w:hideMark/>
          </w:tcPr>
          <w:p w:rsidR="00805291" w:rsidRPr="00805291" w:rsidRDefault="00805291" w:rsidP="00805291">
            <w:pPr>
              <w:ind w:left="720" w:firstLineChars="100" w:firstLine="2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Прочие</w:t>
            </w:r>
          </w:p>
        </w:tc>
        <w:tc>
          <w:tcPr>
            <w:tcW w:w="728" w:type="pct"/>
            <w:noWrap/>
            <w:vAlign w:val="center"/>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тыс.руб.</w:t>
            </w:r>
          </w:p>
        </w:tc>
        <w:tc>
          <w:tcPr>
            <w:tcW w:w="706" w:type="pct"/>
            <w:noWrap/>
            <w:vAlign w:val="center"/>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106 912</w:t>
            </w:r>
          </w:p>
        </w:tc>
      </w:tr>
    </w:tbl>
    <w:p w:rsidR="00805291" w:rsidRPr="00805291" w:rsidRDefault="00805291" w:rsidP="00805291">
      <w:pPr>
        <w:spacing w:line="360" w:lineRule="auto"/>
        <w:ind w:firstLine="360"/>
        <w:rPr>
          <w:rFonts w:ascii="Times New Roman" w:hAnsi="Times New Roman" w:cs="Times New Roman"/>
          <w:sz w:val="24"/>
        </w:rPr>
      </w:pPr>
    </w:p>
    <w:p w:rsidR="004E19AA" w:rsidRDefault="00805291" w:rsidP="004E19AA">
      <w:pPr>
        <w:spacing w:line="360" w:lineRule="auto"/>
        <w:ind w:firstLine="360"/>
        <w:rPr>
          <w:rFonts w:ascii="Times New Roman" w:hAnsi="Times New Roman" w:cs="Times New Roman"/>
          <w:sz w:val="24"/>
        </w:rPr>
      </w:pPr>
      <w:r w:rsidRPr="00805291">
        <w:rPr>
          <w:rFonts w:ascii="Times New Roman" w:hAnsi="Times New Roman" w:cs="Times New Roman"/>
          <w:sz w:val="24"/>
        </w:rPr>
        <w:lastRenderedPageBreak/>
        <w:t>Исходя из этого, можно сделать вывод, что ИП «Реконструкция ПС «Батово»» является стратегическим в перечне направлений инвестиционной деятельности организации и несет в себе, как минимум, существенное социально-экономическое значение для развития программы стабильного обеспечения электроэнергией Гатчинского района Санкт-Петербурга. Финансовая привлекательность проекта будет установлена после расчета его экономической эффективности.</w:t>
      </w:r>
      <w:bookmarkStart w:id="27" w:name="_Toc445763076"/>
    </w:p>
    <w:p w:rsidR="00373CF7" w:rsidRPr="004E19AA" w:rsidRDefault="004E19AA" w:rsidP="004E19AA">
      <w:pPr>
        <w:pStyle w:val="2"/>
        <w:jc w:val="center"/>
        <w:rPr>
          <w:sz w:val="28"/>
        </w:rPr>
      </w:pPr>
      <w:bookmarkStart w:id="28" w:name="_Toc450920840"/>
      <w:r w:rsidRPr="004E19AA">
        <w:rPr>
          <w:sz w:val="28"/>
        </w:rPr>
        <w:t xml:space="preserve">2.2. </w:t>
      </w:r>
      <w:r w:rsidR="00373CF7" w:rsidRPr="004E19AA">
        <w:rPr>
          <w:sz w:val="28"/>
        </w:rPr>
        <w:t>Риски проекта</w:t>
      </w:r>
      <w:bookmarkEnd w:id="27"/>
      <w:bookmarkEnd w:id="28"/>
    </w:p>
    <w:p w:rsidR="00373CF7" w:rsidRPr="00805291" w:rsidRDefault="00373CF7" w:rsidP="004E19AA">
      <w:pPr>
        <w:spacing w:before="240" w:line="360" w:lineRule="auto"/>
        <w:ind w:firstLine="709"/>
        <w:rPr>
          <w:rFonts w:ascii="Times New Roman" w:hAnsi="Times New Roman" w:cs="Times New Roman"/>
          <w:sz w:val="24"/>
        </w:rPr>
      </w:pPr>
      <w:r w:rsidRPr="00805291">
        <w:rPr>
          <w:rFonts w:ascii="Times New Roman" w:hAnsi="Times New Roman" w:cs="Times New Roman"/>
          <w:sz w:val="24"/>
        </w:rPr>
        <w:t xml:space="preserve">Любому инвестиционному проекту, реализация которого запланирована в некотором будущем, свойственен риск. Для минимизации колебаний результатов расчета и уменьшения неопределенности анализу рисков следует уделить особенное внимание. Для этого могут использоваться качественные и количественные методы оценки рисков инвестиционных проектов. </w:t>
      </w:r>
    </w:p>
    <w:p w:rsidR="00373CF7" w:rsidRPr="008953D5" w:rsidRDefault="004E19AA" w:rsidP="00373CF7">
      <w:pPr>
        <w:keepNext/>
        <w:keepLines/>
        <w:spacing w:before="200" w:after="240"/>
        <w:outlineLvl w:val="1"/>
        <w:rPr>
          <w:rFonts w:asciiTheme="majorHAnsi" w:eastAsiaTheme="majorEastAsia" w:hAnsiTheme="majorHAnsi" w:cstheme="majorBidi"/>
          <w:b/>
          <w:bCs/>
          <w:color w:val="4F81BD" w:themeColor="accent1"/>
          <w:sz w:val="26"/>
          <w:szCs w:val="26"/>
        </w:rPr>
      </w:pPr>
      <w:bookmarkStart w:id="29" w:name="_Toc445763077"/>
      <w:bookmarkStart w:id="30" w:name="_Toc450920841"/>
      <w:r>
        <w:rPr>
          <w:rFonts w:asciiTheme="majorHAnsi" w:eastAsiaTheme="majorEastAsia" w:hAnsiTheme="majorHAnsi" w:cstheme="majorBidi"/>
          <w:b/>
          <w:color w:val="4F81BD" w:themeColor="accent1"/>
          <w:sz w:val="26"/>
          <w:szCs w:val="26"/>
        </w:rPr>
        <w:t>2.2</w:t>
      </w:r>
      <w:r w:rsidR="00373CF7" w:rsidRPr="00805291">
        <w:rPr>
          <w:rFonts w:asciiTheme="majorHAnsi" w:eastAsiaTheme="majorEastAsia" w:hAnsiTheme="majorHAnsi" w:cstheme="majorBidi"/>
          <w:b/>
          <w:color w:val="4F81BD" w:themeColor="accent1"/>
          <w:sz w:val="26"/>
          <w:szCs w:val="26"/>
        </w:rPr>
        <w:t>.</w:t>
      </w:r>
      <w:r w:rsidR="00373CF7" w:rsidRPr="00805291">
        <w:rPr>
          <w:rFonts w:asciiTheme="majorHAnsi" w:eastAsiaTheme="majorEastAsia" w:hAnsiTheme="majorHAnsi" w:cstheme="majorBidi"/>
          <w:b/>
          <w:bCs/>
          <w:color w:val="4F81BD" w:themeColor="accent1"/>
          <w:sz w:val="26"/>
          <w:szCs w:val="26"/>
        </w:rPr>
        <w:t>1. Качественные методы определения рисков ИП реконструкции ПС «Батово»</w:t>
      </w:r>
      <w:bookmarkEnd w:id="29"/>
      <w:bookmarkEnd w:id="30"/>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Среди методов качественной оценки рисков каждый имеет ограничения, не позволяющие однозначно определить величину риска. </w:t>
      </w: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Метод уместности затрат подразумевает построение перечня затрат, которые могут возникнуть в ходе реализации проекта при возникновении непредвиденных ситуаций. Однако подобным анализом могут заниматься лишь инженеры-проектировщики, занимающиеся оценкой инвестиционных затрат на стадии планирования и проектирования. Поэтому данный метод для анализа рисков в этой работе не рассматривается. </w:t>
      </w: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Второй метод – метод аналогий, требует близкого аналога для проведения параллелей и выявления возможных рисков и их величин. Однако адекватную величину он даст только лишь в случае повторяющихся проектов, а в инвестиционной программе «Ленэнерго» подобных аналогий не наблюдается: каждый новый проект расположен в уникальном месте, с уникальными исходными условиями технической разработки территории и требованиями безопасности, специфическим оборудованием и конечными целевыми нормами выдачи электроэнергии и мощностями. Исходя из этого, а так же того факта, что каждый новый проект – это не просто набор факторов риска, а их взаимодополняющая и взаимозависимая совокупность, данный метод также использован не будет. </w:t>
      </w: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lastRenderedPageBreak/>
        <w:t xml:space="preserve">Метод экспертных оценок может быть использован при определении перечня и величин риска при проведении анализа несколькими специалистами, чем мы на данный момент не располагаем. </w:t>
      </w: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На практике, единственный качественный анализ рисков, который действительно имеет место быть – это элементарный систематический анализ рисков, которые могли бы возникнуть в ходе реализации проекта. Подобный обзор рисков приходит с формированием категорий рисов и выглядит примерно следующим образом.</w:t>
      </w:r>
    </w:p>
    <w:p w:rsidR="00373CF7" w:rsidRPr="00805291" w:rsidRDefault="00373CF7" w:rsidP="00373CF7">
      <w:pPr>
        <w:keepNext/>
        <w:keepLines/>
        <w:spacing w:before="200" w:after="0"/>
        <w:outlineLvl w:val="2"/>
        <w:rPr>
          <w:rFonts w:asciiTheme="majorHAnsi" w:eastAsiaTheme="majorEastAsia" w:hAnsiTheme="majorHAnsi" w:cstheme="majorBidi"/>
          <w:b/>
          <w:bCs/>
          <w:color w:val="4F81BD" w:themeColor="accent1"/>
          <w:sz w:val="24"/>
        </w:rPr>
      </w:pPr>
      <w:bookmarkStart w:id="31" w:name="_Toc445763078"/>
      <w:bookmarkStart w:id="32" w:name="_Toc450920842"/>
      <w:r w:rsidRPr="00805291">
        <w:rPr>
          <w:rFonts w:asciiTheme="majorHAnsi" w:eastAsiaTheme="majorEastAsia" w:hAnsiTheme="majorHAnsi" w:cstheme="majorBidi"/>
          <w:b/>
          <w:bCs/>
          <w:color w:val="4F81BD" w:themeColor="accent1"/>
          <w:sz w:val="24"/>
        </w:rPr>
        <w:t>Маркетинговые риски</w:t>
      </w:r>
      <w:bookmarkEnd w:id="31"/>
      <w:bookmarkEnd w:id="32"/>
    </w:p>
    <w:p w:rsidR="00373CF7" w:rsidRPr="00805291" w:rsidRDefault="00373CF7" w:rsidP="00373CF7">
      <w:pPr>
        <w:contextualSpacing/>
      </w:pPr>
    </w:p>
    <w:p w:rsidR="00373CF7" w:rsidRPr="00805291" w:rsidRDefault="00373CF7" w:rsidP="00373CF7">
      <w:pPr>
        <w:spacing w:line="360" w:lineRule="auto"/>
        <w:ind w:firstLine="709"/>
        <w:rPr>
          <w:rFonts w:ascii="Times New Roman" w:hAnsi="Times New Roman" w:cs="Times New Roman"/>
          <w:sz w:val="24"/>
        </w:rPr>
      </w:pPr>
      <w:r w:rsidRPr="00805291">
        <w:rPr>
          <w:rFonts w:ascii="Times New Roman" w:hAnsi="Times New Roman" w:cs="Times New Roman"/>
          <w:sz w:val="24"/>
        </w:rPr>
        <w:t>К маркетинговым рискам относится риск недополучения прибыли в результате снижения объема реализации или снижения цены на услуги.</w:t>
      </w:r>
    </w:p>
    <w:p w:rsidR="00373CF7" w:rsidRPr="00805291" w:rsidRDefault="00373CF7" w:rsidP="00373CF7">
      <w:pPr>
        <w:spacing w:line="360" w:lineRule="auto"/>
        <w:ind w:firstLine="708"/>
        <w:rPr>
          <w:rFonts w:ascii="Times New Roman" w:hAnsi="Times New Roman" w:cs="Times New Roman"/>
          <w:sz w:val="24"/>
        </w:rPr>
      </w:pPr>
      <w:r w:rsidRPr="00805291">
        <w:rPr>
          <w:rFonts w:ascii="Times New Roman" w:hAnsi="Times New Roman" w:cs="Times New Roman"/>
          <w:sz w:val="24"/>
        </w:rPr>
        <w:t xml:space="preserve">Цена на услуги по технологическому присоединению к электрическим сетям по данному проекту принята в соответствии с постановлением Комитета по тарифам Санкт-Петербурга и Ленинградской области и является фиксированной. </w:t>
      </w:r>
    </w:p>
    <w:p w:rsidR="00373CF7" w:rsidRPr="00805291" w:rsidRDefault="00373CF7" w:rsidP="00373CF7">
      <w:pPr>
        <w:spacing w:line="360" w:lineRule="auto"/>
        <w:ind w:firstLine="708"/>
        <w:rPr>
          <w:rFonts w:ascii="Times New Roman" w:hAnsi="Times New Roman" w:cs="Times New Roman"/>
          <w:sz w:val="24"/>
        </w:rPr>
      </w:pPr>
      <w:r w:rsidRPr="00805291">
        <w:rPr>
          <w:rFonts w:ascii="Times New Roman" w:hAnsi="Times New Roman" w:cs="Times New Roman"/>
          <w:sz w:val="24"/>
        </w:rPr>
        <w:t xml:space="preserve">Цена на услуги по передаче электроэнергии определяется в соответствии с моделью регулирования доходности инвестированного капитала (приказ Федеральной службы по тарифам от 30 марта 2012 г. №228-э). Риски изменения цены на данные услуги связаны с развивающимся регулированием и конфигурацией сетевого сектора. Тарифы на передачу электрической энергии, сохраняя «политическую составляющую» влечет за собой наличие риска пересмотра темпа роста тарифов и, как следствие, изменение показателей выручки Общества, изменение объема доступных источников для инвестирования. При этом есть вероятность, что решения регулирующих органов в отношении Общества по прежнему будут учитывать стратегическую значимость компании для Северо-Запада России и с учетом этого формировать новые тарифные величины, соответствующие минимальным, необходимым для завершения реализации инвестиционных программ. </w:t>
      </w:r>
    </w:p>
    <w:p w:rsidR="00373CF7" w:rsidRPr="00805291" w:rsidRDefault="00373CF7" w:rsidP="00373CF7">
      <w:pPr>
        <w:spacing w:line="360" w:lineRule="auto"/>
        <w:ind w:firstLine="708"/>
        <w:rPr>
          <w:rFonts w:ascii="Times New Roman" w:hAnsi="Times New Roman" w:cs="Times New Roman"/>
          <w:sz w:val="24"/>
        </w:rPr>
      </w:pPr>
      <w:r w:rsidRPr="00805291">
        <w:rPr>
          <w:rFonts w:ascii="Times New Roman" w:hAnsi="Times New Roman" w:cs="Times New Roman"/>
          <w:sz w:val="24"/>
        </w:rPr>
        <w:t>Вероятность снижения объема реализации услуг по передаче электроэнергии в территориальных зонах электросетевого комплекса, охватываемых данным проектом, компенсируется за счет удовлетворения потребностей новых и перспективных абонентов. Принятые по проекту объемы оказания услуг по технологическому присоединению абонентов к электрическим сетям соответствует заключенным договорам, принятым заявкам и прогнозным темпам роста экономики региона.</w:t>
      </w:r>
    </w:p>
    <w:p w:rsidR="00373CF7" w:rsidRPr="00805291" w:rsidRDefault="00373CF7" w:rsidP="00373CF7">
      <w:pPr>
        <w:keepNext/>
        <w:keepLines/>
        <w:spacing w:before="200" w:after="0"/>
        <w:outlineLvl w:val="2"/>
        <w:rPr>
          <w:rFonts w:asciiTheme="majorHAnsi" w:eastAsiaTheme="majorEastAsia" w:hAnsiTheme="majorHAnsi" w:cstheme="majorBidi"/>
          <w:b/>
          <w:bCs/>
          <w:color w:val="4F81BD" w:themeColor="accent1"/>
          <w:sz w:val="24"/>
        </w:rPr>
      </w:pPr>
      <w:bookmarkStart w:id="33" w:name="_Toc445763079"/>
      <w:bookmarkStart w:id="34" w:name="_Toc450920843"/>
      <w:r w:rsidRPr="00805291">
        <w:rPr>
          <w:rFonts w:asciiTheme="majorHAnsi" w:eastAsiaTheme="majorEastAsia" w:hAnsiTheme="majorHAnsi" w:cstheme="majorBidi"/>
          <w:b/>
          <w:bCs/>
          <w:color w:val="4F81BD" w:themeColor="accent1"/>
          <w:sz w:val="24"/>
        </w:rPr>
        <w:lastRenderedPageBreak/>
        <w:t>Риск несоблюдения графика и превышения бюджета проекта</w:t>
      </w:r>
      <w:bookmarkEnd w:id="33"/>
      <w:bookmarkEnd w:id="34"/>
    </w:p>
    <w:p w:rsidR="00373CF7" w:rsidRPr="00805291" w:rsidRDefault="00373CF7" w:rsidP="00373CF7"/>
    <w:p w:rsidR="00373CF7" w:rsidRPr="00805291" w:rsidRDefault="00373CF7" w:rsidP="00373CF7">
      <w:pPr>
        <w:spacing w:line="360" w:lineRule="auto"/>
        <w:rPr>
          <w:rFonts w:ascii="Times New Roman" w:hAnsi="Times New Roman" w:cs="Times New Roman"/>
          <w:sz w:val="24"/>
          <w:szCs w:val="24"/>
        </w:rPr>
      </w:pPr>
      <w:r w:rsidRPr="00805291">
        <w:rPr>
          <w:rFonts w:ascii="Times New Roman" w:hAnsi="Times New Roman" w:cs="Times New Roman"/>
          <w:sz w:val="24"/>
          <w:szCs w:val="24"/>
        </w:rPr>
        <w:t>В числе возможных объективных причин возникновения данных рисков следует назвать:</w:t>
      </w:r>
    </w:p>
    <w:p w:rsidR="00373CF7" w:rsidRPr="00805291" w:rsidRDefault="00373CF7" w:rsidP="00373CF7">
      <w:pPr>
        <w:numPr>
          <w:ilvl w:val="0"/>
          <w:numId w:val="29"/>
        </w:numPr>
        <w:spacing w:line="360" w:lineRule="auto"/>
        <w:contextualSpacing/>
        <w:rPr>
          <w:rFonts w:ascii="Times New Roman" w:hAnsi="Times New Roman" w:cs="Times New Roman"/>
          <w:sz w:val="24"/>
          <w:szCs w:val="24"/>
        </w:rPr>
      </w:pPr>
      <w:r w:rsidRPr="00805291">
        <w:rPr>
          <w:rFonts w:ascii="Times New Roman" w:hAnsi="Times New Roman" w:cs="Times New Roman"/>
          <w:sz w:val="24"/>
          <w:szCs w:val="24"/>
        </w:rPr>
        <w:t>возможное изменение нормативных документов, технических и административных регламентов, определяющих основные требования к составу, порядку реконструкции подстанции, а также регулирующих вопросы следующей эксплуатации;</w:t>
      </w:r>
    </w:p>
    <w:p w:rsidR="00373CF7" w:rsidRPr="00805291" w:rsidRDefault="00373CF7" w:rsidP="00373CF7">
      <w:pPr>
        <w:numPr>
          <w:ilvl w:val="0"/>
          <w:numId w:val="29"/>
        </w:numPr>
        <w:spacing w:line="360" w:lineRule="auto"/>
        <w:contextualSpacing/>
        <w:rPr>
          <w:rFonts w:ascii="Times New Roman" w:hAnsi="Times New Roman" w:cs="Times New Roman"/>
          <w:sz w:val="24"/>
          <w:szCs w:val="24"/>
        </w:rPr>
      </w:pPr>
      <w:r w:rsidRPr="00805291">
        <w:rPr>
          <w:rFonts w:ascii="Times New Roman" w:hAnsi="Times New Roman" w:cs="Times New Roman"/>
          <w:sz w:val="24"/>
          <w:szCs w:val="24"/>
        </w:rPr>
        <w:t>внесение административными и муниципальными органами изменений в документы градостроительного характера, влекущие за собой отмену ранее выданных разрешений, согласованной исходно-разрешительной документации;</w:t>
      </w:r>
    </w:p>
    <w:p w:rsidR="00373CF7" w:rsidRPr="00805291" w:rsidRDefault="00373CF7" w:rsidP="00373CF7">
      <w:pPr>
        <w:numPr>
          <w:ilvl w:val="0"/>
          <w:numId w:val="29"/>
        </w:numPr>
        <w:spacing w:line="360" w:lineRule="auto"/>
        <w:contextualSpacing/>
        <w:rPr>
          <w:rFonts w:ascii="Times New Roman" w:hAnsi="Times New Roman" w:cs="Times New Roman"/>
          <w:sz w:val="24"/>
          <w:szCs w:val="24"/>
        </w:rPr>
      </w:pPr>
      <w:r w:rsidRPr="00805291">
        <w:rPr>
          <w:rFonts w:ascii="Times New Roman" w:hAnsi="Times New Roman" w:cs="Times New Roman"/>
          <w:sz w:val="24"/>
          <w:szCs w:val="24"/>
        </w:rPr>
        <w:t>отсутствие земли для коридора прохождения линий электро-передач и для расположения подстанции по факту относительно проработанных на стадии проектирования вариантов;</w:t>
      </w:r>
    </w:p>
    <w:p w:rsidR="00373CF7" w:rsidRPr="00805291" w:rsidRDefault="00373CF7" w:rsidP="00373CF7">
      <w:pPr>
        <w:numPr>
          <w:ilvl w:val="0"/>
          <w:numId w:val="29"/>
        </w:numPr>
        <w:spacing w:line="360" w:lineRule="auto"/>
        <w:contextualSpacing/>
        <w:rPr>
          <w:rFonts w:ascii="Times New Roman" w:hAnsi="Times New Roman" w:cs="Times New Roman"/>
          <w:sz w:val="24"/>
          <w:szCs w:val="24"/>
        </w:rPr>
      </w:pPr>
      <w:r w:rsidRPr="00805291">
        <w:rPr>
          <w:rFonts w:ascii="Times New Roman" w:hAnsi="Times New Roman" w:cs="Times New Roman"/>
          <w:sz w:val="24"/>
          <w:szCs w:val="24"/>
        </w:rPr>
        <w:t>длительное согласование коридоров линий электропередач, находящихся на густонаселенных территориях с большим количеством рекреационных зон (лесопарковых зонах с особым режимом обращения).</w:t>
      </w: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Данные риски могут привести к увеличению сроков реализации проекта и изменению трасс прохождения линий электропередач и местоположения подстанции. Как следствие, возможно отклонение от расчетной стоимости проекта в сторону увеличения. </w:t>
      </w: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В числе субъективных причин (связанных с действиями участников проекта) – возможность возникновения дефектов выполнения работ, вызванных нарушениями подрядчиками технологии производства работ, и связанная с этим необходимость их устранения, влекущая увеличение сроков выполнения работ. В качестве возможных мер по минимизации данных рисков следует назвать:</w:t>
      </w:r>
    </w:p>
    <w:p w:rsidR="00373CF7" w:rsidRPr="00805291" w:rsidRDefault="00373CF7" w:rsidP="00373CF7">
      <w:pPr>
        <w:numPr>
          <w:ilvl w:val="0"/>
          <w:numId w:val="30"/>
        </w:numPr>
        <w:spacing w:line="360" w:lineRule="auto"/>
        <w:contextualSpacing/>
        <w:rPr>
          <w:rFonts w:ascii="Times New Roman" w:hAnsi="Times New Roman" w:cs="Times New Roman"/>
          <w:sz w:val="24"/>
          <w:szCs w:val="24"/>
        </w:rPr>
      </w:pPr>
      <w:r w:rsidRPr="00805291">
        <w:rPr>
          <w:rFonts w:ascii="Times New Roman" w:hAnsi="Times New Roman" w:cs="Times New Roman"/>
          <w:sz w:val="24"/>
          <w:szCs w:val="24"/>
        </w:rPr>
        <w:t>страхование строительно-монтажных рисков;</w:t>
      </w:r>
    </w:p>
    <w:p w:rsidR="00373CF7" w:rsidRPr="00805291" w:rsidRDefault="00373CF7" w:rsidP="00373CF7">
      <w:pPr>
        <w:numPr>
          <w:ilvl w:val="0"/>
          <w:numId w:val="30"/>
        </w:numPr>
        <w:spacing w:line="360" w:lineRule="auto"/>
        <w:contextualSpacing/>
        <w:rPr>
          <w:rFonts w:ascii="Times New Roman" w:hAnsi="Times New Roman" w:cs="Times New Roman"/>
          <w:sz w:val="24"/>
          <w:szCs w:val="24"/>
        </w:rPr>
      </w:pPr>
      <w:r w:rsidRPr="00805291">
        <w:rPr>
          <w:rFonts w:ascii="Times New Roman" w:hAnsi="Times New Roman" w:cs="Times New Roman"/>
          <w:sz w:val="24"/>
          <w:szCs w:val="24"/>
        </w:rPr>
        <w:t>предусмотрение в составе договора подряда особых условий в виде штрафных санкций за срыв сроков выполнения строительно-монтажных работ в объеме, сопоставимом с убытками инициатора проекта, вызванными данным фактором;</w:t>
      </w:r>
    </w:p>
    <w:p w:rsidR="00373CF7" w:rsidRDefault="00373CF7" w:rsidP="00373CF7">
      <w:pPr>
        <w:numPr>
          <w:ilvl w:val="0"/>
          <w:numId w:val="30"/>
        </w:numPr>
        <w:spacing w:after="360" w:line="360" w:lineRule="auto"/>
        <w:ind w:left="714" w:hanging="357"/>
        <w:contextualSpacing/>
        <w:rPr>
          <w:rFonts w:ascii="Times New Roman" w:hAnsi="Times New Roman" w:cs="Times New Roman"/>
          <w:sz w:val="24"/>
          <w:szCs w:val="24"/>
        </w:rPr>
      </w:pPr>
      <w:r w:rsidRPr="00805291">
        <w:rPr>
          <w:rFonts w:ascii="Times New Roman" w:hAnsi="Times New Roman" w:cs="Times New Roman"/>
          <w:sz w:val="24"/>
          <w:szCs w:val="24"/>
        </w:rPr>
        <w:t xml:space="preserve">выполнение технического надзора силами специализированных подразделений заказчика (инициатора проекта) в течение хода реализации фазы строительства. </w:t>
      </w:r>
    </w:p>
    <w:p w:rsidR="00373CF7" w:rsidRPr="00805291" w:rsidRDefault="00373CF7" w:rsidP="00373CF7">
      <w:pPr>
        <w:spacing w:after="360" w:line="360" w:lineRule="auto"/>
        <w:contextualSpacing/>
        <w:rPr>
          <w:rFonts w:ascii="Times New Roman" w:hAnsi="Times New Roman" w:cs="Times New Roman"/>
          <w:sz w:val="24"/>
          <w:szCs w:val="24"/>
        </w:rPr>
      </w:pPr>
    </w:p>
    <w:p w:rsidR="00043F49" w:rsidRDefault="00373CF7" w:rsidP="00373CF7">
      <w:pPr>
        <w:keepNext/>
        <w:keepLines/>
        <w:spacing w:before="360" w:after="0"/>
        <w:outlineLvl w:val="2"/>
        <w:rPr>
          <w:rFonts w:asciiTheme="majorHAnsi" w:eastAsiaTheme="majorEastAsia" w:hAnsiTheme="majorHAnsi" w:cstheme="majorBidi"/>
          <w:b/>
          <w:bCs/>
          <w:color w:val="4F81BD" w:themeColor="accent1"/>
          <w:sz w:val="24"/>
        </w:rPr>
      </w:pPr>
      <w:bookmarkStart w:id="35" w:name="_Toc445763080"/>
      <w:r w:rsidRPr="00805291">
        <w:rPr>
          <w:rFonts w:asciiTheme="majorHAnsi" w:eastAsiaTheme="majorEastAsia" w:hAnsiTheme="majorHAnsi" w:cstheme="majorBidi"/>
          <w:b/>
          <w:bCs/>
          <w:color w:val="4F81BD" w:themeColor="accent1"/>
          <w:sz w:val="24"/>
        </w:rPr>
        <w:lastRenderedPageBreak/>
        <w:t xml:space="preserve"> </w:t>
      </w:r>
    </w:p>
    <w:p w:rsidR="00373CF7" w:rsidRPr="00805291" w:rsidRDefault="00373CF7" w:rsidP="00373CF7">
      <w:pPr>
        <w:keepNext/>
        <w:keepLines/>
        <w:spacing w:before="360" w:after="0"/>
        <w:outlineLvl w:val="2"/>
        <w:rPr>
          <w:rFonts w:asciiTheme="majorHAnsi" w:eastAsiaTheme="majorEastAsia" w:hAnsiTheme="majorHAnsi" w:cstheme="majorBidi"/>
          <w:b/>
          <w:bCs/>
          <w:color w:val="4F81BD" w:themeColor="accent1"/>
          <w:sz w:val="24"/>
        </w:rPr>
      </w:pPr>
      <w:bookmarkStart w:id="36" w:name="_Toc450920844"/>
      <w:r w:rsidRPr="00805291">
        <w:rPr>
          <w:rFonts w:asciiTheme="majorHAnsi" w:eastAsiaTheme="majorEastAsia" w:hAnsiTheme="majorHAnsi" w:cstheme="majorBidi"/>
          <w:b/>
          <w:bCs/>
          <w:color w:val="4F81BD" w:themeColor="accent1"/>
          <w:sz w:val="24"/>
        </w:rPr>
        <w:t>Общеэкономические риски</w:t>
      </w:r>
      <w:bookmarkEnd w:id="35"/>
      <w:bookmarkEnd w:id="36"/>
    </w:p>
    <w:p w:rsidR="00373CF7" w:rsidRPr="00805291" w:rsidRDefault="00373CF7" w:rsidP="00373CF7">
      <w:pPr>
        <w:spacing w:after="0"/>
      </w:pP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К общеэкономическим относят риски, связанные с внешними по отношению к предприятию факторами: риски изменения курсов валют и процентных ставок, усиления или ослабление инфляции. В условиях нестабильности внешнеполитической ситуации для данного проекта наиболее актуален риск изменения процентных ставок.</w:t>
      </w:r>
    </w:p>
    <w:p w:rsidR="00373CF7" w:rsidRPr="00805291" w:rsidRDefault="00373CF7" w:rsidP="00373CF7">
      <w:pPr>
        <w:keepNext/>
        <w:keepLines/>
        <w:spacing w:before="200" w:after="0"/>
        <w:outlineLvl w:val="1"/>
        <w:rPr>
          <w:rFonts w:asciiTheme="majorHAnsi" w:eastAsiaTheme="majorEastAsia" w:hAnsiTheme="majorHAnsi" w:cstheme="majorBidi"/>
          <w:b/>
          <w:bCs/>
          <w:color w:val="4F81BD" w:themeColor="accent1"/>
          <w:sz w:val="26"/>
          <w:szCs w:val="26"/>
        </w:rPr>
      </w:pPr>
      <w:bookmarkStart w:id="37" w:name="_Toc445763081"/>
      <w:bookmarkStart w:id="38" w:name="_Toc450920845"/>
      <w:r w:rsidRPr="00805291">
        <w:rPr>
          <w:rFonts w:asciiTheme="majorHAnsi" w:eastAsiaTheme="majorEastAsia" w:hAnsiTheme="majorHAnsi" w:cstheme="majorBidi"/>
          <w:b/>
          <w:bCs/>
          <w:color w:val="4F81BD" w:themeColor="accent1"/>
          <w:sz w:val="26"/>
          <w:szCs w:val="26"/>
        </w:rPr>
        <w:t>2.</w:t>
      </w:r>
      <w:r w:rsidR="004E19AA">
        <w:rPr>
          <w:rFonts w:asciiTheme="majorHAnsi" w:eastAsiaTheme="majorEastAsia" w:hAnsiTheme="majorHAnsi" w:cstheme="majorBidi"/>
          <w:b/>
          <w:bCs/>
          <w:color w:val="4F81BD" w:themeColor="accent1"/>
          <w:sz w:val="26"/>
          <w:szCs w:val="26"/>
        </w:rPr>
        <w:t>2.2</w:t>
      </w:r>
      <w:r w:rsidR="00043F49">
        <w:rPr>
          <w:rFonts w:asciiTheme="majorHAnsi" w:eastAsiaTheme="majorEastAsia" w:hAnsiTheme="majorHAnsi" w:cstheme="majorBidi"/>
          <w:b/>
          <w:bCs/>
          <w:color w:val="4F81BD" w:themeColor="accent1"/>
          <w:sz w:val="26"/>
          <w:szCs w:val="26"/>
        </w:rPr>
        <w:t>.</w:t>
      </w:r>
      <w:r w:rsidRPr="00805291">
        <w:rPr>
          <w:rFonts w:asciiTheme="majorHAnsi" w:eastAsiaTheme="majorEastAsia" w:hAnsiTheme="majorHAnsi" w:cstheme="majorBidi"/>
          <w:b/>
          <w:bCs/>
          <w:color w:val="4F81BD" w:themeColor="accent1"/>
          <w:sz w:val="26"/>
          <w:szCs w:val="26"/>
        </w:rPr>
        <w:t xml:space="preserve"> Количественные методы определения рисков ИП реконструкции ПС «Батово»</w:t>
      </w:r>
      <w:bookmarkEnd w:id="37"/>
      <w:bookmarkEnd w:id="38"/>
    </w:p>
    <w:p w:rsidR="00373CF7" w:rsidRPr="00805291" w:rsidRDefault="00373CF7" w:rsidP="00373CF7">
      <w:pPr>
        <w:spacing w:after="0" w:line="240" w:lineRule="auto"/>
        <w:ind w:firstLine="709"/>
        <w:rPr>
          <w:rFonts w:ascii="Times New Roman" w:hAnsi="Times New Roman" w:cs="Times New Roman"/>
          <w:sz w:val="24"/>
          <w:szCs w:val="24"/>
        </w:rPr>
      </w:pP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Следующим шагом будет проведение количественного анализа рисков инвестиционного проекта. Следует отметить, что здесь, наравне с первым пунктом, обнаруживается ряд проблем. Во-первых, проблема наличия необходимой для расчетов информации. Так, для метода критических точек необходимо знать долю постоянных издержек в структуре затрат; для метода сценариев – величины </w:t>
      </w:r>
      <w:r w:rsidRPr="00805291">
        <w:rPr>
          <w:rFonts w:ascii="Times New Roman" w:hAnsi="Times New Roman" w:cs="Times New Roman"/>
          <w:sz w:val="24"/>
          <w:szCs w:val="24"/>
          <w:lang w:val="en-US"/>
        </w:rPr>
        <w:t>NPV</w:t>
      </w:r>
      <w:r w:rsidRPr="00805291">
        <w:rPr>
          <w:rFonts w:ascii="Times New Roman" w:hAnsi="Times New Roman" w:cs="Times New Roman"/>
          <w:sz w:val="24"/>
          <w:szCs w:val="24"/>
        </w:rPr>
        <w:t xml:space="preserve"> при негативном и позитивном варианте развития событий и соответствующие им вероятности; аналогичная проблема стоит и для метода дерева решений и имитационного моделирования. Касательно последнего метода, дополнительную трудность обеспечивает необходимость в специализированных компьютерных программах.</w:t>
      </w:r>
    </w:p>
    <w:p w:rsidR="00373CF7" w:rsidRPr="00805291"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Единственный количественный метод, который мы может применить к анализу рисков ИП «Батово» при имеющейся в распоряжении числовой информации – это метод вариации параметров, или иначе метод анализа чувствительности. </w:t>
      </w:r>
    </w:p>
    <w:p w:rsidR="00373CF7" w:rsidRDefault="00373CF7" w:rsidP="00373CF7">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Итак, был проведен анализ чувствительности основного показателя эффективности проекта к изменению следующих ключевых факторов: величина инвестиций, ставка дисконтирования, ставка по кредитам. Изменение влияющих факторов производилось с определенным шагом, учитывающим размер из возможных изменений. Данные по условиям и результатам проведённого анализа представлена ниже. </w:t>
      </w:r>
    </w:p>
    <w:p w:rsidR="00043F49" w:rsidRDefault="00043F49" w:rsidP="00373CF7">
      <w:pPr>
        <w:spacing w:line="360" w:lineRule="auto"/>
        <w:ind w:firstLine="708"/>
        <w:rPr>
          <w:rFonts w:ascii="Times New Roman" w:hAnsi="Times New Roman" w:cs="Times New Roman"/>
          <w:sz w:val="24"/>
          <w:szCs w:val="24"/>
        </w:rPr>
      </w:pPr>
    </w:p>
    <w:p w:rsidR="00043F49" w:rsidRDefault="00043F49" w:rsidP="00373CF7">
      <w:pPr>
        <w:spacing w:line="360" w:lineRule="auto"/>
        <w:ind w:firstLine="708"/>
        <w:rPr>
          <w:rFonts w:ascii="Times New Roman" w:hAnsi="Times New Roman" w:cs="Times New Roman"/>
          <w:sz w:val="24"/>
          <w:szCs w:val="24"/>
        </w:rPr>
      </w:pPr>
    </w:p>
    <w:p w:rsidR="00043F49" w:rsidRDefault="00043F49" w:rsidP="00373CF7">
      <w:pPr>
        <w:spacing w:line="360" w:lineRule="auto"/>
        <w:ind w:firstLine="708"/>
        <w:rPr>
          <w:rFonts w:ascii="Times New Roman" w:hAnsi="Times New Roman" w:cs="Times New Roman"/>
          <w:sz w:val="24"/>
          <w:szCs w:val="24"/>
        </w:rPr>
      </w:pPr>
    </w:p>
    <w:p w:rsidR="00043F49" w:rsidRPr="00805291" w:rsidRDefault="00043F49" w:rsidP="00373CF7">
      <w:pPr>
        <w:spacing w:line="360" w:lineRule="auto"/>
        <w:ind w:firstLine="708"/>
        <w:rPr>
          <w:rFonts w:ascii="Times New Roman" w:hAnsi="Times New Roman" w:cs="Times New Roman"/>
          <w:sz w:val="24"/>
          <w:szCs w:val="24"/>
        </w:rPr>
      </w:pPr>
    </w:p>
    <w:p w:rsidR="00373CF7" w:rsidRPr="00805291" w:rsidRDefault="00373CF7" w:rsidP="00373CF7">
      <w:pPr>
        <w:spacing w:after="0" w:line="360" w:lineRule="auto"/>
        <w:ind w:firstLine="709"/>
        <w:jc w:val="right"/>
        <w:rPr>
          <w:rFonts w:ascii="Times New Roman" w:hAnsi="Times New Roman" w:cs="Times New Roman"/>
          <w:b/>
          <w:szCs w:val="24"/>
        </w:rPr>
      </w:pPr>
      <w:r w:rsidRPr="00805291">
        <w:rPr>
          <w:rFonts w:ascii="Times New Roman" w:hAnsi="Times New Roman" w:cs="Times New Roman"/>
          <w:b/>
          <w:szCs w:val="24"/>
        </w:rPr>
        <w:lastRenderedPageBreak/>
        <w:t>Таблица 10. Результаты анализа чувствительности проекта</w:t>
      </w:r>
    </w:p>
    <w:tbl>
      <w:tblPr>
        <w:tblStyle w:val="-6"/>
        <w:tblW w:w="5000" w:type="pct"/>
        <w:tblInd w:w="28" w:type="dxa"/>
        <w:tblLayout w:type="fixed"/>
        <w:tblCellMar>
          <w:left w:w="28" w:type="dxa"/>
          <w:right w:w="28" w:type="dxa"/>
        </w:tblCellMar>
        <w:tblLook w:val="04A0" w:firstRow="1" w:lastRow="0" w:firstColumn="1" w:lastColumn="0" w:noHBand="0" w:noVBand="1"/>
      </w:tblPr>
      <w:tblGrid>
        <w:gridCol w:w="1691"/>
        <w:gridCol w:w="801"/>
        <w:gridCol w:w="1297"/>
        <w:gridCol w:w="1358"/>
        <w:gridCol w:w="1448"/>
        <w:gridCol w:w="1323"/>
        <w:gridCol w:w="1437"/>
      </w:tblGrid>
      <w:tr w:rsidR="00373CF7" w:rsidRPr="008953D5" w:rsidTr="002D561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noWrap/>
            <w:vAlign w:val="center"/>
            <w:hideMark/>
          </w:tcPr>
          <w:p w:rsidR="00373CF7" w:rsidRPr="008953D5" w:rsidRDefault="00373CF7" w:rsidP="00373CF7">
            <w:pPr>
              <w:spacing w:after="200"/>
              <w:ind w:firstLine="708"/>
              <w:jc w:val="center"/>
              <w:rPr>
                <w:sz w:val="20"/>
                <w:szCs w:val="16"/>
              </w:rPr>
            </w:pPr>
          </w:p>
        </w:tc>
        <w:tc>
          <w:tcPr>
            <w:tcW w:w="428" w:type="pct"/>
            <w:tcBorders>
              <w:top w:val="single" w:sz="4" w:space="0" w:color="000000" w:themeColor="text1"/>
              <w:left w:val="single" w:sz="4" w:space="0" w:color="auto"/>
              <w:right w:val="single" w:sz="4" w:space="0" w:color="auto"/>
            </w:tcBorders>
            <w:noWrap/>
            <w:vAlign w:val="bottom"/>
            <w:hideMark/>
          </w:tcPr>
          <w:p w:rsidR="00373CF7" w:rsidRPr="008953D5" w:rsidRDefault="00373CF7" w:rsidP="00373CF7">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Шаг (n)</w:t>
            </w:r>
          </w:p>
        </w:tc>
        <w:tc>
          <w:tcPr>
            <w:tcW w:w="693" w:type="pct"/>
            <w:tcBorders>
              <w:left w:val="single" w:sz="4" w:space="0" w:color="auto"/>
            </w:tcBorders>
            <w:noWrap/>
            <w:vAlign w:val="bottom"/>
            <w:hideMark/>
          </w:tcPr>
          <w:p w:rsidR="00373CF7" w:rsidRPr="008953D5" w:rsidRDefault="00373CF7" w:rsidP="00373CF7">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-2n</w:t>
            </w:r>
          </w:p>
        </w:tc>
        <w:tc>
          <w:tcPr>
            <w:tcW w:w="726" w:type="pct"/>
            <w:noWrap/>
            <w:vAlign w:val="bottom"/>
            <w:hideMark/>
          </w:tcPr>
          <w:p w:rsidR="00373CF7" w:rsidRPr="008953D5" w:rsidRDefault="00373CF7" w:rsidP="00373CF7">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-n</w:t>
            </w:r>
          </w:p>
        </w:tc>
        <w:tc>
          <w:tcPr>
            <w:tcW w:w="774" w:type="pct"/>
            <w:noWrap/>
            <w:vAlign w:val="bottom"/>
            <w:hideMark/>
          </w:tcPr>
          <w:p w:rsidR="00373CF7" w:rsidRPr="008953D5" w:rsidRDefault="00373CF7" w:rsidP="00373CF7">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0</w:t>
            </w:r>
          </w:p>
        </w:tc>
        <w:tc>
          <w:tcPr>
            <w:tcW w:w="707" w:type="pct"/>
            <w:noWrap/>
            <w:vAlign w:val="bottom"/>
            <w:hideMark/>
          </w:tcPr>
          <w:p w:rsidR="00373CF7" w:rsidRPr="008953D5" w:rsidRDefault="00373CF7" w:rsidP="00373CF7">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n</w:t>
            </w:r>
          </w:p>
        </w:tc>
        <w:tc>
          <w:tcPr>
            <w:tcW w:w="769" w:type="pct"/>
            <w:noWrap/>
            <w:vAlign w:val="bottom"/>
            <w:hideMark/>
          </w:tcPr>
          <w:p w:rsidR="00373CF7" w:rsidRPr="008953D5" w:rsidRDefault="00373CF7" w:rsidP="00373CF7">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2n</w:t>
            </w:r>
          </w:p>
        </w:tc>
      </w:tr>
      <w:tr w:rsidR="00373CF7" w:rsidRPr="008953D5" w:rsidTr="002D56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4" w:type="pct"/>
            <w:tcBorders>
              <w:top w:val="single" w:sz="4" w:space="0" w:color="000000" w:themeColor="text1"/>
              <w:bottom w:val="nil"/>
              <w:right w:val="single" w:sz="4" w:space="0" w:color="auto"/>
            </w:tcBorders>
            <w:noWrap/>
            <w:vAlign w:val="bottom"/>
            <w:hideMark/>
          </w:tcPr>
          <w:p w:rsidR="00373CF7" w:rsidRPr="008953D5" w:rsidRDefault="00373CF7" w:rsidP="002D5616">
            <w:pPr>
              <w:spacing w:after="200"/>
              <w:rPr>
                <w:rFonts w:ascii="Times New Roman" w:hAnsi="Times New Roman" w:cs="Times New Roman"/>
                <w:sz w:val="20"/>
                <w:szCs w:val="16"/>
              </w:rPr>
            </w:pPr>
            <w:r w:rsidRPr="008953D5">
              <w:rPr>
                <w:rFonts w:ascii="Times New Roman" w:hAnsi="Times New Roman" w:cs="Times New Roman"/>
                <w:sz w:val="20"/>
                <w:szCs w:val="16"/>
              </w:rPr>
              <w:t>Инвестиции</w:t>
            </w:r>
          </w:p>
        </w:tc>
        <w:tc>
          <w:tcPr>
            <w:tcW w:w="428" w:type="pct"/>
            <w:tcBorders>
              <w:top w:val="single" w:sz="4" w:space="0" w:color="000000" w:themeColor="text1"/>
              <w:left w:val="single" w:sz="4" w:space="0" w:color="auto"/>
              <w:bottom w:val="nil"/>
              <w:right w:val="single" w:sz="4" w:space="0" w:color="auto"/>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10%</w:t>
            </w:r>
          </w:p>
        </w:tc>
        <w:tc>
          <w:tcPr>
            <w:tcW w:w="693" w:type="pct"/>
            <w:tcBorders>
              <w:top w:val="single" w:sz="4" w:space="0" w:color="000000" w:themeColor="text1"/>
              <w:left w:val="single" w:sz="4" w:space="0" w:color="auto"/>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80%</w:t>
            </w:r>
          </w:p>
        </w:tc>
        <w:tc>
          <w:tcPr>
            <w:tcW w:w="726" w:type="pct"/>
            <w:tcBorders>
              <w:top w:val="single" w:sz="4" w:space="0" w:color="000000" w:themeColor="text1"/>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90%</w:t>
            </w:r>
          </w:p>
        </w:tc>
        <w:tc>
          <w:tcPr>
            <w:tcW w:w="774" w:type="pct"/>
            <w:tcBorders>
              <w:top w:val="single" w:sz="4" w:space="0" w:color="000000" w:themeColor="text1"/>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100%</w:t>
            </w:r>
          </w:p>
        </w:tc>
        <w:tc>
          <w:tcPr>
            <w:tcW w:w="707" w:type="pct"/>
            <w:tcBorders>
              <w:top w:val="single" w:sz="4" w:space="0" w:color="000000" w:themeColor="text1"/>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110%</w:t>
            </w:r>
          </w:p>
        </w:tc>
        <w:tc>
          <w:tcPr>
            <w:tcW w:w="769" w:type="pct"/>
            <w:tcBorders>
              <w:top w:val="single" w:sz="4" w:space="0" w:color="000000" w:themeColor="text1"/>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120%</w:t>
            </w:r>
          </w:p>
        </w:tc>
      </w:tr>
      <w:tr w:rsidR="00373CF7" w:rsidRPr="008953D5" w:rsidTr="002D5616">
        <w:trPr>
          <w:trHeight w:val="340"/>
        </w:trPr>
        <w:tc>
          <w:tcPr>
            <w:cnfStyle w:val="001000000000" w:firstRow="0" w:lastRow="0" w:firstColumn="1" w:lastColumn="0" w:oddVBand="0" w:evenVBand="0" w:oddHBand="0" w:evenHBand="0" w:firstRowFirstColumn="0" w:firstRowLastColumn="0" w:lastRowFirstColumn="0" w:lastRowLastColumn="0"/>
            <w:tcW w:w="904" w:type="pct"/>
            <w:tcBorders>
              <w:top w:val="nil"/>
              <w:bottom w:val="single" w:sz="4" w:space="0" w:color="auto"/>
              <w:right w:val="single" w:sz="4" w:space="0" w:color="auto"/>
            </w:tcBorders>
            <w:noWrap/>
            <w:vAlign w:val="bottom"/>
            <w:hideMark/>
          </w:tcPr>
          <w:p w:rsidR="00373CF7" w:rsidRPr="008953D5" w:rsidRDefault="00373CF7" w:rsidP="002D5616">
            <w:pPr>
              <w:spacing w:after="200"/>
              <w:rPr>
                <w:rFonts w:ascii="Times New Roman" w:hAnsi="Times New Roman" w:cs="Times New Roman"/>
                <w:sz w:val="20"/>
                <w:szCs w:val="16"/>
              </w:rPr>
            </w:pPr>
            <w:r w:rsidRPr="008953D5">
              <w:rPr>
                <w:rFonts w:ascii="Times New Roman" w:hAnsi="Times New Roman" w:cs="Times New Roman"/>
                <w:sz w:val="20"/>
                <w:szCs w:val="16"/>
              </w:rPr>
              <w:t>NPV</w:t>
            </w:r>
          </w:p>
        </w:tc>
        <w:tc>
          <w:tcPr>
            <w:tcW w:w="428" w:type="pct"/>
            <w:tcBorders>
              <w:top w:val="nil"/>
              <w:left w:val="single" w:sz="4" w:space="0" w:color="auto"/>
              <w:bottom w:val="single" w:sz="4" w:space="0" w:color="auto"/>
              <w:right w:val="single" w:sz="4" w:space="0" w:color="auto"/>
            </w:tcBorders>
            <w:noWrap/>
            <w:vAlign w:val="center"/>
            <w:hideMark/>
          </w:tcPr>
          <w:p w:rsidR="00373CF7" w:rsidRPr="008953D5" w:rsidRDefault="00373CF7" w:rsidP="00373CF7">
            <w:pPr>
              <w:spacing w:after="200"/>
              <w:ind w:firstLine="7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6"/>
              </w:rPr>
            </w:pPr>
          </w:p>
        </w:tc>
        <w:tc>
          <w:tcPr>
            <w:tcW w:w="693" w:type="pct"/>
            <w:tcBorders>
              <w:top w:val="nil"/>
              <w:left w:val="single" w:sz="4" w:space="0" w:color="auto"/>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21644</w:t>
            </w:r>
          </w:p>
        </w:tc>
        <w:tc>
          <w:tcPr>
            <w:tcW w:w="726" w:type="pct"/>
            <w:tcBorders>
              <w:top w:val="nil"/>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-14252</w:t>
            </w:r>
          </w:p>
        </w:tc>
        <w:tc>
          <w:tcPr>
            <w:tcW w:w="774" w:type="pct"/>
            <w:tcBorders>
              <w:top w:val="nil"/>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-50149</w:t>
            </w:r>
          </w:p>
        </w:tc>
        <w:tc>
          <w:tcPr>
            <w:tcW w:w="707" w:type="pct"/>
            <w:tcBorders>
              <w:top w:val="nil"/>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-86045</w:t>
            </w:r>
          </w:p>
        </w:tc>
        <w:tc>
          <w:tcPr>
            <w:tcW w:w="769" w:type="pct"/>
            <w:tcBorders>
              <w:top w:val="nil"/>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-121941</w:t>
            </w:r>
          </w:p>
        </w:tc>
      </w:tr>
      <w:tr w:rsidR="00373CF7" w:rsidRPr="008953D5" w:rsidTr="002D56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4" w:type="pct"/>
            <w:tcBorders>
              <w:top w:val="single" w:sz="4" w:space="0" w:color="auto"/>
              <w:bottom w:val="nil"/>
              <w:right w:val="single" w:sz="4" w:space="0" w:color="auto"/>
            </w:tcBorders>
            <w:noWrap/>
            <w:vAlign w:val="bottom"/>
            <w:hideMark/>
          </w:tcPr>
          <w:p w:rsidR="00373CF7" w:rsidRPr="008953D5" w:rsidRDefault="00373CF7" w:rsidP="002D5616">
            <w:pPr>
              <w:spacing w:after="200"/>
              <w:rPr>
                <w:rFonts w:ascii="Times New Roman" w:hAnsi="Times New Roman" w:cs="Times New Roman"/>
                <w:sz w:val="20"/>
                <w:szCs w:val="16"/>
              </w:rPr>
            </w:pPr>
            <w:r w:rsidRPr="008953D5">
              <w:rPr>
                <w:rFonts w:ascii="Times New Roman" w:hAnsi="Times New Roman" w:cs="Times New Roman"/>
                <w:sz w:val="20"/>
                <w:szCs w:val="16"/>
              </w:rPr>
              <w:t>Ставка дисконтирования</w:t>
            </w:r>
          </w:p>
        </w:tc>
        <w:tc>
          <w:tcPr>
            <w:tcW w:w="428" w:type="pct"/>
            <w:tcBorders>
              <w:top w:val="single" w:sz="4" w:space="0" w:color="auto"/>
              <w:left w:val="single" w:sz="4" w:space="0" w:color="auto"/>
              <w:bottom w:val="nil"/>
              <w:right w:val="single" w:sz="4" w:space="0" w:color="auto"/>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20%</w:t>
            </w:r>
          </w:p>
        </w:tc>
        <w:tc>
          <w:tcPr>
            <w:tcW w:w="693" w:type="pct"/>
            <w:tcBorders>
              <w:top w:val="single" w:sz="4" w:space="0" w:color="auto"/>
              <w:left w:val="single" w:sz="4" w:space="0" w:color="auto"/>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60%</w:t>
            </w:r>
          </w:p>
        </w:tc>
        <w:tc>
          <w:tcPr>
            <w:tcW w:w="726" w:type="pct"/>
            <w:tcBorders>
              <w:top w:val="single" w:sz="4" w:space="0" w:color="auto"/>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80%</w:t>
            </w:r>
          </w:p>
        </w:tc>
        <w:tc>
          <w:tcPr>
            <w:tcW w:w="774" w:type="pct"/>
            <w:tcBorders>
              <w:top w:val="single" w:sz="4" w:space="0" w:color="auto"/>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100%</w:t>
            </w:r>
          </w:p>
        </w:tc>
        <w:tc>
          <w:tcPr>
            <w:tcW w:w="707" w:type="pct"/>
            <w:tcBorders>
              <w:top w:val="single" w:sz="4" w:space="0" w:color="auto"/>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120%</w:t>
            </w:r>
          </w:p>
        </w:tc>
        <w:tc>
          <w:tcPr>
            <w:tcW w:w="769" w:type="pct"/>
            <w:tcBorders>
              <w:top w:val="single" w:sz="4" w:space="0" w:color="auto"/>
              <w:bottom w:val="nil"/>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140%</w:t>
            </w:r>
          </w:p>
        </w:tc>
      </w:tr>
      <w:tr w:rsidR="00373CF7" w:rsidRPr="008953D5" w:rsidTr="002D5616">
        <w:trPr>
          <w:trHeight w:val="340"/>
        </w:trPr>
        <w:tc>
          <w:tcPr>
            <w:cnfStyle w:val="001000000000" w:firstRow="0" w:lastRow="0" w:firstColumn="1" w:lastColumn="0" w:oddVBand="0" w:evenVBand="0" w:oddHBand="0" w:evenHBand="0" w:firstRowFirstColumn="0" w:firstRowLastColumn="0" w:lastRowFirstColumn="0" w:lastRowLastColumn="0"/>
            <w:tcW w:w="904" w:type="pct"/>
            <w:tcBorders>
              <w:top w:val="nil"/>
              <w:bottom w:val="single" w:sz="4" w:space="0" w:color="auto"/>
              <w:right w:val="single" w:sz="4" w:space="0" w:color="auto"/>
            </w:tcBorders>
            <w:noWrap/>
            <w:vAlign w:val="bottom"/>
            <w:hideMark/>
          </w:tcPr>
          <w:p w:rsidR="00373CF7" w:rsidRPr="008953D5" w:rsidRDefault="00373CF7" w:rsidP="002D5616">
            <w:pPr>
              <w:spacing w:after="200"/>
              <w:rPr>
                <w:rFonts w:ascii="Times New Roman" w:hAnsi="Times New Roman" w:cs="Times New Roman"/>
                <w:sz w:val="20"/>
                <w:szCs w:val="16"/>
              </w:rPr>
            </w:pPr>
            <w:r w:rsidRPr="008953D5">
              <w:rPr>
                <w:rFonts w:ascii="Times New Roman" w:hAnsi="Times New Roman" w:cs="Times New Roman"/>
                <w:sz w:val="20"/>
                <w:szCs w:val="16"/>
              </w:rPr>
              <w:t>NPV</w:t>
            </w:r>
          </w:p>
        </w:tc>
        <w:tc>
          <w:tcPr>
            <w:tcW w:w="428" w:type="pct"/>
            <w:tcBorders>
              <w:top w:val="nil"/>
              <w:left w:val="single" w:sz="4" w:space="0" w:color="auto"/>
              <w:bottom w:val="single" w:sz="4" w:space="0" w:color="auto"/>
              <w:right w:val="single" w:sz="4" w:space="0" w:color="auto"/>
            </w:tcBorders>
            <w:noWrap/>
            <w:vAlign w:val="center"/>
            <w:hideMark/>
          </w:tcPr>
          <w:p w:rsidR="00373CF7" w:rsidRPr="008953D5" w:rsidRDefault="00373CF7" w:rsidP="00373CF7">
            <w:pPr>
              <w:spacing w:after="200"/>
              <w:ind w:firstLine="7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6"/>
              </w:rPr>
            </w:pPr>
          </w:p>
        </w:tc>
        <w:tc>
          <w:tcPr>
            <w:tcW w:w="693" w:type="pct"/>
            <w:tcBorders>
              <w:top w:val="nil"/>
              <w:left w:val="single" w:sz="4" w:space="0" w:color="auto"/>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253324</w:t>
            </w:r>
          </w:p>
        </w:tc>
        <w:tc>
          <w:tcPr>
            <w:tcW w:w="726" w:type="pct"/>
            <w:tcBorders>
              <w:top w:val="nil"/>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56447</w:t>
            </w:r>
          </w:p>
        </w:tc>
        <w:tc>
          <w:tcPr>
            <w:tcW w:w="774" w:type="pct"/>
            <w:tcBorders>
              <w:top w:val="nil"/>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-50149</w:t>
            </w:r>
          </w:p>
        </w:tc>
        <w:tc>
          <w:tcPr>
            <w:tcW w:w="707" w:type="pct"/>
            <w:tcBorders>
              <w:top w:val="nil"/>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-79281</w:t>
            </w:r>
          </w:p>
        </w:tc>
        <w:tc>
          <w:tcPr>
            <w:tcW w:w="769" w:type="pct"/>
            <w:tcBorders>
              <w:top w:val="nil"/>
              <w:bottom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-70370</w:t>
            </w:r>
          </w:p>
        </w:tc>
      </w:tr>
      <w:tr w:rsidR="00373CF7" w:rsidRPr="008953D5" w:rsidTr="002D56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4" w:type="pct"/>
            <w:tcBorders>
              <w:top w:val="single" w:sz="4" w:space="0" w:color="auto"/>
              <w:right w:val="single" w:sz="4" w:space="0" w:color="auto"/>
            </w:tcBorders>
            <w:noWrap/>
            <w:vAlign w:val="bottom"/>
            <w:hideMark/>
          </w:tcPr>
          <w:p w:rsidR="00373CF7" w:rsidRPr="008953D5" w:rsidRDefault="00373CF7" w:rsidP="002D5616">
            <w:pPr>
              <w:spacing w:after="200"/>
              <w:rPr>
                <w:rFonts w:ascii="Times New Roman" w:hAnsi="Times New Roman" w:cs="Times New Roman"/>
                <w:sz w:val="20"/>
                <w:szCs w:val="16"/>
              </w:rPr>
            </w:pPr>
            <w:r w:rsidRPr="008953D5">
              <w:rPr>
                <w:rFonts w:ascii="Times New Roman" w:hAnsi="Times New Roman" w:cs="Times New Roman"/>
                <w:sz w:val="20"/>
                <w:szCs w:val="16"/>
              </w:rPr>
              <w:t>Ставка по кредиту</w:t>
            </w:r>
          </w:p>
        </w:tc>
        <w:tc>
          <w:tcPr>
            <w:tcW w:w="428" w:type="pct"/>
            <w:tcBorders>
              <w:top w:val="single" w:sz="4" w:space="0" w:color="auto"/>
              <w:left w:val="single" w:sz="4" w:space="0" w:color="auto"/>
              <w:right w:val="single" w:sz="4" w:space="0" w:color="auto"/>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10%</w:t>
            </w:r>
          </w:p>
        </w:tc>
        <w:tc>
          <w:tcPr>
            <w:tcW w:w="693" w:type="pct"/>
            <w:tcBorders>
              <w:top w:val="single" w:sz="4" w:space="0" w:color="auto"/>
              <w:left w:val="single" w:sz="4" w:space="0" w:color="auto"/>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80%</w:t>
            </w:r>
          </w:p>
        </w:tc>
        <w:tc>
          <w:tcPr>
            <w:tcW w:w="726" w:type="pct"/>
            <w:tcBorders>
              <w:top w:val="single" w:sz="4" w:space="0" w:color="auto"/>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90%</w:t>
            </w:r>
          </w:p>
        </w:tc>
        <w:tc>
          <w:tcPr>
            <w:tcW w:w="774" w:type="pct"/>
            <w:tcBorders>
              <w:top w:val="single" w:sz="4" w:space="0" w:color="auto"/>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100%</w:t>
            </w:r>
          </w:p>
        </w:tc>
        <w:tc>
          <w:tcPr>
            <w:tcW w:w="707" w:type="pct"/>
            <w:tcBorders>
              <w:top w:val="single" w:sz="4" w:space="0" w:color="auto"/>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110%</w:t>
            </w:r>
          </w:p>
        </w:tc>
        <w:tc>
          <w:tcPr>
            <w:tcW w:w="769" w:type="pct"/>
            <w:tcBorders>
              <w:top w:val="single" w:sz="4" w:space="0" w:color="auto"/>
            </w:tcBorders>
            <w:noWrap/>
            <w:vAlign w:val="center"/>
            <w:hideMark/>
          </w:tcPr>
          <w:p w:rsidR="00373CF7" w:rsidRPr="008953D5" w:rsidRDefault="00373CF7" w:rsidP="00373CF7">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6"/>
              </w:rPr>
            </w:pPr>
            <w:r w:rsidRPr="008953D5">
              <w:rPr>
                <w:rFonts w:ascii="Times New Roman" w:hAnsi="Times New Roman" w:cs="Times New Roman"/>
                <w:szCs w:val="16"/>
              </w:rPr>
              <w:t>120%</w:t>
            </w:r>
          </w:p>
        </w:tc>
      </w:tr>
      <w:tr w:rsidR="00373CF7" w:rsidRPr="008953D5" w:rsidTr="002D5616">
        <w:trPr>
          <w:trHeight w:val="340"/>
        </w:trPr>
        <w:tc>
          <w:tcPr>
            <w:cnfStyle w:val="001000000000" w:firstRow="0" w:lastRow="0" w:firstColumn="1" w:lastColumn="0" w:oddVBand="0" w:evenVBand="0" w:oddHBand="0" w:evenHBand="0" w:firstRowFirstColumn="0" w:firstRowLastColumn="0" w:lastRowFirstColumn="0" w:lastRowLastColumn="0"/>
            <w:tcW w:w="904" w:type="pct"/>
            <w:tcBorders>
              <w:right w:val="single" w:sz="4" w:space="0" w:color="auto"/>
            </w:tcBorders>
            <w:noWrap/>
            <w:vAlign w:val="bottom"/>
            <w:hideMark/>
          </w:tcPr>
          <w:p w:rsidR="00373CF7" w:rsidRPr="008953D5" w:rsidRDefault="00373CF7" w:rsidP="002D5616">
            <w:pPr>
              <w:spacing w:after="200"/>
              <w:rPr>
                <w:rFonts w:ascii="Times New Roman" w:hAnsi="Times New Roman" w:cs="Times New Roman"/>
                <w:sz w:val="20"/>
                <w:szCs w:val="16"/>
              </w:rPr>
            </w:pPr>
            <w:r w:rsidRPr="008953D5">
              <w:rPr>
                <w:rFonts w:ascii="Times New Roman" w:hAnsi="Times New Roman" w:cs="Times New Roman"/>
                <w:sz w:val="20"/>
                <w:szCs w:val="16"/>
              </w:rPr>
              <w:t>NPV</w:t>
            </w:r>
          </w:p>
        </w:tc>
        <w:tc>
          <w:tcPr>
            <w:tcW w:w="428" w:type="pct"/>
            <w:tcBorders>
              <w:left w:val="single" w:sz="4" w:space="0" w:color="auto"/>
              <w:bottom w:val="single" w:sz="4" w:space="0" w:color="000000" w:themeColor="text1"/>
              <w:right w:val="single" w:sz="4" w:space="0" w:color="auto"/>
            </w:tcBorders>
            <w:noWrap/>
            <w:vAlign w:val="center"/>
            <w:hideMark/>
          </w:tcPr>
          <w:p w:rsidR="00373CF7" w:rsidRPr="008953D5" w:rsidRDefault="00373CF7" w:rsidP="00373CF7">
            <w:pPr>
              <w:spacing w:after="200"/>
              <w:ind w:firstLine="7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6"/>
              </w:rPr>
            </w:pPr>
          </w:p>
        </w:tc>
        <w:tc>
          <w:tcPr>
            <w:tcW w:w="693" w:type="pct"/>
            <w:tcBorders>
              <w:left w:val="single" w:sz="4" w:space="0" w:color="auto"/>
            </w:tcBorders>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254</w:t>
            </w:r>
          </w:p>
        </w:tc>
        <w:tc>
          <w:tcPr>
            <w:tcW w:w="726" w:type="pct"/>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-24947</w:t>
            </w:r>
          </w:p>
        </w:tc>
        <w:tc>
          <w:tcPr>
            <w:tcW w:w="774" w:type="pct"/>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-50149</w:t>
            </w:r>
          </w:p>
        </w:tc>
        <w:tc>
          <w:tcPr>
            <w:tcW w:w="707" w:type="pct"/>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-75350</w:t>
            </w:r>
          </w:p>
        </w:tc>
        <w:tc>
          <w:tcPr>
            <w:tcW w:w="769" w:type="pct"/>
            <w:noWrap/>
            <w:vAlign w:val="center"/>
            <w:hideMark/>
          </w:tcPr>
          <w:p w:rsidR="00373CF7" w:rsidRPr="008953D5" w:rsidRDefault="00373CF7" w:rsidP="00373CF7">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16"/>
              </w:rPr>
            </w:pPr>
            <w:r w:rsidRPr="008953D5">
              <w:rPr>
                <w:rFonts w:ascii="Times New Roman" w:hAnsi="Times New Roman" w:cs="Times New Roman"/>
                <w:b/>
                <w:bCs/>
                <w:szCs w:val="16"/>
              </w:rPr>
              <w:t>-100551</w:t>
            </w:r>
          </w:p>
        </w:tc>
      </w:tr>
    </w:tbl>
    <w:p w:rsidR="00373CF7" w:rsidRPr="00805291" w:rsidRDefault="00373CF7" w:rsidP="002D5616">
      <w:pPr>
        <w:spacing w:after="0" w:line="360" w:lineRule="auto"/>
        <w:ind w:firstLine="709"/>
        <w:rPr>
          <w:rFonts w:ascii="Times New Roman" w:hAnsi="Times New Roman" w:cs="Times New Roman"/>
          <w:sz w:val="24"/>
          <w:szCs w:val="24"/>
        </w:rPr>
      </w:pPr>
    </w:p>
    <w:p w:rsidR="00805291" w:rsidRPr="00043F49" w:rsidRDefault="00373CF7" w:rsidP="00043F49">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Исходя из результатов анализа, рассматриваемый проект может стать прибыльным либо при сокращении величины инвестиций до 80-85% от первоначальной суммы, либо при уменьшении ставки дисконтирования н 10-20%, либо при ставке по кредиту, равной 80% от при</w:t>
      </w:r>
      <w:r w:rsidR="009C1E94">
        <w:rPr>
          <w:rFonts w:ascii="Times New Roman" w:hAnsi="Times New Roman" w:cs="Times New Roman"/>
          <w:sz w:val="24"/>
          <w:szCs w:val="24"/>
        </w:rPr>
        <w:t>н</w:t>
      </w:r>
      <w:r w:rsidRPr="00805291">
        <w:rPr>
          <w:rFonts w:ascii="Times New Roman" w:hAnsi="Times New Roman" w:cs="Times New Roman"/>
          <w:sz w:val="24"/>
          <w:szCs w:val="24"/>
        </w:rPr>
        <w:t>ятой проектом изначально.  Увеличение всех рассматриваемых показателей приведет лишь к увеличени</w:t>
      </w:r>
      <w:r w:rsidR="00043F49">
        <w:rPr>
          <w:rFonts w:ascii="Times New Roman" w:hAnsi="Times New Roman" w:cs="Times New Roman"/>
          <w:sz w:val="24"/>
          <w:szCs w:val="24"/>
        </w:rPr>
        <w:t>ю потерь от реализации проекта.</w:t>
      </w:r>
    </w:p>
    <w:p w:rsidR="00805291" w:rsidRPr="00E82D69" w:rsidRDefault="004E19AA" w:rsidP="00E82D69">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39" w:name="_Toc445763066"/>
      <w:bookmarkStart w:id="40" w:name="_Toc450920846"/>
      <w:r>
        <w:rPr>
          <w:rFonts w:asciiTheme="majorHAnsi" w:eastAsiaTheme="majorEastAsia" w:hAnsiTheme="majorHAnsi" w:cstheme="majorBidi"/>
          <w:b/>
          <w:color w:val="365F91" w:themeColor="accent1" w:themeShade="BF"/>
          <w:sz w:val="28"/>
          <w:szCs w:val="28"/>
        </w:rPr>
        <w:t>2.3</w:t>
      </w:r>
      <w:r w:rsidR="00805291" w:rsidRPr="00E82D69">
        <w:rPr>
          <w:rFonts w:asciiTheme="majorHAnsi" w:eastAsiaTheme="majorEastAsia" w:hAnsiTheme="majorHAnsi" w:cstheme="majorBidi"/>
          <w:b/>
          <w:color w:val="365F91" w:themeColor="accent1" w:themeShade="BF"/>
          <w:sz w:val="28"/>
          <w:szCs w:val="28"/>
        </w:rPr>
        <w:t>. Поиск исходных данных для расчета экономической</w:t>
      </w:r>
      <w:r w:rsidR="00805291" w:rsidRPr="00E82D69">
        <w:rPr>
          <w:rFonts w:asciiTheme="majorHAnsi" w:eastAsiaTheme="majorEastAsia" w:hAnsiTheme="majorHAnsi" w:cstheme="majorBidi"/>
          <w:b/>
          <w:bCs/>
          <w:color w:val="365F91" w:themeColor="accent1" w:themeShade="BF"/>
          <w:sz w:val="28"/>
          <w:szCs w:val="28"/>
        </w:rPr>
        <w:t xml:space="preserve"> эффективности ИП</w:t>
      </w:r>
      <w:bookmarkEnd w:id="39"/>
      <w:bookmarkEnd w:id="40"/>
    </w:p>
    <w:p w:rsidR="00805291" w:rsidRPr="00805291" w:rsidRDefault="00805291" w:rsidP="002D5616">
      <w:pPr>
        <w:spacing w:after="0"/>
      </w:pPr>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Данный этап анализа является наиболее сложным и требует как финансовой грамотности, так и большой внимательности сотрудника, так как подразумевает работу с большими массивами данных и консолидацией информации из различных источников и отчетов, поступающих из других отделов и департаментов предприятия.</w:t>
      </w:r>
    </w:p>
    <w:p w:rsidR="00805291" w:rsidRPr="002D5616" w:rsidRDefault="00805291" w:rsidP="002D5616">
      <w:pPr>
        <w:keepNext/>
        <w:keepLines/>
        <w:spacing w:before="200" w:after="240"/>
        <w:outlineLvl w:val="1"/>
        <w:rPr>
          <w:rFonts w:asciiTheme="majorHAnsi" w:eastAsiaTheme="majorEastAsia" w:hAnsiTheme="majorHAnsi" w:cstheme="majorBidi"/>
          <w:b/>
          <w:bCs/>
          <w:color w:val="4F81BD" w:themeColor="accent1"/>
          <w:sz w:val="26"/>
          <w:szCs w:val="26"/>
        </w:rPr>
      </w:pPr>
      <w:bookmarkStart w:id="41" w:name="_Toc445763067"/>
      <w:bookmarkStart w:id="42" w:name="_Toc450920847"/>
      <w:r w:rsidRPr="00805291">
        <w:rPr>
          <w:rFonts w:asciiTheme="majorHAnsi" w:eastAsiaTheme="majorEastAsia" w:hAnsiTheme="majorHAnsi" w:cstheme="majorBidi"/>
          <w:b/>
          <w:bCs/>
          <w:color w:val="4F81BD" w:themeColor="accent1"/>
          <w:sz w:val="26"/>
          <w:szCs w:val="26"/>
        </w:rPr>
        <w:t>2.</w:t>
      </w:r>
      <w:r w:rsidR="005C5C04">
        <w:rPr>
          <w:rFonts w:asciiTheme="majorHAnsi" w:eastAsiaTheme="majorEastAsia" w:hAnsiTheme="majorHAnsi" w:cstheme="majorBidi"/>
          <w:b/>
          <w:bCs/>
          <w:color w:val="4F81BD" w:themeColor="accent1"/>
          <w:sz w:val="26"/>
          <w:szCs w:val="26"/>
        </w:rPr>
        <w:t>3.</w:t>
      </w:r>
      <w:r w:rsidRPr="00805291">
        <w:rPr>
          <w:rFonts w:asciiTheme="majorHAnsi" w:eastAsiaTheme="majorEastAsia" w:hAnsiTheme="majorHAnsi" w:cstheme="majorBidi"/>
          <w:b/>
          <w:bCs/>
          <w:color w:val="4F81BD" w:themeColor="accent1"/>
          <w:sz w:val="26"/>
          <w:szCs w:val="26"/>
        </w:rPr>
        <w:t>1. Величина инвестиционных вложений</w:t>
      </w:r>
      <w:bookmarkEnd w:id="41"/>
      <w:bookmarkEnd w:id="42"/>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 xml:space="preserve">Инвестиционная стоимость объекта, или сметная стоимость, указывается в отчете о проектах инвестиционной программы 2013-2018 по Санкт-Петербургу и Ленинградской области. Наряду с этим, здесь же представлены другие многочисленные данные, такие, как технические характеристики реконструируемых и созданных объектов, план и факт освоения, финансирования и ввода капитальных вложений по кварталам и годам, дебиторская и кредиторская задолженности и незавершенное строительство на начало и конец периодов и сотни других параметров. Для наших расчетов из них потребуются только нормативный срок службы объекта и распределение </w:t>
      </w:r>
      <w:r w:rsidR="000D0C0F">
        <w:rPr>
          <w:rFonts w:ascii="Times New Roman" w:hAnsi="Times New Roman" w:cs="Times New Roman"/>
          <w:sz w:val="24"/>
        </w:rPr>
        <w:t>инвестиционных вложений</w:t>
      </w:r>
      <w:r w:rsidRPr="00805291">
        <w:rPr>
          <w:rFonts w:ascii="Times New Roman" w:hAnsi="Times New Roman" w:cs="Times New Roman"/>
          <w:sz w:val="24"/>
        </w:rPr>
        <w:t xml:space="preserve"> по годам.</w:t>
      </w:r>
    </w:p>
    <w:p w:rsidR="00805291" w:rsidRPr="00805291" w:rsidRDefault="00805291" w:rsidP="00805291">
      <w:pPr>
        <w:keepNext/>
        <w:spacing w:after="0" w:line="360" w:lineRule="auto"/>
        <w:jc w:val="right"/>
        <w:outlineLvl w:val="4"/>
        <w:rPr>
          <w:rFonts w:ascii="Times New Roman" w:hAnsi="Times New Roman" w:cs="Times New Roman"/>
          <w:b/>
        </w:rPr>
      </w:pPr>
      <w:r w:rsidRPr="00805291">
        <w:rPr>
          <w:rFonts w:ascii="Times New Roman" w:hAnsi="Times New Roman" w:cs="Times New Roman"/>
          <w:b/>
        </w:rPr>
        <w:lastRenderedPageBreak/>
        <w:t>Таблица 2. Инвестиционные затраты и срок амортизации</w:t>
      </w:r>
    </w:p>
    <w:tbl>
      <w:tblPr>
        <w:tblStyle w:val="af6"/>
        <w:tblW w:w="9924" w:type="dxa"/>
        <w:tblInd w:w="-318" w:type="dxa"/>
        <w:tblLook w:val="04A0" w:firstRow="1" w:lastRow="0" w:firstColumn="1" w:lastColumn="0" w:noHBand="0" w:noVBand="1"/>
      </w:tblPr>
      <w:tblGrid>
        <w:gridCol w:w="2552"/>
        <w:gridCol w:w="873"/>
        <w:gridCol w:w="716"/>
        <w:gridCol w:w="716"/>
        <w:gridCol w:w="821"/>
        <w:gridCol w:w="821"/>
        <w:gridCol w:w="926"/>
        <w:gridCol w:w="926"/>
        <w:gridCol w:w="1573"/>
      </w:tblGrid>
      <w:tr w:rsidR="00805291" w:rsidRPr="00805291" w:rsidTr="000511D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3" w:type="dxa"/>
            <w:vAlign w:val="bottom"/>
            <w:hideMark/>
          </w:tcPr>
          <w:p w:rsidR="00805291" w:rsidRPr="00805291" w:rsidRDefault="00805291" w:rsidP="00805291">
            <w:pPr>
              <w:keepNext/>
              <w:spacing w:line="360" w:lineRule="auto"/>
              <w:ind w:left="720"/>
              <w:contextualSpacing/>
              <w:jc w:val="center"/>
              <w:outlineLvl w:val="3"/>
              <w:rPr>
                <w:rFonts w:ascii="Times New Roman" w:hAnsi="Times New Roman" w:cs="Times New Roman"/>
              </w:rPr>
            </w:pPr>
            <w:r w:rsidRPr="00805291">
              <w:rPr>
                <w:rFonts w:ascii="Times New Roman" w:hAnsi="Times New Roman" w:cs="Times New Roman"/>
              </w:rPr>
              <w:t>Год</w:t>
            </w:r>
          </w:p>
        </w:tc>
        <w:tc>
          <w:tcPr>
            <w:tcW w:w="0" w:type="auto"/>
            <w:vAlign w:val="center"/>
            <w:hideMark/>
          </w:tcPr>
          <w:p w:rsidR="00805291" w:rsidRPr="00805291" w:rsidRDefault="00805291" w:rsidP="000511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2014</w:t>
            </w:r>
          </w:p>
        </w:tc>
        <w:tc>
          <w:tcPr>
            <w:tcW w:w="0" w:type="auto"/>
            <w:vAlign w:val="center"/>
            <w:hideMark/>
          </w:tcPr>
          <w:p w:rsidR="00805291" w:rsidRPr="00805291" w:rsidRDefault="00805291" w:rsidP="000511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2015</w:t>
            </w:r>
          </w:p>
        </w:tc>
        <w:tc>
          <w:tcPr>
            <w:tcW w:w="0" w:type="auto"/>
            <w:vAlign w:val="center"/>
            <w:hideMark/>
          </w:tcPr>
          <w:p w:rsidR="00805291" w:rsidRPr="00805291" w:rsidRDefault="00805291" w:rsidP="000511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2016</w:t>
            </w:r>
          </w:p>
        </w:tc>
        <w:tc>
          <w:tcPr>
            <w:tcW w:w="0" w:type="auto"/>
            <w:vAlign w:val="center"/>
            <w:hideMark/>
          </w:tcPr>
          <w:p w:rsidR="00805291" w:rsidRPr="00805291" w:rsidRDefault="00805291" w:rsidP="000511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2017</w:t>
            </w:r>
          </w:p>
        </w:tc>
        <w:tc>
          <w:tcPr>
            <w:tcW w:w="0" w:type="auto"/>
            <w:vAlign w:val="center"/>
            <w:hideMark/>
          </w:tcPr>
          <w:p w:rsidR="00805291" w:rsidRPr="00805291" w:rsidRDefault="00805291" w:rsidP="000511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2018</w:t>
            </w:r>
          </w:p>
        </w:tc>
        <w:tc>
          <w:tcPr>
            <w:tcW w:w="0" w:type="auto"/>
            <w:vAlign w:val="center"/>
            <w:hideMark/>
          </w:tcPr>
          <w:p w:rsidR="00805291" w:rsidRPr="00805291" w:rsidRDefault="00805291" w:rsidP="000511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2019</w:t>
            </w:r>
          </w:p>
        </w:tc>
        <w:tc>
          <w:tcPr>
            <w:tcW w:w="0" w:type="auto"/>
            <w:vAlign w:val="center"/>
            <w:hideMark/>
          </w:tcPr>
          <w:p w:rsidR="00805291" w:rsidRPr="00805291" w:rsidRDefault="00805291" w:rsidP="000511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2020</w:t>
            </w:r>
          </w:p>
        </w:tc>
        <w:tc>
          <w:tcPr>
            <w:tcW w:w="1501" w:type="dxa"/>
            <w:vAlign w:val="center"/>
            <w:hideMark/>
          </w:tcPr>
          <w:p w:rsidR="00805291" w:rsidRPr="00805291" w:rsidRDefault="00805291" w:rsidP="000511D9">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Итого</w:t>
            </w:r>
          </w:p>
        </w:tc>
      </w:tr>
      <w:tr w:rsidR="00805291" w:rsidRPr="00805291" w:rsidTr="000511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3" w:type="dxa"/>
            <w:hideMark/>
          </w:tcPr>
          <w:p w:rsidR="00805291" w:rsidRPr="00805291" w:rsidRDefault="000D0C0F" w:rsidP="008953D5">
            <w:pPr>
              <w:contextualSpacing/>
              <w:rPr>
                <w:rFonts w:ascii="Times New Roman" w:hAnsi="Times New Roman" w:cs="Times New Roman"/>
              </w:rPr>
            </w:pPr>
            <w:r>
              <w:rPr>
                <w:rFonts w:ascii="Times New Roman" w:hAnsi="Times New Roman" w:cs="Times New Roman"/>
              </w:rPr>
              <w:t>Инвестиции</w:t>
            </w:r>
            <w:r w:rsidR="00805291" w:rsidRPr="00805291">
              <w:rPr>
                <w:rFonts w:ascii="Times New Roman" w:hAnsi="Times New Roman" w:cs="Times New Roman"/>
              </w:rPr>
              <w:t>,  тыс. руб. с НДС</w:t>
            </w:r>
          </w:p>
        </w:tc>
        <w:tc>
          <w:tcPr>
            <w:tcW w:w="0" w:type="auto"/>
            <w:vAlign w:val="center"/>
            <w:hideMark/>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-41 110</w:t>
            </w:r>
          </w:p>
        </w:tc>
        <w:tc>
          <w:tcPr>
            <w:tcW w:w="0" w:type="auto"/>
            <w:vAlign w:val="center"/>
            <w:hideMark/>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-2454</w:t>
            </w:r>
          </w:p>
        </w:tc>
        <w:tc>
          <w:tcPr>
            <w:tcW w:w="0" w:type="auto"/>
            <w:vAlign w:val="center"/>
            <w:hideMark/>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-2625</w:t>
            </w:r>
          </w:p>
        </w:tc>
        <w:tc>
          <w:tcPr>
            <w:tcW w:w="0" w:type="auto"/>
            <w:vAlign w:val="center"/>
            <w:hideMark/>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-50000</w:t>
            </w:r>
          </w:p>
        </w:tc>
        <w:tc>
          <w:tcPr>
            <w:tcW w:w="0" w:type="auto"/>
            <w:vAlign w:val="center"/>
            <w:hideMark/>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-20000</w:t>
            </w:r>
          </w:p>
        </w:tc>
        <w:tc>
          <w:tcPr>
            <w:tcW w:w="0" w:type="auto"/>
            <w:vAlign w:val="center"/>
            <w:hideMark/>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-186000</w:t>
            </w:r>
          </w:p>
        </w:tc>
        <w:tc>
          <w:tcPr>
            <w:tcW w:w="0" w:type="auto"/>
            <w:vAlign w:val="center"/>
            <w:hideMark/>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-630000</w:t>
            </w:r>
          </w:p>
        </w:tc>
        <w:tc>
          <w:tcPr>
            <w:tcW w:w="1501" w:type="dxa"/>
            <w:vAlign w:val="center"/>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-932 190</w:t>
            </w:r>
          </w:p>
        </w:tc>
      </w:tr>
      <w:tr w:rsidR="00805291" w:rsidRPr="00805291" w:rsidTr="000511D9">
        <w:trPr>
          <w:trHeight w:val="567"/>
        </w:trPr>
        <w:tc>
          <w:tcPr>
            <w:cnfStyle w:val="001000000000" w:firstRow="0" w:lastRow="0" w:firstColumn="1" w:lastColumn="0" w:oddVBand="0" w:evenVBand="0" w:oddHBand="0" w:evenHBand="0" w:firstRowFirstColumn="0" w:firstRowLastColumn="0" w:lastRowFirstColumn="0" w:lastRowLastColumn="0"/>
            <w:tcW w:w="2553" w:type="dxa"/>
            <w:hideMark/>
          </w:tcPr>
          <w:p w:rsidR="00805291" w:rsidRPr="00805291" w:rsidRDefault="000D0C0F" w:rsidP="008953D5">
            <w:pPr>
              <w:contextualSpacing/>
              <w:rPr>
                <w:rFonts w:ascii="Times New Roman" w:hAnsi="Times New Roman" w:cs="Times New Roman"/>
              </w:rPr>
            </w:pPr>
            <w:r>
              <w:rPr>
                <w:rFonts w:ascii="Times New Roman" w:hAnsi="Times New Roman" w:cs="Times New Roman"/>
              </w:rPr>
              <w:t>Инвестиции,</w:t>
            </w:r>
            <w:r w:rsidR="00805291" w:rsidRPr="00805291">
              <w:rPr>
                <w:rFonts w:ascii="Times New Roman" w:hAnsi="Times New Roman" w:cs="Times New Roman"/>
              </w:rPr>
              <w:t xml:space="preserve">  тыс. руб. без НДС</w:t>
            </w:r>
          </w:p>
        </w:tc>
        <w:tc>
          <w:tcPr>
            <w:tcW w:w="0" w:type="auto"/>
            <w:vAlign w:val="center"/>
            <w:hideMark/>
          </w:tcPr>
          <w:p w:rsidR="00805291" w:rsidRPr="00805291" w:rsidRDefault="00805291" w:rsidP="000511D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-41110</w:t>
            </w:r>
          </w:p>
        </w:tc>
        <w:tc>
          <w:tcPr>
            <w:tcW w:w="0" w:type="auto"/>
            <w:vAlign w:val="center"/>
            <w:hideMark/>
          </w:tcPr>
          <w:p w:rsidR="00805291" w:rsidRPr="00805291" w:rsidRDefault="00805291" w:rsidP="000511D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-2080</w:t>
            </w:r>
          </w:p>
        </w:tc>
        <w:tc>
          <w:tcPr>
            <w:tcW w:w="0" w:type="auto"/>
            <w:vAlign w:val="center"/>
            <w:hideMark/>
          </w:tcPr>
          <w:p w:rsidR="00805291" w:rsidRPr="00805291" w:rsidRDefault="00805291" w:rsidP="000511D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-2225</w:t>
            </w:r>
          </w:p>
        </w:tc>
        <w:tc>
          <w:tcPr>
            <w:tcW w:w="0" w:type="auto"/>
            <w:vAlign w:val="center"/>
            <w:hideMark/>
          </w:tcPr>
          <w:p w:rsidR="00805291" w:rsidRPr="00805291" w:rsidRDefault="00805291" w:rsidP="000511D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-42373</w:t>
            </w:r>
          </w:p>
        </w:tc>
        <w:tc>
          <w:tcPr>
            <w:tcW w:w="0" w:type="auto"/>
            <w:vAlign w:val="center"/>
            <w:hideMark/>
          </w:tcPr>
          <w:p w:rsidR="00805291" w:rsidRPr="00805291" w:rsidRDefault="00805291" w:rsidP="000511D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-16949</w:t>
            </w:r>
          </w:p>
        </w:tc>
        <w:tc>
          <w:tcPr>
            <w:tcW w:w="0" w:type="auto"/>
            <w:vAlign w:val="center"/>
            <w:hideMark/>
          </w:tcPr>
          <w:p w:rsidR="00805291" w:rsidRPr="00805291" w:rsidRDefault="00805291" w:rsidP="000511D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-157627</w:t>
            </w:r>
          </w:p>
        </w:tc>
        <w:tc>
          <w:tcPr>
            <w:tcW w:w="0" w:type="auto"/>
            <w:vAlign w:val="center"/>
            <w:hideMark/>
          </w:tcPr>
          <w:p w:rsidR="00805291" w:rsidRPr="00805291" w:rsidRDefault="00805291" w:rsidP="000511D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-533898</w:t>
            </w:r>
          </w:p>
        </w:tc>
        <w:tc>
          <w:tcPr>
            <w:tcW w:w="1501" w:type="dxa"/>
            <w:vAlign w:val="center"/>
          </w:tcPr>
          <w:p w:rsidR="00805291" w:rsidRPr="00805291" w:rsidRDefault="00805291" w:rsidP="000511D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05291">
              <w:rPr>
                <w:rFonts w:ascii="Times New Roman" w:hAnsi="Times New Roman" w:cs="Times New Roman"/>
                <w:sz w:val="20"/>
              </w:rPr>
              <w:t>-796 262</w:t>
            </w:r>
          </w:p>
        </w:tc>
      </w:tr>
      <w:tr w:rsidR="00805291" w:rsidRPr="00805291" w:rsidTr="000511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3" w:type="dxa"/>
            <w:hideMark/>
          </w:tcPr>
          <w:p w:rsidR="00805291" w:rsidRPr="00805291" w:rsidRDefault="00805291" w:rsidP="008953D5">
            <w:pPr>
              <w:contextualSpacing/>
              <w:rPr>
                <w:rFonts w:ascii="Times New Roman" w:hAnsi="Times New Roman" w:cs="Times New Roman"/>
              </w:rPr>
            </w:pPr>
            <w:r w:rsidRPr="00805291">
              <w:rPr>
                <w:rFonts w:ascii="Times New Roman" w:hAnsi="Times New Roman" w:cs="Times New Roman"/>
              </w:rPr>
              <w:t>Нормативный срок службы, лет</w:t>
            </w:r>
          </w:p>
        </w:tc>
        <w:tc>
          <w:tcPr>
            <w:tcW w:w="7371" w:type="dxa"/>
            <w:gridSpan w:val="8"/>
            <w:vAlign w:val="center"/>
            <w:hideMark/>
          </w:tcPr>
          <w:p w:rsidR="00805291" w:rsidRPr="00805291" w:rsidRDefault="00805291" w:rsidP="000511D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05291">
              <w:rPr>
                <w:rFonts w:ascii="Times New Roman" w:hAnsi="Times New Roman" w:cs="Times New Roman"/>
                <w:sz w:val="20"/>
                <w:szCs w:val="20"/>
              </w:rPr>
              <w:t>25</w:t>
            </w:r>
          </w:p>
        </w:tc>
      </w:tr>
    </w:tbl>
    <w:p w:rsidR="00805291" w:rsidRPr="00805291" w:rsidRDefault="00805291" w:rsidP="00805291">
      <w:pPr>
        <w:spacing w:line="240" w:lineRule="auto"/>
        <w:rPr>
          <w:rFonts w:ascii="Times New Roman" w:hAnsi="Times New Roman" w:cs="Times New Roman"/>
          <w:sz w:val="24"/>
        </w:rPr>
      </w:pPr>
    </w:p>
    <w:p w:rsidR="00805291" w:rsidRPr="00805291" w:rsidRDefault="00805291" w:rsidP="00805291">
      <w:pPr>
        <w:keepNext/>
        <w:keepLines/>
        <w:spacing w:before="200" w:after="0"/>
        <w:outlineLvl w:val="1"/>
        <w:rPr>
          <w:rFonts w:asciiTheme="majorHAnsi" w:eastAsiaTheme="majorEastAsia" w:hAnsiTheme="majorHAnsi" w:cstheme="majorBidi"/>
          <w:b/>
          <w:bCs/>
          <w:color w:val="4F81BD" w:themeColor="accent1"/>
          <w:sz w:val="26"/>
          <w:szCs w:val="26"/>
        </w:rPr>
      </w:pPr>
      <w:bookmarkStart w:id="43" w:name="_Toc445763068"/>
      <w:bookmarkStart w:id="44" w:name="_Toc450920848"/>
      <w:r w:rsidRPr="00805291">
        <w:rPr>
          <w:rFonts w:asciiTheme="majorHAnsi" w:eastAsiaTheme="majorEastAsia" w:hAnsiTheme="majorHAnsi" w:cstheme="majorBidi"/>
          <w:b/>
          <w:bCs/>
          <w:color w:val="4F81BD" w:themeColor="accent1"/>
          <w:sz w:val="26"/>
          <w:szCs w:val="26"/>
        </w:rPr>
        <w:t>2.</w:t>
      </w:r>
      <w:r w:rsidR="005C5C04">
        <w:rPr>
          <w:rFonts w:asciiTheme="majorHAnsi" w:eastAsiaTheme="majorEastAsia" w:hAnsiTheme="majorHAnsi" w:cstheme="majorBidi"/>
          <w:b/>
          <w:bCs/>
          <w:color w:val="4F81BD" w:themeColor="accent1"/>
          <w:sz w:val="26"/>
          <w:szCs w:val="26"/>
        </w:rPr>
        <w:t>3.</w:t>
      </w:r>
      <w:r w:rsidRPr="00805291">
        <w:rPr>
          <w:rFonts w:asciiTheme="majorHAnsi" w:eastAsiaTheme="majorEastAsia" w:hAnsiTheme="majorHAnsi" w:cstheme="majorBidi"/>
          <w:b/>
          <w:bCs/>
          <w:color w:val="4F81BD" w:themeColor="accent1"/>
          <w:sz w:val="26"/>
          <w:szCs w:val="26"/>
        </w:rPr>
        <w:t>2. Структура и стоимость капитала</w:t>
      </w:r>
      <w:bookmarkEnd w:id="43"/>
      <w:bookmarkEnd w:id="44"/>
    </w:p>
    <w:p w:rsidR="00805291" w:rsidRPr="00805291" w:rsidRDefault="00805291" w:rsidP="00805291"/>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Структура капитала рассчитывается исходя из доли освоенных средств к моменту расчетов.</w:t>
      </w:r>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В нашем случае доля заемных средств составляет 80,55%, а срок заёма и его стоимость определяются в соответствии с бизнес-планом Общества на 2016-2020 гг</w:t>
      </w:r>
      <w:r w:rsidRPr="00805291">
        <w:rPr>
          <w:rFonts w:ascii="Times New Roman" w:hAnsi="Times New Roman" w:cs="Times New Roman"/>
          <w:sz w:val="24"/>
          <w:vertAlign w:val="superscript"/>
        </w:rPr>
        <w:footnoteReference w:id="24"/>
      </w:r>
      <w:r w:rsidRPr="00805291">
        <w:rPr>
          <w:rFonts w:ascii="Times New Roman" w:hAnsi="Times New Roman" w:cs="Times New Roman"/>
          <w:sz w:val="24"/>
        </w:rPr>
        <w:t>. Так, средний прогнозный срок привлечения ПАО «Ленэнерго» заемных средств, используемых для финансирования проектов ИПР в 2016 г. составляет 3 года, с 2017 по 2050 гг. – 4 года. Размер средней прогнозной ставки привлечения капитала так же имеет свое распределение по периодам, в нашем случае он равен 14,5%. Ставка на собственный капитал установлена на уровне 19,5%.</w:t>
      </w:r>
    </w:p>
    <w:p w:rsidR="00805291" w:rsidRPr="00805291" w:rsidRDefault="00805291" w:rsidP="00805291">
      <w:pPr>
        <w:keepNext/>
        <w:keepLines/>
        <w:spacing w:before="200" w:after="0"/>
        <w:outlineLvl w:val="1"/>
        <w:rPr>
          <w:rFonts w:asciiTheme="majorHAnsi" w:eastAsiaTheme="majorEastAsia" w:hAnsiTheme="majorHAnsi" w:cstheme="majorBidi"/>
          <w:b/>
          <w:bCs/>
          <w:color w:val="4F81BD" w:themeColor="accent1"/>
          <w:sz w:val="26"/>
          <w:szCs w:val="26"/>
        </w:rPr>
      </w:pPr>
      <w:bookmarkStart w:id="45" w:name="_Toc445763069"/>
      <w:bookmarkStart w:id="46" w:name="_Toc450920849"/>
      <w:r w:rsidRPr="00805291">
        <w:rPr>
          <w:rFonts w:asciiTheme="majorHAnsi" w:eastAsiaTheme="majorEastAsia" w:hAnsiTheme="majorHAnsi" w:cstheme="majorBidi"/>
          <w:b/>
          <w:bCs/>
          <w:color w:val="4F81BD" w:themeColor="accent1"/>
          <w:sz w:val="26"/>
          <w:szCs w:val="26"/>
        </w:rPr>
        <w:t>2.</w:t>
      </w:r>
      <w:r w:rsidR="005C5C04">
        <w:rPr>
          <w:rFonts w:asciiTheme="majorHAnsi" w:eastAsiaTheme="majorEastAsia" w:hAnsiTheme="majorHAnsi" w:cstheme="majorBidi"/>
          <w:b/>
          <w:bCs/>
          <w:color w:val="4F81BD" w:themeColor="accent1"/>
          <w:sz w:val="26"/>
          <w:szCs w:val="26"/>
        </w:rPr>
        <w:t>3.</w:t>
      </w:r>
      <w:r w:rsidRPr="00805291">
        <w:rPr>
          <w:rFonts w:asciiTheme="majorHAnsi" w:eastAsiaTheme="majorEastAsia" w:hAnsiTheme="majorHAnsi" w:cstheme="majorBidi"/>
          <w:b/>
          <w:bCs/>
          <w:color w:val="4F81BD" w:themeColor="accent1"/>
          <w:sz w:val="26"/>
          <w:szCs w:val="26"/>
        </w:rPr>
        <w:t>3. Доходная часть денежного потока</w:t>
      </w:r>
      <w:bookmarkEnd w:id="45"/>
      <w:bookmarkEnd w:id="46"/>
    </w:p>
    <w:p w:rsidR="00805291" w:rsidRPr="00805291" w:rsidRDefault="00805291" w:rsidP="00805291"/>
    <w:p w:rsidR="00805291" w:rsidRPr="00805291" w:rsidRDefault="00805291" w:rsidP="00805291">
      <w:pPr>
        <w:spacing w:line="360" w:lineRule="auto"/>
        <w:ind w:firstLine="709"/>
        <w:rPr>
          <w:rFonts w:ascii="Times New Roman" w:hAnsi="Times New Roman" w:cs="Times New Roman"/>
          <w:sz w:val="24"/>
        </w:rPr>
      </w:pPr>
      <w:r w:rsidRPr="00805291">
        <w:rPr>
          <w:rFonts w:ascii="Times New Roman" w:hAnsi="Times New Roman" w:cs="Times New Roman"/>
          <w:sz w:val="24"/>
        </w:rPr>
        <w:t>Для определения чистых денежных потоков необходимо вычесть из входящих денежных потоков исходящие. В первую очередь найдем входящие потоки, или доход.</w:t>
      </w:r>
    </w:p>
    <w:p w:rsidR="00805291" w:rsidRPr="00805291" w:rsidRDefault="00805291" w:rsidP="00805291">
      <w:pPr>
        <w:spacing w:line="360" w:lineRule="auto"/>
        <w:ind w:firstLine="709"/>
        <w:rPr>
          <w:rFonts w:ascii="Times New Roman" w:hAnsi="Times New Roman" w:cs="Times New Roman"/>
          <w:sz w:val="24"/>
        </w:rPr>
      </w:pPr>
      <w:r w:rsidRPr="00805291">
        <w:rPr>
          <w:rFonts w:ascii="Times New Roman" w:hAnsi="Times New Roman" w:cs="Times New Roman"/>
          <w:sz w:val="24"/>
        </w:rPr>
        <w:t xml:space="preserve">Доходная часть ПАО «Ленэнерго» строится из двух составляющих: плата за техническое присоединение (плата новых пользователей электроэнергии за подсоединение к сети) и плата за передачу электроэнергии. </w:t>
      </w:r>
    </w:p>
    <w:p w:rsidR="00805291" w:rsidRPr="00805291" w:rsidRDefault="00805291" w:rsidP="00805291">
      <w:pPr>
        <w:spacing w:line="360" w:lineRule="auto"/>
        <w:ind w:firstLine="709"/>
        <w:rPr>
          <w:rFonts w:ascii="Times New Roman" w:hAnsi="Times New Roman" w:cs="Times New Roman"/>
          <w:sz w:val="24"/>
        </w:rPr>
      </w:pPr>
      <w:r w:rsidRPr="00805291">
        <w:rPr>
          <w:rFonts w:ascii="Times New Roman" w:hAnsi="Times New Roman" w:cs="Times New Roman"/>
          <w:sz w:val="24"/>
        </w:rPr>
        <w:t xml:space="preserve">Для нашего проекта плата за техническое присоединение не предусмотрена, так что доход по нему будет состоять лишь из одной статьи, численное выражение которой можно получить из расчетных таблиц полезного отпуска электроэнергии по каждому конкретному объекту с прогнозным темпом роста отпуска на последующие 7 лет с </w:t>
      </w:r>
      <w:r w:rsidRPr="00805291">
        <w:rPr>
          <w:rFonts w:ascii="Times New Roman" w:hAnsi="Times New Roman" w:cs="Times New Roman"/>
          <w:sz w:val="24"/>
        </w:rPr>
        <w:lastRenderedPageBreak/>
        <w:t>первого года запуска станции. Доход на последующие года рассчитывается путем наращивания дохода предыдущего года на темпы роста цен на передачу электроэнергии.</w:t>
      </w:r>
      <w:r w:rsidRPr="00805291">
        <w:rPr>
          <w:rFonts w:ascii="Arial CYR" w:eastAsia="Times New Roman" w:hAnsi="Arial CYR" w:cs="Calibri"/>
          <w:sz w:val="16"/>
          <w:szCs w:val="16"/>
          <w:lang w:eastAsia="ru-RU"/>
        </w:rPr>
        <w:t xml:space="preserve"> </w:t>
      </w:r>
    </w:p>
    <w:p w:rsidR="00805291" w:rsidRPr="00805291" w:rsidRDefault="00805291" w:rsidP="00805291">
      <w:pPr>
        <w:spacing w:line="360" w:lineRule="auto"/>
        <w:ind w:firstLine="709"/>
        <w:rPr>
          <w:rFonts w:ascii="Times New Roman" w:eastAsia="Times New Roman" w:hAnsi="Times New Roman" w:cs="Times New Roman"/>
          <w:sz w:val="24"/>
          <w:szCs w:val="16"/>
          <w:lang w:eastAsia="ru-RU"/>
        </w:rPr>
      </w:pPr>
      <w:r w:rsidRPr="00805291">
        <w:rPr>
          <w:rFonts w:ascii="Times New Roman" w:eastAsia="Times New Roman" w:hAnsi="Times New Roman" w:cs="Times New Roman"/>
          <w:sz w:val="24"/>
          <w:szCs w:val="16"/>
          <w:lang w:eastAsia="ru-RU"/>
        </w:rPr>
        <w:t xml:space="preserve">Объем увеличения транспорта э/энергии составляет 16 575  тыс. кВт.ч в первый год после реализации проекта, средний тариф на передачу электроэнергии равен </w:t>
      </w:r>
      <w:r w:rsidRPr="00805291">
        <w:rPr>
          <w:rFonts w:ascii="Times New Roman" w:hAnsi="Times New Roman" w:cs="Times New Roman"/>
          <w:sz w:val="24"/>
        </w:rPr>
        <w:t xml:space="preserve">3263,74 </w:t>
      </w:r>
      <w:r w:rsidRPr="00805291">
        <w:rPr>
          <w:rFonts w:ascii="Times New Roman" w:eastAsia="Times New Roman" w:hAnsi="Times New Roman" w:cs="Times New Roman"/>
          <w:sz w:val="24"/>
          <w:szCs w:val="16"/>
          <w:lang w:eastAsia="ru-RU"/>
        </w:rPr>
        <w:t>руб/ МВтч. Их произведение дает величину, равную 54,1 млн. руб., что и является доходом подстанции в 2020 году. Далее следует рост полезн</w:t>
      </w:r>
      <w:r w:rsidR="00AA696C">
        <w:rPr>
          <w:rFonts w:ascii="Times New Roman" w:eastAsia="Times New Roman" w:hAnsi="Times New Roman" w:cs="Times New Roman"/>
          <w:sz w:val="24"/>
          <w:szCs w:val="16"/>
          <w:lang w:eastAsia="ru-RU"/>
        </w:rPr>
        <w:t>ого отпуска с расчетным темпом</w:t>
      </w:r>
      <w:r w:rsidRPr="00805291">
        <w:rPr>
          <w:rFonts w:ascii="Times New Roman" w:eastAsia="Times New Roman" w:hAnsi="Times New Roman" w:cs="Times New Roman"/>
          <w:sz w:val="24"/>
          <w:szCs w:val="16"/>
          <w:lang w:eastAsia="ru-RU"/>
        </w:rPr>
        <w:t>, что позволяет, нарастив на темпы роста цен на передачу электроэнерг</w:t>
      </w:r>
      <w:r w:rsidR="00AA696C">
        <w:rPr>
          <w:rFonts w:ascii="Times New Roman" w:eastAsia="Times New Roman" w:hAnsi="Times New Roman" w:cs="Times New Roman"/>
          <w:sz w:val="24"/>
          <w:szCs w:val="16"/>
          <w:lang w:eastAsia="ru-RU"/>
        </w:rPr>
        <w:t>ии ОАО «Ленэнерго»</w:t>
      </w:r>
      <w:r w:rsidRPr="00805291">
        <w:rPr>
          <w:rFonts w:ascii="Times New Roman" w:eastAsia="Times New Roman" w:hAnsi="Times New Roman" w:cs="Times New Roman"/>
          <w:sz w:val="24"/>
          <w:szCs w:val="16"/>
          <w:lang w:eastAsia="ru-RU"/>
        </w:rPr>
        <w:t xml:space="preserve">, рассчитать доходную часть денежного потока. </w:t>
      </w:r>
    </w:p>
    <w:p w:rsidR="00805291" w:rsidRPr="00805291" w:rsidRDefault="00805291" w:rsidP="00805291">
      <w:pPr>
        <w:spacing w:after="0" w:line="360" w:lineRule="auto"/>
        <w:jc w:val="right"/>
        <w:rPr>
          <w:rFonts w:ascii="Times New Roman" w:eastAsia="Times New Roman" w:hAnsi="Times New Roman" w:cs="Times New Roman"/>
          <w:b/>
          <w:szCs w:val="16"/>
          <w:lang w:eastAsia="ru-RU"/>
        </w:rPr>
      </w:pPr>
      <w:r w:rsidRPr="00805291">
        <w:rPr>
          <w:rFonts w:ascii="Times New Roman" w:eastAsia="Times New Roman" w:hAnsi="Times New Roman" w:cs="Times New Roman"/>
          <w:b/>
          <w:szCs w:val="16"/>
          <w:lang w:eastAsia="ru-RU"/>
        </w:rPr>
        <w:t>Таблица 3. Поступление денежных средств за передачу э/э (2020-2025 гг.)</w:t>
      </w:r>
    </w:p>
    <w:tbl>
      <w:tblPr>
        <w:tblStyle w:val="af6"/>
        <w:tblW w:w="0" w:type="auto"/>
        <w:tblLayout w:type="fixed"/>
        <w:tblLook w:val="04A0" w:firstRow="1" w:lastRow="0" w:firstColumn="1" w:lastColumn="0" w:noHBand="0" w:noVBand="1"/>
      </w:tblPr>
      <w:tblGrid>
        <w:gridCol w:w="2802"/>
        <w:gridCol w:w="1045"/>
        <w:gridCol w:w="1045"/>
        <w:gridCol w:w="1079"/>
        <w:gridCol w:w="1079"/>
        <w:gridCol w:w="1079"/>
        <w:gridCol w:w="1079"/>
      </w:tblGrid>
      <w:tr w:rsidR="00805291" w:rsidRPr="00805291" w:rsidTr="00B76F83">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805291" w:rsidRPr="00805291" w:rsidRDefault="00805291" w:rsidP="00B76F83">
            <w:pPr>
              <w:keepNext/>
              <w:spacing w:line="360" w:lineRule="auto"/>
              <w:contextualSpacing/>
              <w:outlineLvl w:val="5"/>
              <w:rPr>
                <w:rFonts w:ascii="Times New Roman" w:hAnsi="Times New Roman" w:cs="Times New Roman"/>
                <w:sz w:val="24"/>
              </w:rPr>
            </w:pPr>
            <w:r w:rsidRPr="00805291">
              <w:rPr>
                <w:rFonts w:ascii="Times New Roman" w:hAnsi="Times New Roman" w:cs="Times New Roman"/>
                <w:sz w:val="24"/>
              </w:rPr>
              <w:t>Год</w:t>
            </w:r>
          </w:p>
        </w:tc>
        <w:tc>
          <w:tcPr>
            <w:tcW w:w="1045" w:type="dxa"/>
            <w:noWrap/>
            <w:vAlign w:val="center"/>
          </w:tcPr>
          <w:p w:rsidR="00805291" w:rsidRPr="00805291" w:rsidRDefault="00805291" w:rsidP="00B76F8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2020</w:t>
            </w:r>
          </w:p>
        </w:tc>
        <w:tc>
          <w:tcPr>
            <w:tcW w:w="1045" w:type="dxa"/>
            <w:noWrap/>
            <w:vAlign w:val="center"/>
          </w:tcPr>
          <w:p w:rsidR="00805291" w:rsidRPr="00805291" w:rsidRDefault="00805291" w:rsidP="00B76F8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2021</w:t>
            </w:r>
          </w:p>
        </w:tc>
        <w:tc>
          <w:tcPr>
            <w:tcW w:w="1079" w:type="dxa"/>
            <w:noWrap/>
            <w:vAlign w:val="center"/>
          </w:tcPr>
          <w:p w:rsidR="00805291" w:rsidRPr="00805291" w:rsidRDefault="00805291" w:rsidP="00B76F8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2022</w:t>
            </w:r>
          </w:p>
        </w:tc>
        <w:tc>
          <w:tcPr>
            <w:tcW w:w="1079" w:type="dxa"/>
            <w:noWrap/>
            <w:vAlign w:val="center"/>
          </w:tcPr>
          <w:p w:rsidR="00805291" w:rsidRPr="00805291" w:rsidRDefault="00805291" w:rsidP="00B76F8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2023</w:t>
            </w:r>
          </w:p>
        </w:tc>
        <w:tc>
          <w:tcPr>
            <w:tcW w:w="1079" w:type="dxa"/>
            <w:noWrap/>
            <w:vAlign w:val="center"/>
          </w:tcPr>
          <w:p w:rsidR="00805291" w:rsidRPr="00805291" w:rsidRDefault="00805291" w:rsidP="00B76F8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2024</w:t>
            </w:r>
          </w:p>
        </w:tc>
        <w:tc>
          <w:tcPr>
            <w:tcW w:w="1079" w:type="dxa"/>
            <w:noWrap/>
            <w:vAlign w:val="center"/>
          </w:tcPr>
          <w:p w:rsidR="00805291" w:rsidRPr="00805291" w:rsidRDefault="00805291" w:rsidP="00B76F8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2025</w:t>
            </w:r>
          </w:p>
        </w:tc>
      </w:tr>
      <w:tr w:rsidR="00805291" w:rsidRPr="00805291" w:rsidTr="00B76F8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805291" w:rsidRPr="00805291" w:rsidRDefault="00805291" w:rsidP="00B76F83">
            <w:pPr>
              <w:contextualSpacing/>
              <w:rPr>
                <w:rFonts w:ascii="Times New Roman" w:hAnsi="Times New Roman" w:cs="Times New Roman"/>
              </w:rPr>
            </w:pPr>
            <w:r w:rsidRPr="00805291">
              <w:rPr>
                <w:rFonts w:ascii="Times New Roman" w:hAnsi="Times New Roman" w:cs="Times New Roman"/>
              </w:rPr>
              <w:t>Темп роста полезного отпуска</w:t>
            </w:r>
            <w:r w:rsidR="000D0C0F">
              <w:rPr>
                <w:rFonts w:ascii="Times New Roman" w:hAnsi="Times New Roman" w:cs="Times New Roman"/>
              </w:rPr>
              <w:t xml:space="preserve"> (к предыдущему году)</w:t>
            </w:r>
          </w:p>
        </w:tc>
        <w:tc>
          <w:tcPr>
            <w:tcW w:w="1045" w:type="dxa"/>
            <w:noWrap/>
            <w:vAlign w:val="center"/>
            <w:hideMark/>
          </w:tcPr>
          <w:p w:rsidR="00805291" w:rsidRPr="00805291" w:rsidRDefault="00805291" w:rsidP="00B76F8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5" w:type="dxa"/>
            <w:noWrap/>
            <w:vAlign w:val="center"/>
            <w:hideMark/>
          </w:tcPr>
          <w:p w:rsidR="00805291" w:rsidRPr="00805291" w:rsidRDefault="00805291" w:rsidP="00B76F8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0,667</w:t>
            </w:r>
          </w:p>
        </w:tc>
        <w:tc>
          <w:tcPr>
            <w:tcW w:w="1079" w:type="dxa"/>
            <w:noWrap/>
            <w:vAlign w:val="center"/>
            <w:hideMark/>
          </w:tcPr>
          <w:p w:rsidR="00805291" w:rsidRPr="00805291" w:rsidRDefault="00805291" w:rsidP="00B76F8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0,4</w:t>
            </w:r>
          </w:p>
        </w:tc>
        <w:tc>
          <w:tcPr>
            <w:tcW w:w="1079" w:type="dxa"/>
            <w:noWrap/>
            <w:vAlign w:val="center"/>
            <w:hideMark/>
          </w:tcPr>
          <w:p w:rsidR="00805291" w:rsidRPr="00805291" w:rsidRDefault="00805291" w:rsidP="00B76F8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0,134</w:t>
            </w:r>
          </w:p>
        </w:tc>
        <w:tc>
          <w:tcPr>
            <w:tcW w:w="1079" w:type="dxa"/>
            <w:noWrap/>
            <w:vAlign w:val="center"/>
            <w:hideMark/>
          </w:tcPr>
          <w:p w:rsidR="00805291" w:rsidRPr="00805291" w:rsidRDefault="00805291" w:rsidP="00B76F8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0,511</w:t>
            </w:r>
          </w:p>
        </w:tc>
        <w:tc>
          <w:tcPr>
            <w:tcW w:w="1079" w:type="dxa"/>
            <w:noWrap/>
            <w:vAlign w:val="center"/>
            <w:hideMark/>
          </w:tcPr>
          <w:p w:rsidR="00805291" w:rsidRPr="00805291" w:rsidRDefault="00805291" w:rsidP="00B76F8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0,333</w:t>
            </w:r>
          </w:p>
        </w:tc>
      </w:tr>
      <w:tr w:rsidR="00805291" w:rsidRPr="00805291" w:rsidTr="00B76F83">
        <w:trPr>
          <w:cantSplit/>
          <w:trHeight w:val="567"/>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805291" w:rsidRPr="00805291" w:rsidRDefault="00805291" w:rsidP="00B76F83">
            <w:pPr>
              <w:contextualSpacing/>
              <w:rPr>
                <w:rFonts w:ascii="Times New Roman" w:hAnsi="Times New Roman" w:cs="Times New Roman"/>
              </w:rPr>
            </w:pPr>
            <w:r w:rsidRPr="00805291">
              <w:rPr>
                <w:rFonts w:ascii="Times New Roman" w:hAnsi="Times New Roman" w:cs="Times New Roman"/>
              </w:rPr>
              <w:t>Стоимость полезного отпуска, млн. руб.</w:t>
            </w:r>
          </w:p>
        </w:tc>
        <w:tc>
          <w:tcPr>
            <w:tcW w:w="1045" w:type="dxa"/>
            <w:noWrap/>
            <w:vAlign w:val="center"/>
            <w:hideMark/>
          </w:tcPr>
          <w:p w:rsidR="00805291" w:rsidRPr="00805291" w:rsidRDefault="00805291" w:rsidP="00B76F83">
            <w:pPr>
              <w:spacing w:line="360" w:lineRule="auto"/>
              <w:ind w:left="-157"/>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54,097</w:t>
            </w:r>
          </w:p>
        </w:tc>
        <w:tc>
          <w:tcPr>
            <w:tcW w:w="1045" w:type="dxa"/>
            <w:noWrap/>
            <w:vAlign w:val="center"/>
            <w:hideMark/>
          </w:tcPr>
          <w:p w:rsidR="00805291" w:rsidRPr="00805291" w:rsidRDefault="00805291" w:rsidP="00B76F83">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9" w:type="dxa"/>
            <w:noWrap/>
            <w:vAlign w:val="center"/>
            <w:hideMark/>
          </w:tcPr>
          <w:p w:rsidR="00805291" w:rsidRPr="00805291" w:rsidRDefault="00805291" w:rsidP="00B76F83">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9" w:type="dxa"/>
            <w:noWrap/>
            <w:vAlign w:val="center"/>
            <w:hideMark/>
          </w:tcPr>
          <w:p w:rsidR="00805291" w:rsidRPr="00805291" w:rsidRDefault="00805291" w:rsidP="00B76F83">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9" w:type="dxa"/>
            <w:noWrap/>
            <w:vAlign w:val="center"/>
            <w:hideMark/>
          </w:tcPr>
          <w:p w:rsidR="00805291" w:rsidRPr="00805291" w:rsidRDefault="00805291" w:rsidP="00B76F83">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9" w:type="dxa"/>
            <w:noWrap/>
            <w:vAlign w:val="center"/>
            <w:hideMark/>
          </w:tcPr>
          <w:p w:rsidR="00805291" w:rsidRPr="00805291" w:rsidRDefault="00805291" w:rsidP="00B76F83">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05291" w:rsidRPr="00805291" w:rsidTr="00B76F8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805291" w:rsidRPr="00805291" w:rsidRDefault="00805291" w:rsidP="00B76F83">
            <w:pPr>
              <w:contextualSpacing/>
              <w:rPr>
                <w:rFonts w:ascii="Times New Roman" w:hAnsi="Times New Roman" w:cs="Times New Roman"/>
              </w:rPr>
            </w:pPr>
            <w:r w:rsidRPr="00805291">
              <w:rPr>
                <w:rFonts w:ascii="Times New Roman" w:hAnsi="Times New Roman" w:cs="Times New Roman"/>
              </w:rPr>
              <w:t>Темп роста цен на передачу э/э</w:t>
            </w:r>
            <w:r w:rsidR="000D0C0F">
              <w:rPr>
                <w:rFonts w:ascii="Times New Roman" w:hAnsi="Times New Roman" w:cs="Times New Roman"/>
              </w:rPr>
              <w:t xml:space="preserve"> (к предыдущему году)</w:t>
            </w:r>
          </w:p>
        </w:tc>
        <w:tc>
          <w:tcPr>
            <w:tcW w:w="1045" w:type="dxa"/>
            <w:noWrap/>
            <w:vAlign w:val="center"/>
            <w:hideMark/>
          </w:tcPr>
          <w:p w:rsidR="00805291" w:rsidRPr="00805291" w:rsidRDefault="00805291" w:rsidP="00B76F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0,0139</w:t>
            </w:r>
          </w:p>
        </w:tc>
        <w:tc>
          <w:tcPr>
            <w:tcW w:w="1045" w:type="dxa"/>
            <w:noWrap/>
            <w:vAlign w:val="center"/>
            <w:hideMark/>
          </w:tcPr>
          <w:p w:rsidR="00805291" w:rsidRPr="00805291" w:rsidRDefault="00805291" w:rsidP="00B76F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0,0203</w:t>
            </w:r>
          </w:p>
        </w:tc>
        <w:tc>
          <w:tcPr>
            <w:tcW w:w="1079" w:type="dxa"/>
            <w:noWrap/>
            <w:vAlign w:val="center"/>
            <w:hideMark/>
          </w:tcPr>
          <w:p w:rsidR="00805291" w:rsidRPr="00805291" w:rsidRDefault="00805291" w:rsidP="00B76F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0,0251</w:t>
            </w:r>
          </w:p>
        </w:tc>
        <w:tc>
          <w:tcPr>
            <w:tcW w:w="1079" w:type="dxa"/>
            <w:noWrap/>
            <w:vAlign w:val="center"/>
            <w:hideMark/>
          </w:tcPr>
          <w:p w:rsidR="00805291" w:rsidRPr="00805291" w:rsidRDefault="00805291" w:rsidP="00B76F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0,0261</w:t>
            </w:r>
          </w:p>
        </w:tc>
        <w:tc>
          <w:tcPr>
            <w:tcW w:w="1079" w:type="dxa"/>
            <w:noWrap/>
            <w:vAlign w:val="center"/>
            <w:hideMark/>
          </w:tcPr>
          <w:p w:rsidR="00805291" w:rsidRPr="00805291" w:rsidRDefault="00805291" w:rsidP="00B76F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0,0258</w:t>
            </w:r>
          </w:p>
        </w:tc>
        <w:tc>
          <w:tcPr>
            <w:tcW w:w="1079" w:type="dxa"/>
            <w:noWrap/>
            <w:vAlign w:val="center"/>
            <w:hideMark/>
          </w:tcPr>
          <w:p w:rsidR="00805291" w:rsidRPr="00805291" w:rsidRDefault="00805291" w:rsidP="00B76F8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0,0353</w:t>
            </w:r>
          </w:p>
        </w:tc>
      </w:tr>
      <w:tr w:rsidR="00805291" w:rsidRPr="00805291" w:rsidTr="00B76F83">
        <w:trPr>
          <w:cantSplit/>
          <w:trHeight w:val="567"/>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805291" w:rsidRPr="00805291" w:rsidRDefault="00805291" w:rsidP="00B76F83">
            <w:pPr>
              <w:spacing w:line="360" w:lineRule="auto"/>
              <w:contextualSpacing/>
              <w:rPr>
                <w:rFonts w:ascii="Times New Roman" w:hAnsi="Times New Roman" w:cs="Times New Roman"/>
              </w:rPr>
            </w:pPr>
            <w:r w:rsidRPr="00805291">
              <w:rPr>
                <w:rFonts w:ascii="Times New Roman" w:hAnsi="Times New Roman" w:cs="Times New Roman"/>
              </w:rPr>
              <w:t>Доходы, тыс. руб.</w:t>
            </w:r>
          </w:p>
        </w:tc>
        <w:tc>
          <w:tcPr>
            <w:tcW w:w="1045" w:type="dxa"/>
            <w:noWrap/>
            <w:vAlign w:val="center"/>
            <w:hideMark/>
          </w:tcPr>
          <w:p w:rsidR="00805291" w:rsidRPr="00805291" w:rsidRDefault="00805291" w:rsidP="00B76F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05291">
              <w:rPr>
                <w:rFonts w:ascii="Times New Roman" w:hAnsi="Times New Roman" w:cs="Times New Roman"/>
                <w:color w:val="000000" w:themeColor="text1"/>
              </w:rPr>
              <w:t>45845</w:t>
            </w:r>
          </w:p>
        </w:tc>
        <w:tc>
          <w:tcPr>
            <w:tcW w:w="1045" w:type="dxa"/>
            <w:noWrap/>
            <w:vAlign w:val="center"/>
            <w:hideMark/>
          </w:tcPr>
          <w:p w:rsidR="00805291" w:rsidRPr="00805291" w:rsidRDefault="00805291" w:rsidP="00B76F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05291">
              <w:rPr>
                <w:rFonts w:ascii="Times New Roman" w:hAnsi="Times New Roman" w:cs="Times New Roman"/>
                <w:color w:val="000000" w:themeColor="text1"/>
              </w:rPr>
              <w:t>77955</w:t>
            </w:r>
          </w:p>
        </w:tc>
        <w:tc>
          <w:tcPr>
            <w:tcW w:w="1079" w:type="dxa"/>
            <w:noWrap/>
            <w:vAlign w:val="center"/>
            <w:hideMark/>
          </w:tcPr>
          <w:p w:rsidR="00805291" w:rsidRPr="00805291" w:rsidRDefault="00805291" w:rsidP="00B76F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111888</w:t>
            </w:r>
          </w:p>
        </w:tc>
        <w:tc>
          <w:tcPr>
            <w:tcW w:w="1079" w:type="dxa"/>
            <w:noWrap/>
            <w:vAlign w:val="center"/>
            <w:hideMark/>
          </w:tcPr>
          <w:p w:rsidR="00805291" w:rsidRPr="00805291" w:rsidRDefault="00805291" w:rsidP="00B76F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130234</w:t>
            </w:r>
          </w:p>
        </w:tc>
        <w:tc>
          <w:tcPr>
            <w:tcW w:w="1079" w:type="dxa"/>
            <w:noWrap/>
            <w:vAlign w:val="center"/>
            <w:hideMark/>
          </w:tcPr>
          <w:p w:rsidR="00805291" w:rsidRPr="00805291" w:rsidRDefault="00805291" w:rsidP="00B76F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201886</w:t>
            </w:r>
          </w:p>
        </w:tc>
        <w:tc>
          <w:tcPr>
            <w:tcW w:w="1079" w:type="dxa"/>
            <w:noWrap/>
            <w:vAlign w:val="center"/>
            <w:hideMark/>
          </w:tcPr>
          <w:p w:rsidR="00805291" w:rsidRPr="00805291" w:rsidRDefault="00805291" w:rsidP="00B76F8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278683</w:t>
            </w:r>
          </w:p>
        </w:tc>
      </w:tr>
    </w:tbl>
    <w:p w:rsidR="00805291" w:rsidRPr="00805291" w:rsidRDefault="00805291" w:rsidP="00805291">
      <w:pPr>
        <w:keepNext/>
        <w:keepLines/>
        <w:spacing w:before="200" w:after="0"/>
        <w:outlineLvl w:val="1"/>
        <w:rPr>
          <w:rFonts w:asciiTheme="majorHAnsi" w:eastAsiaTheme="majorEastAsia" w:hAnsiTheme="majorHAnsi" w:cstheme="majorBidi"/>
          <w:b/>
          <w:bCs/>
          <w:color w:val="4F81BD" w:themeColor="accent1"/>
          <w:sz w:val="26"/>
          <w:szCs w:val="26"/>
        </w:rPr>
      </w:pPr>
      <w:bookmarkStart w:id="47" w:name="_Toc445763070"/>
      <w:bookmarkStart w:id="48" w:name="_Toc450920850"/>
      <w:r w:rsidRPr="00805291">
        <w:rPr>
          <w:rFonts w:asciiTheme="majorHAnsi" w:eastAsiaTheme="majorEastAsia" w:hAnsiTheme="majorHAnsi" w:cstheme="majorBidi"/>
          <w:b/>
          <w:bCs/>
          <w:color w:val="4F81BD" w:themeColor="accent1"/>
          <w:sz w:val="26"/>
          <w:szCs w:val="26"/>
        </w:rPr>
        <w:t>2.</w:t>
      </w:r>
      <w:r w:rsidR="005C5C04">
        <w:rPr>
          <w:rFonts w:asciiTheme="majorHAnsi" w:eastAsiaTheme="majorEastAsia" w:hAnsiTheme="majorHAnsi" w:cstheme="majorBidi"/>
          <w:b/>
          <w:bCs/>
          <w:color w:val="4F81BD" w:themeColor="accent1"/>
          <w:sz w:val="26"/>
          <w:szCs w:val="26"/>
        </w:rPr>
        <w:t>3.</w:t>
      </w:r>
      <w:r w:rsidRPr="00805291">
        <w:rPr>
          <w:rFonts w:asciiTheme="majorHAnsi" w:eastAsiaTheme="majorEastAsia" w:hAnsiTheme="majorHAnsi" w:cstheme="majorBidi"/>
          <w:b/>
          <w:bCs/>
          <w:color w:val="4F81BD" w:themeColor="accent1"/>
          <w:sz w:val="26"/>
          <w:szCs w:val="26"/>
        </w:rPr>
        <w:t>4. Расходная часть денежного потока</w:t>
      </w:r>
      <w:bookmarkEnd w:id="47"/>
      <w:bookmarkEnd w:id="48"/>
    </w:p>
    <w:p w:rsidR="00805291" w:rsidRPr="00805291" w:rsidRDefault="00805291" w:rsidP="00805291"/>
    <w:p w:rsidR="00805291" w:rsidRPr="00805291" w:rsidRDefault="00805291" w:rsidP="00805291">
      <w:pPr>
        <w:spacing w:line="360" w:lineRule="auto"/>
        <w:ind w:firstLine="709"/>
        <w:rPr>
          <w:rFonts w:ascii="Times New Roman" w:hAnsi="Times New Roman" w:cs="Times New Roman"/>
          <w:sz w:val="24"/>
        </w:rPr>
      </w:pPr>
      <w:r w:rsidRPr="00805291">
        <w:rPr>
          <w:rFonts w:ascii="Times New Roman" w:hAnsi="Times New Roman" w:cs="Times New Roman"/>
          <w:sz w:val="24"/>
        </w:rPr>
        <w:t>Исходящие денежные потоки, или операционные денежные потоки, как они определены в документах ПАО «Ленэнерго», в соответствии с методикой расчетов компании состоят из следующих элементов:</w:t>
      </w:r>
    </w:p>
    <w:p w:rsidR="00805291" w:rsidRPr="00805291" w:rsidRDefault="00805291" w:rsidP="00805291">
      <w:pPr>
        <w:numPr>
          <w:ilvl w:val="0"/>
          <w:numId w:val="27"/>
        </w:numPr>
        <w:spacing w:line="360" w:lineRule="auto"/>
        <w:ind w:firstLine="709"/>
        <w:contextualSpacing/>
        <w:rPr>
          <w:rFonts w:ascii="Times New Roman" w:hAnsi="Times New Roman" w:cs="Times New Roman"/>
          <w:sz w:val="24"/>
        </w:rPr>
      </w:pPr>
      <w:r w:rsidRPr="00805291">
        <w:rPr>
          <w:rFonts w:ascii="Times New Roman" w:hAnsi="Times New Roman" w:cs="Times New Roman"/>
          <w:sz w:val="24"/>
        </w:rPr>
        <w:t>увеличение расходов на содержание и эксплуатацию оборудования</w:t>
      </w:r>
    </w:p>
    <w:p w:rsidR="00805291" w:rsidRPr="00805291" w:rsidRDefault="00805291" w:rsidP="00805291">
      <w:pPr>
        <w:numPr>
          <w:ilvl w:val="0"/>
          <w:numId w:val="26"/>
        </w:numPr>
        <w:spacing w:line="360" w:lineRule="auto"/>
        <w:ind w:firstLine="709"/>
        <w:contextualSpacing/>
        <w:rPr>
          <w:rFonts w:ascii="Times New Roman" w:hAnsi="Times New Roman" w:cs="Times New Roman"/>
          <w:sz w:val="24"/>
        </w:rPr>
      </w:pPr>
      <w:r w:rsidRPr="00805291">
        <w:rPr>
          <w:rFonts w:ascii="Times New Roman" w:hAnsi="Times New Roman" w:cs="Times New Roman"/>
          <w:sz w:val="24"/>
        </w:rPr>
        <w:t>потери э/энергии</w:t>
      </w:r>
    </w:p>
    <w:p w:rsidR="00805291" w:rsidRPr="00805291" w:rsidRDefault="00805291" w:rsidP="00805291">
      <w:pPr>
        <w:numPr>
          <w:ilvl w:val="0"/>
          <w:numId w:val="26"/>
        </w:numPr>
        <w:spacing w:line="360" w:lineRule="auto"/>
        <w:ind w:firstLine="709"/>
        <w:contextualSpacing/>
        <w:rPr>
          <w:rFonts w:ascii="Times New Roman" w:hAnsi="Times New Roman" w:cs="Times New Roman"/>
          <w:sz w:val="24"/>
        </w:rPr>
      </w:pPr>
      <w:r w:rsidRPr="00805291">
        <w:rPr>
          <w:rFonts w:ascii="Times New Roman" w:hAnsi="Times New Roman" w:cs="Times New Roman"/>
          <w:sz w:val="24"/>
        </w:rPr>
        <w:t>налог на имущество (после ввода объекта в эксплуатацию)</w:t>
      </w:r>
    </w:p>
    <w:p w:rsidR="00805291" w:rsidRPr="00805291" w:rsidRDefault="00805291" w:rsidP="00805291">
      <w:pPr>
        <w:spacing w:line="360" w:lineRule="auto"/>
        <w:ind w:firstLine="709"/>
        <w:rPr>
          <w:rFonts w:ascii="Times New Roman" w:hAnsi="Times New Roman" w:cs="Times New Roman"/>
          <w:sz w:val="24"/>
        </w:rPr>
      </w:pPr>
      <w:r w:rsidRPr="00805291">
        <w:rPr>
          <w:rFonts w:ascii="Times New Roman" w:hAnsi="Times New Roman" w:cs="Times New Roman"/>
          <w:sz w:val="24"/>
        </w:rPr>
        <w:t>Найдем количественное выражение каждого из них.</w:t>
      </w:r>
    </w:p>
    <w:p w:rsidR="00805291" w:rsidRPr="00805291" w:rsidRDefault="00805291" w:rsidP="00805291">
      <w:pPr>
        <w:spacing w:line="360" w:lineRule="auto"/>
        <w:ind w:firstLine="709"/>
        <w:rPr>
          <w:rFonts w:ascii="Times New Roman" w:hAnsi="Times New Roman" w:cs="Times New Roman"/>
          <w:sz w:val="24"/>
        </w:rPr>
      </w:pPr>
      <w:r w:rsidRPr="00805291">
        <w:rPr>
          <w:rFonts w:ascii="Times New Roman" w:hAnsi="Times New Roman" w:cs="Times New Roman"/>
          <w:sz w:val="24"/>
        </w:rPr>
        <w:t>Для расчета расходов на содержание и эксплуатацию оборудования в рассматриваемой компании используется следующий способ: необходимо взять из сопутствующих документов количество условных единиц, присвоенных данному объекту, и умножить его на установленную стоимость одной условной единицы для данного типа объекта в зависимости от его местоположения (город/область), скорректировав на темпы роста цен на товары (работы, услуги), потребляемые ОАО «Ленэнерго».</w:t>
      </w:r>
    </w:p>
    <w:p w:rsidR="00805291" w:rsidRPr="00805291" w:rsidRDefault="00805291" w:rsidP="00805291">
      <w:pPr>
        <w:spacing w:after="0" w:line="360" w:lineRule="auto"/>
        <w:jc w:val="right"/>
        <w:rPr>
          <w:rFonts w:ascii="Times New Roman" w:hAnsi="Times New Roman" w:cs="Times New Roman"/>
          <w:b/>
        </w:rPr>
      </w:pPr>
      <w:r w:rsidRPr="00805291">
        <w:rPr>
          <w:rFonts w:ascii="Times New Roman" w:hAnsi="Times New Roman" w:cs="Times New Roman"/>
          <w:b/>
        </w:rPr>
        <w:lastRenderedPageBreak/>
        <w:t>Таблица 4. Расчет расходов на содержание и эксплуатацию оборудования (2020-2025 гг.)</w:t>
      </w:r>
    </w:p>
    <w:tbl>
      <w:tblPr>
        <w:tblStyle w:val="af6"/>
        <w:tblW w:w="9322" w:type="dxa"/>
        <w:tblLayout w:type="fixed"/>
        <w:tblLook w:val="04A0" w:firstRow="1" w:lastRow="0" w:firstColumn="1" w:lastColumn="0" w:noHBand="0" w:noVBand="1"/>
      </w:tblPr>
      <w:tblGrid>
        <w:gridCol w:w="3369"/>
        <w:gridCol w:w="1134"/>
        <w:gridCol w:w="992"/>
        <w:gridCol w:w="1134"/>
        <w:gridCol w:w="992"/>
        <w:gridCol w:w="851"/>
        <w:gridCol w:w="850"/>
      </w:tblGrid>
      <w:tr w:rsidR="00805291" w:rsidRPr="00805291" w:rsidTr="008953D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69" w:type="dxa"/>
            <w:noWrap/>
            <w:vAlign w:val="center"/>
          </w:tcPr>
          <w:p w:rsidR="00805291" w:rsidRPr="00805291" w:rsidRDefault="00805291" w:rsidP="00B76F83">
            <w:pPr>
              <w:spacing w:line="360" w:lineRule="auto"/>
              <w:contextualSpacing/>
              <w:rPr>
                <w:rFonts w:ascii="Times New Roman" w:hAnsi="Times New Roman" w:cs="Times New Roman"/>
              </w:rPr>
            </w:pPr>
            <w:r w:rsidRPr="00805291">
              <w:rPr>
                <w:rFonts w:ascii="Times New Roman" w:hAnsi="Times New Roman" w:cs="Times New Roman"/>
              </w:rPr>
              <w:t>Год</w:t>
            </w:r>
          </w:p>
        </w:tc>
        <w:tc>
          <w:tcPr>
            <w:tcW w:w="1134" w:type="dxa"/>
            <w:noWrap/>
            <w:vAlign w:val="center"/>
          </w:tcPr>
          <w:p w:rsidR="00805291" w:rsidRPr="00805291" w:rsidRDefault="00805291" w:rsidP="00B76F83">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2020</w:t>
            </w:r>
          </w:p>
        </w:tc>
        <w:tc>
          <w:tcPr>
            <w:tcW w:w="992" w:type="dxa"/>
            <w:noWrap/>
            <w:vAlign w:val="center"/>
          </w:tcPr>
          <w:p w:rsidR="00805291" w:rsidRPr="00805291" w:rsidRDefault="00805291" w:rsidP="00B76F83">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2021</w:t>
            </w:r>
          </w:p>
        </w:tc>
        <w:tc>
          <w:tcPr>
            <w:tcW w:w="1134" w:type="dxa"/>
            <w:noWrap/>
            <w:vAlign w:val="center"/>
          </w:tcPr>
          <w:p w:rsidR="00805291" w:rsidRPr="00805291" w:rsidRDefault="00805291" w:rsidP="00B76F83">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2022</w:t>
            </w:r>
          </w:p>
        </w:tc>
        <w:tc>
          <w:tcPr>
            <w:tcW w:w="992" w:type="dxa"/>
            <w:noWrap/>
            <w:vAlign w:val="center"/>
          </w:tcPr>
          <w:p w:rsidR="00805291" w:rsidRPr="00805291" w:rsidRDefault="00805291" w:rsidP="00B76F83">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2023</w:t>
            </w:r>
          </w:p>
        </w:tc>
        <w:tc>
          <w:tcPr>
            <w:tcW w:w="851" w:type="dxa"/>
            <w:noWrap/>
            <w:vAlign w:val="center"/>
          </w:tcPr>
          <w:p w:rsidR="00805291" w:rsidRPr="00805291" w:rsidRDefault="00805291" w:rsidP="00B76F83">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2024</w:t>
            </w:r>
          </w:p>
        </w:tc>
        <w:tc>
          <w:tcPr>
            <w:tcW w:w="850" w:type="dxa"/>
            <w:noWrap/>
            <w:vAlign w:val="center"/>
          </w:tcPr>
          <w:p w:rsidR="00805291" w:rsidRPr="00805291" w:rsidRDefault="00805291" w:rsidP="00B76F83">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2025</w:t>
            </w:r>
          </w:p>
        </w:tc>
      </w:tr>
      <w:tr w:rsidR="00805291" w:rsidRPr="00805291" w:rsidTr="008953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805291" w:rsidRPr="00805291" w:rsidRDefault="00805291" w:rsidP="00B76F83">
            <w:pPr>
              <w:spacing w:line="360" w:lineRule="auto"/>
              <w:contextualSpacing/>
              <w:rPr>
                <w:rFonts w:ascii="Times New Roman" w:hAnsi="Times New Roman" w:cs="Times New Roman"/>
              </w:rPr>
            </w:pPr>
            <w:r w:rsidRPr="00805291">
              <w:rPr>
                <w:rFonts w:ascii="Times New Roman" w:hAnsi="Times New Roman" w:cs="Times New Roman"/>
              </w:rPr>
              <w:t>Стоимость 1 УЕ</w:t>
            </w:r>
          </w:p>
        </w:tc>
        <w:tc>
          <w:tcPr>
            <w:tcW w:w="1134" w:type="dxa"/>
            <w:noWrap/>
            <w:vAlign w:val="center"/>
            <w:hideMark/>
          </w:tcPr>
          <w:p w:rsidR="00805291" w:rsidRPr="00805291" w:rsidRDefault="00805291" w:rsidP="00B76F83">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17,21</w:t>
            </w:r>
          </w:p>
        </w:tc>
        <w:tc>
          <w:tcPr>
            <w:tcW w:w="992" w:type="dxa"/>
            <w:noWrap/>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134" w:type="dxa"/>
            <w:noWrap/>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92" w:type="dxa"/>
            <w:noWrap/>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51" w:type="dxa"/>
            <w:noWrap/>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50" w:type="dxa"/>
            <w:noWrap/>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805291" w:rsidRPr="00805291" w:rsidTr="008953D5">
        <w:trPr>
          <w:trHeight w:val="567"/>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805291" w:rsidRPr="00805291" w:rsidRDefault="00805291" w:rsidP="00B76F83">
            <w:pPr>
              <w:spacing w:line="360" w:lineRule="auto"/>
              <w:contextualSpacing/>
              <w:rPr>
                <w:rFonts w:ascii="Times New Roman" w:hAnsi="Times New Roman" w:cs="Times New Roman"/>
              </w:rPr>
            </w:pPr>
            <w:r w:rsidRPr="00805291">
              <w:rPr>
                <w:rFonts w:ascii="Times New Roman" w:hAnsi="Times New Roman" w:cs="Times New Roman"/>
              </w:rPr>
              <w:t>Количество УЕ</w:t>
            </w:r>
          </w:p>
        </w:tc>
        <w:tc>
          <w:tcPr>
            <w:tcW w:w="1134" w:type="dxa"/>
            <w:noWrap/>
            <w:vAlign w:val="center"/>
            <w:hideMark/>
          </w:tcPr>
          <w:p w:rsidR="00805291" w:rsidRPr="00805291" w:rsidRDefault="00805291" w:rsidP="00B76F83">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478</w:t>
            </w:r>
          </w:p>
        </w:tc>
        <w:tc>
          <w:tcPr>
            <w:tcW w:w="992" w:type="dxa"/>
            <w:noWrap/>
            <w:vAlign w:val="center"/>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noWrap/>
            <w:vAlign w:val="center"/>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noWrap/>
            <w:vAlign w:val="center"/>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vAlign w:val="center"/>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vAlign w:val="center"/>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05291" w:rsidRPr="00805291" w:rsidTr="008953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805291" w:rsidRPr="00805291" w:rsidRDefault="00805291" w:rsidP="008953D5">
            <w:pPr>
              <w:contextualSpacing/>
              <w:rPr>
                <w:rFonts w:ascii="Times New Roman" w:hAnsi="Times New Roman" w:cs="Times New Roman"/>
              </w:rPr>
            </w:pPr>
            <w:r w:rsidRPr="00805291">
              <w:rPr>
                <w:rFonts w:ascii="Times New Roman" w:hAnsi="Times New Roman" w:cs="Times New Roman"/>
              </w:rPr>
              <w:t>Темп роста цен на товары («Ленэнерго»)</w:t>
            </w:r>
          </w:p>
        </w:tc>
        <w:tc>
          <w:tcPr>
            <w:tcW w:w="1134" w:type="dxa"/>
            <w:noWrap/>
            <w:vAlign w:val="center"/>
            <w:hideMark/>
          </w:tcPr>
          <w:p w:rsidR="00805291" w:rsidRPr="00805291" w:rsidRDefault="00805291" w:rsidP="00B76F8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1,375</w:t>
            </w:r>
          </w:p>
        </w:tc>
        <w:tc>
          <w:tcPr>
            <w:tcW w:w="992" w:type="dxa"/>
            <w:noWrap/>
            <w:vAlign w:val="center"/>
            <w:hideMark/>
          </w:tcPr>
          <w:p w:rsidR="00805291" w:rsidRPr="00805291" w:rsidRDefault="00805291" w:rsidP="00B76F8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1,043</w:t>
            </w:r>
          </w:p>
        </w:tc>
        <w:tc>
          <w:tcPr>
            <w:tcW w:w="1134" w:type="dxa"/>
            <w:noWrap/>
            <w:vAlign w:val="center"/>
            <w:hideMark/>
          </w:tcPr>
          <w:p w:rsidR="00805291" w:rsidRPr="00805291" w:rsidRDefault="00805291" w:rsidP="00B76F8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1,043</w:t>
            </w:r>
          </w:p>
        </w:tc>
        <w:tc>
          <w:tcPr>
            <w:tcW w:w="992" w:type="dxa"/>
            <w:noWrap/>
            <w:vAlign w:val="center"/>
            <w:hideMark/>
          </w:tcPr>
          <w:p w:rsidR="00805291" w:rsidRPr="00805291" w:rsidRDefault="00805291" w:rsidP="00B76F8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1,043</w:t>
            </w:r>
          </w:p>
        </w:tc>
        <w:tc>
          <w:tcPr>
            <w:tcW w:w="851" w:type="dxa"/>
            <w:noWrap/>
            <w:vAlign w:val="center"/>
            <w:hideMark/>
          </w:tcPr>
          <w:p w:rsidR="00805291" w:rsidRPr="00805291" w:rsidRDefault="008953D5" w:rsidP="00B76F8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805291" w:rsidRPr="00805291">
              <w:rPr>
                <w:rFonts w:ascii="Times New Roman" w:hAnsi="Times New Roman" w:cs="Times New Roman"/>
              </w:rPr>
              <w:t>,043</w:t>
            </w:r>
          </w:p>
        </w:tc>
        <w:tc>
          <w:tcPr>
            <w:tcW w:w="850" w:type="dxa"/>
            <w:noWrap/>
            <w:vAlign w:val="center"/>
            <w:hideMark/>
          </w:tcPr>
          <w:p w:rsidR="00805291" w:rsidRPr="00805291" w:rsidRDefault="008953D5" w:rsidP="008953D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805291" w:rsidRPr="00805291">
              <w:rPr>
                <w:rFonts w:ascii="Times New Roman" w:hAnsi="Times New Roman" w:cs="Times New Roman"/>
              </w:rPr>
              <w:t>,043</w:t>
            </w:r>
          </w:p>
        </w:tc>
      </w:tr>
      <w:tr w:rsidR="00805291" w:rsidRPr="00805291" w:rsidTr="008953D5">
        <w:trPr>
          <w:trHeight w:val="567"/>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rsidR="00805291" w:rsidRPr="00805291" w:rsidRDefault="00805291" w:rsidP="00B76F83">
            <w:pPr>
              <w:spacing w:line="360" w:lineRule="auto"/>
              <w:contextualSpacing/>
              <w:rPr>
                <w:rFonts w:ascii="Times New Roman" w:hAnsi="Times New Roman" w:cs="Times New Roman"/>
              </w:rPr>
            </w:pPr>
            <w:r w:rsidRPr="00805291">
              <w:rPr>
                <w:rFonts w:ascii="Times New Roman" w:hAnsi="Times New Roman" w:cs="Times New Roman"/>
              </w:rPr>
              <w:t>Расходы</w:t>
            </w:r>
          </w:p>
        </w:tc>
        <w:tc>
          <w:tcPr>
            <w:tcW w:w="1134" w:type="dxa"/>
            <w:noWrap/>
            <w:vAlign w:val="center"/>
            <w:hideMark/>
          </w:tcPr>
          <w:p w:rsidR="00805291" w:rsidRPr="00805291" w:rsidRDefault="00805291" w:rsidP="008953D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11309</w:t>
            </w:r>
          </w:p>
        </w:tc>
        <w:tc>
          <w:tcPr>
            <w:tcW w:w="992" w:type="dxa"/>
            <w:noWrap/>
            <w:vAlign w:val="center"/>
            <w:hideMark/>
          </w:tcPr>
          <w:p w:rsidR="00805291" w:rsidRPr="00805291" w:rsidRDefault="00805291" w:rsidP="008953D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11794</w:t>
            </w:r>
          </w:p>
        </w:tc>
        <w:tc>
          <w:tcPr>
            <w:tcW w:w="1134" w:type="dxa"/>
            <w:noWrap/>
            <w:vAlign w:val="center"/>
            <w:hideMark/>
          </w:tcPr>
          <w:p w:rsidR="00805291" w:rsidRPr="00805291" w:rsidRDefault="00805291" w:rsidP="008953D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12299</w:t>
            </w:r>
          </w:p>
        </w:tc>
        <w:tc>
          <w:tcPr>
            <w:tcW w:w="992" w:type="dxa"/>
            <w:noWrap/>
            <w:vAlign w:val="center"/>
            <w:hideMark/>
          </w:tcPr>
          <w:p w:rsidR="00805291" w:rsidRPr="00805291" w:rsidRDefault="00805291" w:rsidP="008953D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12827</w:t>
            </w:r>
          </w:p>
        </w:tc>
        <w:tc>
          <w:tcPr>
            <w:tcW w:w="851" w:type="dxa"/>
            <w:noWrap/>
            <w:vAlign w:val="center"/>
            <w:hideMark/>
          </w:tcPr>
          <w:p w:rsidR="00805291" w:rsidRPr="00805291" w:rsidRDefault="00805291" w:rsidP="008953D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13377</w:t>
            </w:r>
          </w:p>
        </w:tc>
        <w:tc>
          <w:tcPr>
            <w:tcW w:w="850" w:type="dxa"/>
            <w:noWrap/>
            <w:vAlign w:val="center"/>
            <w:hideMark/>
          </w:tcPr>
          <w:p w:rsidR="00805291" w:rsidRPr="00805291" w:rsidRDefault="00805291" w:rsidP="008953D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13950</w:t>
            </w:r>
          </w:p>
        </w:tc>
      </w:tr>
    </w:tbl>
    <w:p w:rsidR="008953D5" w:rsidRDefault="008953D5" w:rsidP="008953D5">
      <w:pPr>
        <w:spacing w:after="0"/>
        <w:ind w:firstLine="709"/>
        <w:rPr>
          <w:rFonts w:ascii="Times New Roman" w:hAnsi="Times New Roman" w:cs="Times New Roman"/>
          <w:sz w:val="24"/>
        </w:rPr>
      </w:pPr>
    </w:p>
    <w:p w:rsidR="00805291" w:rsidRPr="00805291" w:rsidRDefault="00805291" w:rsidP="008953D5">
      <w:pPr>
        <w:spacing w:after="0"/>
        <w:ind w:firstLine="709"/>
        <w:rPr>
          <w:rFonts w:ascii="Times New Roman" w:hAnsi="Times New Roman" w:cs="Times New Roman"/>
          <w:sz w:val="24"/>
        </w:rPr>
      </w:pPr>
      <w:r w:rsidRPr="00805291">
        <w:rPr>
          <w:rFonts w:ascii="Times New Roman" w:hAnsi="Times New Roman" w:cs="Times New Roman"/>
          <w:sz w:val="24"/>
        </w:rPr>
        <w:t>Следующая статья расходов – расходы на потерю электроэнергии.</w:t>
      </w:r>
    </w:p>
    <w:p w:rsidR="00805291" w:rsidRPr="00805291" w:rsidRDefault="00805291" w:rsidP="008953D5">
      <w:pPr>
        <w:spacing w:after="0"/>
        <w:ind w:firstLine="709"/>
        <w:rPr>
          <w:rFonts w:ascii="Times New Roman" w:hAnsi="Times New Roman" w:cs="Times New Roman"/>
          <w:sz w:val="24"/>
        </w:rPr>
      </w:pPr>
      <w:r w:rsidRPr="00805291">
        <w:rPr>
          <w:rFonts w:ascii="Times New Roman" w:hAnsi="Times New Roman" w:cs="Times New Roman"/>
          <w:sz w:val="24"/>
        </w:rPr>
        <w:t>Для расчета этого показателя необходимо придерживаться следующего алгоритма: 10% дохода определенного года умножается на темпы роста цен на покупку потерь ОАО «Ленэнерго»:</w:t>
      </w:r>
    </w:p>
    <w:p w:rsidR="00805291" w:rsidRPr="00805291" w:rsidRDefault="00805291" w:rsidP="00805291">
      <w:pPr>
        <w:spacing w:after="0"/>
        <w:ind w:firstLine="709"/>
        <w:jc w:val="right"/>
        <w:rPr>
          <w:rFonts w:ascii="Times New Roman" w:hAnsi="Times New Roman" w:cs="Times New Roman"/>
          <w:b/>
        </w:rPr>
      </w:pPr>
      <w:r w:rsidRPr="00805291">
        <w:rPr>
          <w:rFonts w:ascii="Times New Roman" w:hAnsi="Times New Roman" w:cs="Times New Roman"/>
          <w:b/>
        </w:rPr>
        <w:t>Таблица 5. Расчет расходов на потерю э/э (2020-2025гг.)</w:t>
      </w:r>
    </w:p>
    <w:tbl>
      <w:tblPr>
        <w:tblStyle w:val="af6"/>
        <w:tblW w:w="5000" w:type="pct"/>
        <w:tblLayout w:type="fixed"/>
        <w:tblLook w:val="04A0" w:firstRow="1" w:lastRow="0" w:firstColumn="1" w:lastColumn="0" w:noHBand="0" w:noVBand="1"/>
      </w:tblPr>
      <w:tblGrid>
        <w:gridCol w:w="3154"/>
        <w:gridCol w:w="1107"/>
        <w:gridCol w:w="1108"/>
        <w:gridCol w:w="971"/>
        <w:gridCol w:w="1108"/>
        <w:gridCol w:w="971"/>
        <w:gridCol w:w="936"/>
      </w:tblGrid>
      <w:tr w:rsidR="008953D5" w:rsidRPr="00805291" w:rsidTr="008953D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86" w:type="pct"/>
            <w:noWrap/>
            <w:vAlign w:val="center"/>
          </w:tcPr>
          <w:p w:rsidR="00805291" w:rsidRPr="00805291" w:rsidRDefault="00805291" w:rsidP="008953D5">
            <w:pPr>
              <w:contextualSpacing/>
              <w:rPr>
                <w:rFonts w:ascii="Times New Roman" w:hAnsi="Times New Roman" w:cs="Times New Roman"/>
              </w:rPr>
            </w:pPr>
            <w:r w:rsidRPr="00805291">
              <w:rPr>
                <w:rFonts w:ascii="Times New Roman" w:hAnsi="Times New Roman" w:cs="Times New Roman"/>
              </w:rPr>
              <w:t>Год</w:t>
            </w:r>
          </w:p>
        </w:tc>
        <w:tc>
          <w:tcPr>
            <w:tcW w:w="592" w:type="pct"/>
            <w:noWrap/>
            <w:vAlign w:val="center"/>
          </w:tcPr>
          <w:p w:rsidR="00805291" w:rsidRPr="00805291" w:rsidRDefault="00805291" w:rsidP="008953D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2020</w:t>
            </w:r>
          </w:p>
        </w:tc>
        <w:tc>
          <w:tcPr>
            <w:tcW w:w="592" w:type="pct"/>
            <w:noWrap/>
            <w:vAlign w:val="center"/>
          </w:tcPr>
          <w:p w:rsidR="00805291" w:rsidRPr="00805291" w:rsidRDefault="00805291" w:rsidP="008953D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2021</w:t>
            </w:r>
          </w:p>
        </w:tc>
        <w:tc>
          <w:tcPr>
            <w:tcW w:w="519" w:type="pct"/>
            <w:noWrap/>
            <w:vAlign w:val="center"/>
          </w:tcPr>
          <w:p w:rsidR="00805291" w:rsidRPr="00805291" w:rsidRDefault="00805291" w:rsidP="008953D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2022</w:t>
            </w:r>
          </w:p>
        </w:tc>
        <w:tc>
          <w:tcPr>
            <w:tcW w:w="592" w:type="pct"/>
            <w:noWrap/>
            <w:vAlign w:val="center"/>
          </w:tcPr>
          <w:p w:rsidR="00805291" w:rsidRPr="00805291" w:rsidRDefault="00805291" w:rsidP="008953D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2023</w:t>
            </w:r>
          </w:p>
        </w:tc>
        <w:tc>
          <w:tcPr>
            <w:tcW w:w="519" w:type="pct"/>
            <w:noWrap/>
            <w:vAlign w:val="center"/>
          </w:tcPr>
          <w:p w:rsidR="00805291" w:rsidRPr="00805291" w:rsidRDefault="00805291" w:rsidP="008953D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2024</w:t>
            </w:r>
          </w:p>
        </w:tc>
        <w:tc>
          <w:tcPr>
            <w:tcW w:w="500" w:type="pct"/>
            <w:noWrap/>
            <w:vAlign w:val="center"/>
          </w:tcPr>
          <w:p w:rsidR="00805291" w:rsidRPr="00805291" w:rsidRDefault="00805291" w:rsidP="008953D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2025</w:t>
            </w:r>
          </w:p>
        </w:tc>
      </w:tr>
      <w:tr w:rsidR="008953D5" w:rsidRPr="00805291" w:rsidTr="008953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86" w:type="pct"/>
            <w:noWrap/>
            <w:vAlign w:val="center"/>
            <w:hideMark/>
          </w:tcPr>
          <w:p w:rsidR="00805291" w:rsidRPr="00805291" w:rsidRDefault="00805291" w:rsidP="008953D5">
            <w:pPr>
              <w:contextualSpacing/>
              <w:rPr>
                <w:rFonts w:ascii="Times New Roman" w:hAnsi="Times New Roman" w:cs="Times New Roman"/>
              </w:rPr>
            </w:pPr>
            <w:r w:rsidRPr="00805291">
              <w:rPr>
                <w:rFonts w:ascii="Times New Roman" w:hAnsi="Times New Roman" w:cs="Times New Roman"/>
              </w:rPr>
              <w:t>Доход, тыс. руб.</w:t>
            </w:r>
          </w:p>
        </w:tc>
        <w:tc>
          <w:tcPr>
            <w:tcW w:w="592"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77955</w:t>
            </w:r>
          </w:p>
        </w:tc>
        <w:tc>
          <w:tcPr>
            <w:tcW w:w="592"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111888</w:t>
            </w:r>
          </w:p>
        </w:tc>
        <w:tc>
          <w:tcPr>
            <w:tcW w:w="519"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130234</w:t>
            </w:r>
          </w:p>
        </w:tc>
        <w:tc>
          <w:tcPr>
            <w:tcW w:w="592"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201886</w:t>
            </w:r>
          </w:p>
        </w:tc>
        <w:tc>
          <w:tcPr>
            <w:tcW w:w="519"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278683</w:t>
            </w:r>
          </w:p>
        </w:tc>
        <w:tc>
          <w:tcPr>
            <w:tcW w:w="500"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356829</w:t>
            </w:r>
          </w:p>
        </w:tc>
      </w:tr>
      <w:tr w:rsidR="008953D5" w:rsidRPr="00805291" w:rsidTr="008953D5">
        <w:trPr>
          <w:trHeight w:val="567"/>
        </w:trPr>
        <w:tc>
          <w:tcPr>
            <w:cnfStyle w:val="001000000000" w:firstRow="0" w:lastRow="0" w:firstColumn="1" w:lastColumn="0" w:oddVBand="0" w:evenVBand="0" w:oddHBand="0" w:evenHBand="0" w:firstRowFirstColumn="0" w:firstRowLastColumn="0" w:lastRowFirstColumn="0" w:lastRowLastColumn="0"/>
            <w:tcW w:w="1686" w:type="pct"/>
            <w:noWrap/>
            <w:vAlign w:val="center"/>
            <w:hideMark/>
          </w:tcPr>
          <w:p w:rsidR="00805291" w:rsidRPr="00805291" w:rsidRDefault="008953D5" w:rsidP="008953D5">
            <w:pPr>
              <w:contextualSpacing/>
              <w:rPr>
                <w:rFonts w:ascii="Times New Roman" w:hAnsi="Times New Roman" w:cs="Times New Roman"/>
              </w:rPr>
            </w:pPr>
            <w:r>
              <w:rPr>
                <w:rFonts w:ascii="Times New Roman" w:hAnsi="Times New Roman" w:cs="Times New Roman"/>
              </w:rPr>
              <w:t xml:space="preserve">Темп роста цен на покупку </w:t>
            </w:r>
            <w:r w:rsidR="00805291" w:rsidRPr="00805291">
              <w:rPr>
                <w:rFonts w:ascii="Times New Roman" w:hAnsi="Times New Roman" w:cs="Times New Roman"/>
              </w:rPr>
              <w:t>потерь («Ленэнерго»)</w:t>
            </w:r>
          </w:p>
        </w:tc>
        <w:tc>
          <w:tcPr>
            <w:tcW w:w="592" w:type="pct"/>
            <w:noWrap/>
            <w:vAlign w:val="center"/>
            <w:hideMark/>
          </w:tcPr>
          <w:p w:rsidR="00805291" w:rsidRPr="00805291" w:rsidRDefault="00805291" w:rsidP="008953D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-1,045</w:t>
            </w:r>
          </w:p>
        </w:tc>
        <w:tc>
          <w:tcPr>
            <w:tcW w:w="592" w:type="pct"/>
            <w:noWrap/>
            <w:vAlign w:val="center"/>
            <w:hideMark/>
          </w:tcPr>
          <w:p w:rsidR="00805291" w:rsidRPr="00805291" w:rsidRDefault="00805291" w:rsidP="008953D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-1,045</w:t>
            </w:r>
          </w:p>
        </w:tc>
        <w:tc>
          <w:tcPr>
            <w:tcW w:w="519" w:type="pct"/>
            <w:noWrap/>
            <w:vAlign w:val="center"/>
            <w:hideMark/>
          </w:tcPr>
          <w:p w:rsidR="00805291" w:rsidRPr="00805291" w:rsidRDefault="00805291" w:rsidP="008953D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-1,045</w:t>
            </w:r>
          </w:p>
        </w:tc>
        <w:tc>
          <w:tcPr>
            <w:tcW w:w="592" w:type="pct"/>
            <w:noWrap/>
            <w:vAlign w:val="center"/>
            <w:hideMark/>
          </w:tcPr>
          <w:p w:rsidR="00805291" w:rsidRPr="00805291" w:rsidRDefault="00805291" w:rsidP="008953D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-1,045</w:t>
            </w:r>
          </w:p>
        </w:tc>
        <w:tc>
          <w:tcPr>
            <w:tcW w:w="519" w:type="pct"/>
            <w:noWrap/>
            <w:vAlign w:val="center"/>
            <w:hideMark/>
          </w:tcPr>
          <w:p w:rsidR="00805291" w:rsidRPr="00805291" w:rsidRDefault="00805291" w:rsidP="008953D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-1,045</w:t>
            </w:r>
          </w:p>
        </w:tc>
        <w:tc>
          <w:tcPr>
            <w:tcW w:w="500" w:type="pct"/>
            <w:noWrap/>
            <w:vAlign w:val="center"/>
            <w:hideMark/>
          </w:tcPr>
          <w:p w:rsidR="00805291" w:rsidRPr="00805291" w:rsidRDefault="00805291" w:rsidP="008953D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-1,045</w:t>
            </w:r>
          </w:p>
        </w:tc>
      </w:tr>
      <w:tr w:rsidR="008953D5" w:rsidRPr="00805291" w:rsidTr="008953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86" w:type="pct"/>
            <w:noWrap/>
            <w:vAlign w:val="center"/>
            <w:hideMark/>
          </w:tcPr>
          <w:p w:rsidR="00805291" w:rsidRPr="00805291" w:rsidRDefault="00805291" w:rsidP="008953D5">
            <w:pPr>
              <w:contextualSpacing/>
              <w:rPr>
                <w:rFonts w:ascii="Times New Roman" w:hAnsi="Times New Roman" w:cs="Times New Roman"/>
              </w:rPr>
            </w:pPr>
            <w:r w:rsidRPr="00805291">
              <w:rPr>
                <w:rFonts w:ascii="Times New Roman" w:hAnsi="Times New Roman" w:cs="Times New Roman"/>
              </w:rPr>
              <w:t>Потери, тыс. руб.</w:t>
            </w:r>
          </w:p>
        </w:tc>
        <w:tc>
          <w:tcPr>
            <w:tcW w:w="592"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-8148</w:t>
            </w:r>
          </w:p>
        </w:tc>
        <w:tc>
          <w:tcPr>
            <w:tcW w:w="592"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-11695</w:t>
            </w:r>
          </w:p>
        </w:tc>
        <w:tc>
          <w:tcPr>
            <w:tcW w:w="519"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-13613</w:t>
            </w:r>
          </w:p>
        </w:tc>
        <w:tc>
          <w:tcPr>
            <w:tcW w:w="592"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-21102</w:t>
            </w:r>
          </w:p>
        </w:tc>
        <w:tc>
          <w:tcPr>
            <w:tcW w:w="519"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-29129</w:t>
            </w:r>
          </w:p>
        </w:tc>
        <w:tc>
          <w:tcPr>
            <w:tcW w:w="500" w:type="pct"/>
            <w:noWrap/>
            <w:vAlign w:val="center"/>
            <w:hideMark/>
          </w:tcPr>
          <w:p w:rsidR="00805291" w:rsidRPr="00805291" w:rsidRDefault="00805291" w:rsidP="008953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05291">
              <w:rPr>
                <w:rFonts w:ascii="Times New Roman" w:hAnsi="Times New Roman" w:cs="Times New Roman"/>
              </w:rPr>
              <w:t>-37297</w:t>
            </w:r>
          </w:p>
        </w:tc>
      </w:tr>
    </w:tbl>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 xml:space="preserve">Последняя величина, формирующая операционные расходы проекта – налог на имущество. Он составляет  20 508 тыс. руб. (2,2% от стоимости проекта) и равен на протяжении всего срока полезного действия. </w:t>
      </w:r>
    </w:p>
    <w:p w:rsidR="00805291" w:rsidRPr="00805291" w:rsidRDefault="00805291" w:rsidP="00805291">
      <w:pPr>
        <w:spacing w:line="360" w:lineRule="auto"/>
        <w:rPr>
          <w:rFonts w:ascii="Times New Roman" w:eastAsiaTheme="majorEastAsia" w:hAnsi="Times New Roman" w:cs="Times New Roman"/>
          <w:b/>
          <w:bCs/>
          <w:color w:val="365F91" w:themeColor="accent1" w:themeShade="BF"/>
          <w:sz w:val="28"/>
          <w:szCs w:val="28"/>
        </w:rPr>
      </w:pPr>
      <w:r w:rsidRPr="00805291">
        <w:tab/>
      </w:r>
      <w:r w:rsidRPr="00805291">
        <w:rPr>
          <w:rFonts w:ascii="Times New Roman" w:hAnsi="Times New Roman" w:cs="Times New Roman"/>
          <w:sz w:val="24"/>
        </w:rPr>
        <w:t xml:space="preserve">Итак, основным выводом данного раздела является следующее: для расчета экономической привлекательности конкретного инвестиционного объекта, аналитику необходимо обладать определенными методиками, абсолютно специфичными для рассматриваемой отрасли и предприятия как такового. Данную работу нельзя поручить сторонней организации ввиду уникальных способов формирования некоторых статей, которыми не может владеть даже высококвалифицированный специалист, не имеющий опыта работы в отрасли сбыта электроэнергии, а именно, в компании «Ленэнерго».  Более того, на предприятии отсутствуют регламенты, рекомендации или инструкции для произведения расчетов, поэтому данные навыки возможно приобрести лишь опытным путем, анализируя уже составленные отчеты и пробуя самостоятельно выработать модель проведения расчётов.  </w:t>
      </w:r>
      <w:r w:rsidRPr="00805291">
        <w:rPr>
          <w:rFonts w:ascii="Times New Roman" w:hAnsi="Times New Roman" w:cs="Times New Roman"/>
        </w:rPr>
        <w:br w:type="page"/>
      </w:r>
    </w:p>
    <w:p w:rsidR="00805291" w:rsidRPr="00805291" w:rsidRDefault="005C5C04" w:rsidP="00043F49">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49" w:name="_Toc445763071"/>
      <w:bookmarkStart w:id="50" w:name="_Toc450920851"/>
      <w:r>
        <w:rPr>
          <w:rFonts w:asciiTheme="majorHAnsi" w:eastAsiaTheme="majorEastAsia" w:hAnsiTheme="majorHAnsi" w:cstheme="majorBidi"/>
          <w:b/>
          <w:bCs/>
          <w:color w:val="365F91" w:themeColor="accent1" w:themeShade="BF"/>
          <w:sz w:val="28"/>
          <w:szCs w:val="28"/>
        </w:rPr>
        <w:lastRenderedPageBreak/>
        <w:t>2.4</w:t>
      </w:r>
      <w:r w:rsidR="00805291" w:rsidRPr="00805291">
        <w:rPr>
          <w:rFonts w:asciiTheme="majorHAnsi" w:eastAsiaTheme="majorEastAsia" w:hAnsiTheme="majorHAnsi" w:cstheme="majorBidi"/>
          <w:b/>
          <w:bCs/>
          <w:color w:val="365F91" w:themeColor="accent1" w:themeShade="BF"/>
          <w:sz w:val="28"/>
          <w:szCs w:val="28"/>
        </w:rPr>
        <w:t>. Расчет экономической эффективности инвестиционного проекта</w:t>
      </w:r>
      <w:bookmarkEnd w:id="49"/>
      <w:bookmarkEnd w:id="50"/>
    </w:p>
    <w:p w:rsidR="00805291" w:rsidRPr="00805291" w:rsidRDefault="005C5C04" w:rsidP="00805291">
      <w:pPr>
        <w:keepNext/>
        <w:keepLines/>
        <w:spacing w:before="200" w:after="0"/>
        <w:outlineLvl w:val="1"/>
        <w:rPr>
          <w:rFonts w:asciiTheme="majorHAnsi" w:eastAsiaTheme="majorEastAsia" w:hAnsiTheme="majorHAnsi" w:cstheme="majorBidi"/>
          <w:b/>
          <w:bCs/>
          <w:color w:val="4F81BD" w:themeColor="accent1"/>
          <w:sz w:val="26"/>
          <w:szCs w:val="26"/>
        </w:rPr>
      </w:pPr>
      <w:bookmarkStart w:id="51" w:name="_Toc445763072"/>
      <w:bookmarkStart w:id="52" w:name="_Toc450920852"/>
      <w:r>
        <w:rPr>
          <w:rFonts w:asciiTheme="majorHAnsi" w:eastAsiaTheme="majorEastAsia" w:hAnsiTheme="majorHAnsi" w:cstheme="majorBidi"/>
          <w:b/>
          <w:bCs/>
          <w:color w:val="4F81BD" w:themeColor="accent1"/>
          <w:sz w:val="26"/>
          <w:szCs w:val="26"/>
        </w:rPr>
        <w:t>2.4</w:t>
      </w:r>
      <w:r w:rsidR="00805291" w:rsidRPr="00805291">
        <w:rPr>
          <w:rFonts w:asciiTheme="majorHAnsi" w:eastAsiaTheme="majorEastAsia" w:hAnsiTheme="majorHAnsi" w:cstheme="majorBidi"/>
          <w:b/>
          <w:bCs/>
          <w:color w:val="4F81BD" w:themeColor="accent1"/>
          <w:sz w:val="26"/>
          <w:szCs w:val="26"/>
        </w:rPr>
        <w:t>.1. Традиционные методы оценки ИП</w:t>
      </w:r>
      <w:bookmarkEnd w:id="51"/>
      <w:bookmarkEnd w:id="52"/>
    </w:p>
    <w:p w:rsidR="00805291" w:rsidRPr="00805291" w:rsidRDefault="00805291" w:rsidP="00805291">
      <w:pPr>
        <w:spacing w:after="0" w:line="360" w:lineRule="auto"/>
        <w:rPr>
          <w:rFonts w:ascii="Times New Roman" w:hAnsi="Times New Roman" w:cs="Times New Roman"/>
          <w:sz w:val="24"/>
        </w:rPr>
      </w:pPr>
    </w:p>
    <w:p w:rsidR="00805291" w:rsidRPr="00805291" w:rsidRDefault="00805291" w:rsidP="00805291">
      <w:pPr>
        <w:spacing w:line="360" w:lineRule="auto"/>
        <w:ind w:firstLine="708"/>
        <w:rPr>
          <w:rFonts w:ascii="Times New Roman" w:eastAsia="Times New Roman" w:hAnsi="Times New Roman" w:cs="Times New Roman"/>
          <w:sz w:val="24"/>
          <w:szCs w:val="20"/>
          <w:lang w:eastAsia="ru-RU"/>
        </w:rPr>
      </w:pPr>
      <w:r w:rsidRPr="00805291">
        <w:rPr>
          <w:rFonts w:ascii="Times New Roman" w:hAnsi="Times New Roman" w:cs="Times New Roman"/>
          <w:sz w:val="24"/>
        </w:rPr>
        <w:t xml:space="preserve">По методологии, утвержденной Обществом, за чистый денежный поток подразумевается сумма величин </w:t>
      </w:r>
      <w:r w:rsidRPr="00805291">
        <w:rPr>
          <w:rFonts w:ascii="Times New Roman" w:hAnsi="Times New Roman" w:cs="Times New Roman"/>
          <w:sz w:val="24"/>
          <w:lang w:val="en-US"/>
        </w:rPr>
        <w:t>EBIT</w:t>
      </w:r>
      <w:r w:rsidRPr="00805291">
        <w:rPr>
          <w:rFonts w:ascii="Times New Roman" w:hAnsi="Times New Roman" w:cs="Times New Roman"/>
          <w:sz w:val="24"/>
        </w:rPr>
        <w:t xml:space="preserve"> и амортизации за каждый отдельный год за вычетом процентов по кредиту, налога на прибыль и с коррекцией на изменение финансовых обязательств. </w:t>
      </w:r>
      <w:r w:rsidR="00AA696C">
        <w:rPr>
          <w:rFonts w:ascii="Times New Roman" w:hAnsi="Times New Roman" w:cs="Times New Roman"/>
          <w:sz w:val="24"/>
        </w:rPr>
        <w:t>П</w:t>
      </w:r>
      <w:r w:rsidRPr="00805291">
        <w:rPr>
          <w:rFonts w:ascii="Times New Roman" w:hAnsi="Times New Roman" w:cs="Times New Roman"/>
          <w:sz w:val="24"/>
        </w:rPr>
        <w:t>ервый положительный денежный поток от реализации проекта приходится на 2022 год – второй год после запуска подстанции. Полученный ЧДП дисконтируется на коэффициент дисконтирования, утвержденный Обществом</w:t>
      </w:r>
      <w:r w:rsidR="003B43FE">
        <w:rPr>
          <w:rFonts w:ascii="Times New Roman" w:hAnsi="Times New Roman" w:cs="Times New Roman"/>
          <w:sz w:val="24"/>
        </w:rPr>
        <w:t xml:space="preserve">, </w:t>
      </w:r>
      <w:r w:rsidRPr="00805291">
        <w:rPr>
          <w:rFonts w:ascii="Times New Roman" w:hAnsi="Times New Roman" w:cs="Times New Roman"/>
          <w:sz w:val="24"/>
        </w:rPr>
        <w:t xml:space="preserve">в результате чего расчетный </w:t>
      </w:r>
      <w:r w:rsidRPr="00805291">
        <w:rPr>
          <w:rFonts w:ascii="Times New Roman" w:hAnsi="Times New Roman" w:cs="Times New Roman"/>
          <w:sz w:val="24"/>
          <w:lang w:val="en-US"/>
        </w:rPr>
        <w:t>NPV</w:t>
      </w:r>
      <w:r w:rsidRPr="00805291">
        <w:rPr>
          <w:rFonts w:ascii="Times New Roman" w:hAnsi="Times New Roman" w:cs="Times New Roman"/>
          <w:sz w:val="24"/>
        </w:rPr>
        <w:t xml:space="preserve"> равен </w:t>
      </w:r>
      <w:r w:rsidRPr="00805291">
        <w:rPr>
          <w:rFonts w:ascii="Times New Roman" w:eastAsia="Times New Roman" w:hAnsi="Times New Roman" w:cs="Times New Roman"/>
          <w:sz w:val="20"/>
          <w:szCs w:val="20"/>
          <w:lang w:eastAsia="ru-RU"/>
        </w:rPr>
        <w:t>-</w:t>
      </w:r>
      <w:r w:rsidRPr="00805291">
        <w:rPr>
          <w:rFonts w:ascii="Times New Roman" w:eastAsia="Times New Roman" w:hAnsi="Times New Roman" w:cs="Times New Roman"/>
          <w:sz w:val="24"/>
          <w:szCs w:val="20"/>
          <w:lang w:eastAsia="ru-RU"/>
        </w:rPr>
        <w:t xml:space="preserve">53 161 тыс. руб., ставка </w:t>
      </w:r>
      <w:r w:rsidRPr="00805291">
        <w:rPr>
          <w:rFonts w:ascii="Times New Roman" w:eastAsia="Times New Roman" w:hAnsi="Times New Roman" w:cs="Times New Roman"/>
          <w:sz w:val="24"/>
          <w:szCs w:val="20"/>
          <w:lang w:val="en-US" w:eastAsia="ru-RU"/>
        </w:rPr>
        <w:t>IRR</w:t>
      </w:r>
      <w:r w:rsidRPr="00805291">
        <w:rPr>
          <w:rFonts w:ascii="Times New Roman" w:eastAsia="Times New Roman" w:hAnsi="Times New Roman" w:cs="Times New Roman"/>
          <w:sz w:val="24"/>
          <w:szCs w:val="20"/>
          <w:lang w:eastAsia="ru-RU"/>
        </w:rPr>
        <w:t xml:space="preserve"> – 17%, а дисконтированный срок окупаемости лежит за горизонтом планирования</w:t>
      </w:r>
      <w:r w:rsidR="003B43FE">
        <w:rPr>
          <w:rFonts w:ascii="Times New Roman" w:eastAsia="Times New Roman" w:hAnsi="Times New Roman" w:cs="Times New Roman"/>
          <w:sz w:val="24"/>
          <w:szCs w:val="20"/>
          <w:lang w:eastAsia="ru-RU"/>
        </w:rPr>
        <w:t xml:space="preserve"> </w:t>
      </w:r>
      <w:r w:rsidR="003B43FE">
        <w:rPr>
          <w:rFonts w:ascii="Times New Roman" w:hAnsi="Times New Roman" w:cs="Times New Roman"/>
          <w:sz w:val="24"/>
        </w:rPr>
        <w:t>(см. прил.1)</w:t>
      </w:r>
      <w:r w:rsidRPr="00805291">
        <w:rPr>
          <w:rFonts w:ascii="Times New Roman" w:eastAsia="Times New Roman" w:hAnsi="Times New Roman" w:cs="Times New Roman"/>
          <w:sz w:val="24"/>
          <w:szCs w:val="20"/>
          <w:lang w:eastAsia="ru-RU"/>
        </w:rPr>
        <w:t>.</w:t>
      </w:r>
    </w:p>
    <w:p w:rsidR="00805291" w:rsidRPr="00805291" w:rsidRDefault="005C5C04" w:rsidP="00805291">
      <w:pPr>
        <w:keepNext/>
        <w:keepLines/>
        <w:spacing w:before="200" w:after="0"/>
        <w:outlineLvl w:val="1"/>
        <w:rPr>
          <w:rFonts w:asciiTheme="majorHAnsi" w:eastAsia="Times New Roman" w:hAnsiTheme="majorHAnsi" w:cstheme="majorBidi"/>
          <w:b/>
          <w:bCs/>
          <w:color w:val="4F81BD" w:themeColor="accent1"/>
          <w:sz w:val="26"/>
          <w:szCs w:val="26"/>
          <w:lang w:eastAsia="ru-RU"/>
        </w:rPr>
      </w:pPr>
      <w:bookmarkStart w:id="53" w:name="_Toc445763073"/>
      <w:bookmarkStart w:id="54" w:name="_Toc450920853"/>
      <w:r>
        <w:rPr>
          <w:rFonts w:asciiTheme="majorHAnsi" w:eastAsia="Times New Roman" w:hAnsiTheme="majorHAnsi" w:cstheme="majorBidi"/>
          <w:b/>
          <w:bCs/>
          <w:color w:val="4F81BD" w:themeColor="accent1"/>
          <w:sz w:val="26"/>
          <w:szCs w:val="26"/>
          <w:lang w:eastAsia="ru-RU"/>
        </w:rPr>
        <w:t>2.4</w:t>
      </w:r>
      <w:r w:rsidR="00805291" w:rsidRPr="00805291">
        <w:rPr>
          <w:rFonts w:asciiTheme="majorHAnsi" w:eastAsia="Times New Roman" w:hAnsiTheme="majorHAnsi" w:cstheme="majorBidi"/>
          <w:b/>
          <w:bCs/>
          <w:color w:val="4F81BD" w:themeColor="accent1"/>
          <w:sz w:val="26"/>
          <w:szCs w:val="26"/>
          <w:lang w:eastAsia="ru-RU"/>
        </w:rPr>
        <w:t>.2. Метод реальных опционов</w:t>
      </w:r>
      <w:bookmarkEnd w:id="53"/>
      <w:bookmarkEnd w:id="54"/>
    </w:p>
    <w:p w:rsidR="00805291" w:rsidRPr="00805291" w:rsidRDefault="00805291" w:rsidP="00805291">
      <w:pPr>
        <w:rPr>
          <w:lang w:eastAsia="ru-RU"/>
        </w:rPr>
      </w:pPr>
    </w:p>
    <w:p w:rsidR="00805291" w:rsidRPr="00805291" w:rsidRDefault="00805291" w:rsidP="00805291">
      <w:pPr>
        <w:spacing w:line="360" w:lineRule="auto"/>
        <w:ind w:firstLine="708"/>
        <w:rPr>
          <w:rFonts w:ascii="Times New Roman" w:hAnsi="Times New Roman" w:cs="Times New Roman"/>
          <w:sz w:val="24"/>
          <w:lang w:eastAsia="ru-RU"/>
        </w:rPr>
      </w:pPr>
      <w:r w:rsidRPr="00805291">
        <w:rPr>
          <w:rFonts w:ascii="Times New Roman" w:hAnsi="Times New Roman" w:cs="Times New Roman"/>
          <w:sz w:val="24"/>
          <w:lang w:eastAsia="ru-RU"/>
        </w:rPr>
        <w:t xml:space="preserve">Метод реальных опционов не является одним из методов расчета экономической эффективности ИП в ПАО «Ленэнерго», впрочем, как и в большинстве современных компаний. Однако для наглядности продемонстрируем принцип расчета привлекательности проекта на примере вышерассмотренного случая. </w:t>
      </w:r>
      <w:r w:rsidR="00C576BB">
        <w:rPr>
          <w:rFonts w:ascii="Times New Roman" w:hAnsi="Times New Roman" w:cs="Times New Roman"/>
          <w:sz w:val="24"/>
          <w:lang w:eastAsia="ru-RU"/>
        </w:rPr>
        <w:t xml:space="preserve">Для этого будет использоваться европейский колл-опцион, который позволяет рассчитать стоимость проекта с учетом изменения его стоимости как при помощи модели </w:t>
      </w:r>
      <w:r w:rsidR="00C576BB" w:rsidRPr="00C576BB">
        <w:rPr>
          <w:rFonts w:ascii="Times New Roman" w:hAnsi="Times New Roman" w:cs="Times New Roman"/>
          <w:sz w:val="24"/>
          <w:lang w:eastAsia="ru-RU"/>
        </w:rPr>
        <w:t>Блека-Шоулза</w:t>
      </w:r>
      <w:r w:rsidR="00C576BB">
        <w:rPr>
          <w:rFonts w:ascii="Times New Roman" w:hAnsi="Times New Roman" w:cs="Times New Roman"/>
          <w:sz w:val="24"/>
          <w:lang w:eastAsia="ru-RU"/>
        </w:rPr>
        <w:t>, так и биноминальной модели.</w:t>
      </w:r>
    </w:p>
    <w:p w:rsidR="00805291" w:rsidRPr="00805291" w:rsidRDefault="00805291" w:rsidP="00805291">
      <w:pPr>
        <w:keepNext/>
        <w:keepLines/>
        <w:spacing w:before="200" w:after="240"/>
        <w:outlineLvl w:val="2"/>
        <w:rPr>
          <w:rFonts w:asciiTheme="majorHAnsi" w:eastAsia="Times New Roman" w:hAnsiTheme="majorHAnsi" w:cstheme="majorBidi"/>
          <w:b/>
          <w:bCs/>
          <w:color w:val="4F81BD" w:themeColor="accent1"/>
          <w:lang w:eastAsia="ru-RU"/>
        </w:rPr>
      </w:pPr>
      <w:bookmarkStart w:id="55" w:name="_Toc445763074"/>
      <w:bookmarkStart w:id="56" w:name="_Toc450920854"/>
      <w:r w:rsidRPr="00805291">
        <w:rPr>
          <w:rFonts w:asciiTheme="majorHAnsi" w:eastAsia="Times New Roman" w:hAnsiTheme="majorHAnsi" w:cstheme="majorBidi"/>
          <w:b/>
          <w:bCs/>
          <w:color w:val="4F81BD" w:themeColor="accent1"/>
          <w:sz w:val="24"/>
          <w:lang w:eastAsia="ru-RU"/>
        </w:rPr>
        <w:t>Модель Блека-Шоулза</w:t>
      </w:r>
      <w:bookmarkEnd w:id="55"/>
      <w:bookmarkEnd w:id="56"/>
    </w:p>
    <w:p w:rsidR="00805291" w:rsidRPr="00805291" w:rsidRDefault="00805291" w:rsidP="00805291">
      <w:pPr>
        <w:spacing w:line="360" w:lineRule="auto"/>
        <w:ind w:firstLine="851"/>
        <w:rPr>
          <w:rFonts w:ascii="Times New Roman" w:hAnsi="Times New Roman" w:cs="Times New Roman"/>
          <w:sz w:val="24"/>
        </w:rPr>
      </w:pPr>
      <w:r w:rsidRPr="00805291">
        <w:rPr>
          <w:rFonts w:ascii="Times New Roman" w:hAnsi="Times New Roman" w:cs="Times New Roman"/>
          <w:sz w:val="24"/>
        </w:rPr>
        <w:t>Для расчета потребуются численные значения таких величин, как безрисковая ставка процента, волатильность, срок опциона, приведенная стоимость проекта и величина инвестиций. Последние две величины нам известны, первые же три необходимо определить самостоятельно.</w:t>
      </w:r>
    </w:p>
    <w:p w:rsidR="00805291" w:rsidRPr="00805291" w:rsidRDefault="00805291" w:rsidP="00805291">
      <w:pPr>
        <w:spacing w:line="360" w:lineRule="auto"/>
        <w:ind w:firstLine="851"/>
        <w:rPr>
          <w:rFonts w:ascii="Times New Roman" w:hAnsi="Times New Roman" w:cs="Times New Roman"/>
          <w:sz w:val="24"/>
        </w:rPr>
      </w:pPr>
      <w:r w:rsidRPr="00805291">
        <w:rPr>
          <w:rFonts w:ascii="Times New Roman" w:hAnsi="Times New Roman" w:cs="Times New Roman"/>
          <w:sz w:val="24"/>
        </w:rPr>
        <w:t xml:space="preserve">За безрисковую ставку процента возьмем ставку процента по долгосрочным ГКО-ОФЗ на сайте банка России. На 2016 год она составляет 10, 66% годовых. </w:t>
      </w:r>
    </w:p>
    <w:p w:rsidR="00805291" w:rsidRPr="00805291" w:rsidRDefault="00805291" w:rsidP="00805291">
      <w:pPr>
        <w:spacing w:line="360" w:lineRule="auto"/>
        <w:ind w:firstLine="851"/>
        <w:rPr>
          <w:rFonts w:ascii="Times New Roman" w:hAnsi="Times New Roman" w:cs="Times New Roman"/>
          <w:sz w:val="24"/>
        </w:rPr>
      </w:pPr>
      <w:r w:rsidRPr="00805291">
        <w:rPr>
          <w:rFonts w:ascii="Times New Roman" w:hAnsi="Times New Roman" w:cs="Times New Roman"/>
          <w:sz w:val="24"/>
        </w:rPr>
        <w:t>Для расчета волатильности была взята выборка цен закрытия акций на бирже ММВБ за срок 25.02.2015 – 25.02.2016. Итоговая величина составила 0,5788.</w:t>
      </w:r>
    </w:p>
    <w:p w:rsidR="00805291" w:rsidRPr="00805291" w:rsidRDefault="00805291" w:rsidP="00805291">
      <w:pPr>
        <w:spacing w:line="360" w:lineRule="auto"/>
        <w:ind w:firstLine="851"/>
        <w:rPr>
          <w:rFonts w:ascii="Times New Roman" w:hAnsi="Times New Roman" w:cs="Times New Roman"/>
          <w:sz w:val="24"/>
        </w:rPr>
      </w:pPr>
      <w:r w:rsidRPr="00805291">
        <w:rPr>
          <w:rFonts w:ascii="Times New Roman" w:hAnsi="Times New Roman" w:cs="Times New Roman"/>
          <w:sz w:val="24"/>
        </w:rPr>
        <w:lastRenderedPageBreak/>
        <w:t xml:space="preserve">Срок действия опциона – это максимальный срок, на который может быть отложена реализация проекта. Для простоты расчетов (в первую очередь, в биноминальной модели), взят период в 3 года. В пользу этого также говорит тот факт, что планы в ПАО «Ленэнерго» в основном формируются на 3-5 лет вперед. </w:t>
      </w:r>
    </w:p>
    <w:p w:rsidR="00805291" w:rsidRPr="00805291" w:rsidRDefault="00805291" w:rsidP="00805291">
      <w:pPr>
        <w:spacing w:line="360" w:lineRule="auto"/>
        <w:ind w:firstLine="851"/>
        <w:rPr>
          <w:rFonts w:ascii="Times New Roman" w:hAnsi="Times New Roman" w:cs="Times New Roman"/>
          <w:sz w:val="24"/>
        </w:rPr>
      </w:pPr>
      <w:r w:rsidRPr="00805291">
        <w:rPr>
          <w:rFonts w:ascii="Times New Roman" w:hAnsi="Times New Roman" w:cs="Times New Roman"/>
          <w:sz w:val="24"/>
        </w:rPr>
        <w:t>При величине приведенной стоимости, равной 743 101 тыс. руб., инвестициях в 796 262 тыс. руб., модель Блека-Шоулза дает следующие результаты:</w:t>
      </w:r>
    </w:p>
    <w:p w:rsidR="00805291" w:rsidRPr="00805291" w:rsidRDefault="00805291" w:rsidP="00805291">
      <w:pPr>
        <w:spacing w:after="0" w:line="360" w:lineRule="auto"/>
        <w:jc w:val="right"/>
        <w:rPr>
          <w:rFonts w:ascii="Times New Roman" w:hAnsi="Times New Roman" w:cs="Times New Roman"/>
          <w:b/>
        </w:rPr>
      </w:pPr>
      <w:r w:rsidRPr="00805291">
        <w:rPr>
          <w:rFonts w:ascii="Times New Roman" w:hAnsi="Times New Roman" w:cs="Times New Roman"/>
          <w:b/>
        </w:rPr>
        <w:t>Таблица 6. Исходные данные для расчета по модели Блека-Шоулза</w:t>
      </w:r>
    </w:p>
    <w:tbl>
      <w:tblPr>
        <w:tblStyle w:val="af6"/>
        <w:tblW w:w="5000" w:type="pct"/>
        <w:tblLook w:val="04A0" w:firstRow="1" w:lastRow="0" w:firstColumn="1" w:lastColumn="0" w:noHBand="0" w:noVBand="1"/>
      </w:tblPr>
      <w:tblGrid>
        <w:gridCol w:w="2226"/>
        <w:gridCol w:w="3476"/>
        <w:gridCol w:w="3653"/>
      </w:tblGrid>
      <w:tr w:rsidR="00805291" w:rsidRPr="00805291" w:rsidTr="0080529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vAlign w:val="bottom"/>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Обозначение</w:t>
            </w:r>
          </w:p>
        </w:tc>
        <w:tc>
          <w:tcPr>
            <w:tcW w:w="1870" w:type="pct"/>
            <w:noWrap/>
          </w:tcPr>
          <w:p w:rsidR="00805291" w:rsidRPr="00805291" w:rsidRDefault="00805291" w:rsidP="00805291">
            <w:pPr>
              <w:keepNext/>
              <w:ind w:left="720"/>
              <w:contextualSpacing/>
              <w:jc w:val="center"/>
              <w:outlineLvl w:val="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Значение</w:t>
            </w:r>
          </w:p>
        </w:tc>
        <w:tc>
          <w:tcPr>
            <w:tcW w:w="1964" w:type="pct"/>
            <w:noWrap/>
            <w:vAlign w:val="bottom"/>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Величина</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vAlign w:val="bottom"/>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S</w:t>
            </w:r>
          </w:p>
        </w:tc>
        <w:tc>
          <w:tcPr>
            <w:tcW w:w="1870" w:type="pct"/>
            <w:noWrap/>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743 101</w:t>
            </w:r>
          </w:p>
        </w:tc>
        <w:tc>
          <w:tcPr>
            <w:tcW w:w="1964" w:type="pct"/>
            <w:noWrap/>
            <w:vAlign w:val="bottom"/>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приведенная стоимость</w:t>
            </w:r>
          </w:p>
        </w:tc>
      </w:tr>
      <w:tr w:rsidR="00805291" w:rsidRPr="00805291" w:rsidTr="00805291">
        <w:trPr>
          <w:trHeight w:val="300"/>
        </w:trPr>
        <w:tc>
          <w:tcPr>
            <w:cnfStyle w:val="001000000000" w:firstRow="0" w:lastRow="0" w:firstColumn="1" w:lastColumn="0" w:oddVBand="0" w:evenVBand="0" w:oddHBand="0" w:evenHBand="0" w:firstRowFirstColumn="0" w:firstRowLastColumn="0" w:lastRowFirstColumn="0" w:lastRowLastColumn="0"/>
            <w:tcW w:w="1166" w:type="pct"/>
            <w:noWrap/>
            <w:vAlign w:val="bottom"/>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X</w:t>
            </w:r>
          </w:p>
        </w:tc>
        <w:tc>
          <w:tcPr>
            <w:tcW w:w="1870" w:type="pct"/>
            <w:noWrap/>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796 262</w:t>
            </w:r>
          </w:p>
        </w:tc>
        <w:tc>
          <w:tcPr>
            <w:tcW w:w="1964" w:type="pct"/>
            <w:noWrap/>
            <w:vAlign w:val="bottom"/>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инвестиции</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vAlign w:val="bottom"/>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r</w:t>
            </w:r>
          </w:p>
        </w:tc>
        <w:tc>
          <w:tcPr>
            <w:tcW w:w="1870" w:type="pct"/>
            <w:noWrap/>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0,1066</w:t>
            </w:r>
          </w:p>
        </w:tc>
        <w:tc>
          <w:tcPr>
            <w:tcW w:w="1964" w:type="pct"/>
            <w:noWrap/>
            <w:vAlign w:val="bottom"/>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безрисковая ставка процента</w:t>
            </w:r>
          </w:p>
        </w:tc>
      </w:tr>
      <w:tr w:rsidR="00805291" w:rsidRPr="00805291" w:rsidTr="00805291">
        <w:trPr>
          <w:trHeight w:val="300"/>
        </w:trPr>
        <w:tc>
          <w:tcPr>
            <w:cnfStyle w:val="001000000000" w:firstRow="0" w:lastRow="0" w:firstColumn="1" w:lastColumn="0" w:oddVBand="0" w:evenVBand="0" w:oddHBand="0" w:evenHBand="0" w:firstRowFirstColumn="0" w:firstRowLastColumn="0" w:lastRowFirstColumn="0" w:lastRowLastColumn="0"/>
            <w:tcW w:w="1166" w:type="pct"/>
            <w:noWrap/>
            <w:vAlign w:val="bottom"/>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t</w:t>
            </w:r>
          </w:p>
        </w:tc>
        <w:tc>
          <w:tcPr>
            <w:tcW w:w="1870" w:type="pct"/>
            <w:noWrap/>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3</w:t>
            </w:r>
          </w:p>
        </w:tc>
        <w:tc>
          <w:tcPr>
            <w:tcW w:w="1964" w:type="pct"/>
            <w:noWrap/>
            <w:vAlign w:val="bottom"/>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срок опциона</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6" w:type="pct"/>
            <w:noWrap/>
            <w:vAlign w:val="bottom"/>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σ</w:t>
            </w:r>
          </w:p>
        </w:tc>
        <w:tc>
          <w:tcPr>
            <w:tcW w:w="1870" w:type="pct"/>
            <w:noWrap/>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805291">
              <w:rPr>
                <w:rFonts w:ascii="Times New Roman" w:hAnsi="Times New Roman" w:cs="Times New Roman"/>
                <w:color w:val="000000"/>
              </w:rPr>
              <w:t>0,578841791</w:t>
            </w:r>
          </w:p>
        </w:tc>
        <w:tc>
          <w:tcPr>
            <w:tcW w:w="1964" w:type="pct"/>
            <w:noWrap/>
            <w:vAlign w:val="bottom"/>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волатильность</w:t>
            </w:r>
          </w:p>
        </w:tc>
      </w:tr>
    </w:tbl>
    <w:p w:rsidR="00805291" w:rsidRPr="00805291" w:rsidRDefault="00805291" w:rsidP="00805291">
      <w:pPr>
        <w:spacing w:line="360" w:lineRule="auto"/>
        <w:rPr>
          <w:rFonts w:ascii="Times New Roman" w:hAnsi="Times New Roman" w:cs="Times New Roman"/>
          <w:sz w:val="24"/>
        </w:rPr>
      </w:pPr>
    </w:p>
    <w:p w:rsidR="00805291" w:rsidRPr="00805291" w:rsidRDefault="00805291" w:rsidP="00805291">
      <w:pPr>
        <w:spacing w:after="0" w:line="360" w:lineRule="auto"/>
        <w:jc w:val="right"/>
        <w:rPr>
          <w:rFonts w:ascii="Times New Roman" w:hAnsi="Times New Roman" w:cs="Times New Roman"/>
          <w:b/>
        </w:rPr>
      </w:pPr>
      <w:r w:rsidRPr="00805291">
        <w:rPr>
          <w:rFonts w:ascii="Times New Roman" w:hAnsi="Times New Roman" w:cs="Times New Roman"/>
          <w:b/>
        </w:rPr>
        <w:t xml:space="preserve">Таблица 7. Расчетные величины и кумулятивная функция нормального распределения </w:t>
      </w:r>
    </w:p>
    <w:tbl>
      <w:tblPr>
        <w:tblStyle w:val="af6"/>
        <w:tblW w:w="5000" w:type="pct"/>
        <w:tblLook w:val="04A0" w:firstRow="1" w:lastRow="0" w:firstColumn="1" w:lastColumn="0" w:noHBand="0" w:noVBand="1"/>
      </w:tblPr>
      <w:tblGrid>
        <w:gridCol w:w="1576"/>
        <w:gridCol w:w="2528"/>
        <w:gridCol w:w="1575"/>
        <w:gridCol w:w="2101"/>
        <w:gridCol w:w="1575"/>
      </w:tblGrid>
      <w:tr w:rsidR="00805291" w:rsidRPr="00805291" w:rsidTr="0080529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2" w:type="pct"/>
            <w:noWrap/>
            <w:vAlign w:val="center"/>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d1=</w:t>
            </w:r>
          </w:p>
        </w:tc>
        <w:tc>
          <w:tcPr>
            <w:tcW w:w="1351" w:type="pct"/>
            <w:noWrap/>
            <w:vAlign w:val="center"/>
            <w:hideMark/>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0,7617</w:t>
            </w:r>
          </w:p>
        </w:tc>
        <w:tc>
          <w:tcPr>
            <w:tcW w:w="842" w:type="pct"/>
            <w:noWrap/>
            <w:vAlign w:val="center"/>
            <w:hideMark/>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3" w:type="pct"/>
            <w:noWrap/>
            <w:vAlign w:val="center"/>
            <w:hideMark/>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N(d1)=</w:t>
            </w:r>
          </w:p>
        </w:tc>
        <w:tc>
          <w:tcPr>
            <w:tcW w:w="842" w:type="pct"/>
            <w:vAlign w:val="center"/>
            <w:hideMark/>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0,7764</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2" w:type="pct"/>
            <w:noWrap/>
            <w:vAlign w:val="center"/>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d2=</w:t>
            </w:r>
          </w:p>
        </w:tc>
        <w:tc>
          <w:tcPr>
            <w:tcW w:w="1351" w:type="pct"/>
            <w:noWrap/>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-0,2409</w:t>
            </w:r>
          </w:p>
        </w:tc>
        <w:tc>
          <w:tcPr>
            <w:tcW w:w="842" w:type="pct"/>
            <w:noWrap/>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3" w:type="pct"/>
            <w:noWrap/>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N(d2)=</w:t>
            </w:r>
          </w:p>
        </w:tc>
        <w:tc>
          <w:tcPr>
            <w:tcW w:w="842" w:type="pct"/>
            <w:vAlign w:val="center"/>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0,4052</w:t>
            </w:r>
          </w:p>
        </w:tc>
      </w:tr>
    </w:tbl>
    <w:p w:rsidR="00805291" w:rsidRPr="00805291" w:rsidRDefault="00805291" w:rsidP="00805291">
      <w:pPr>
        <w:spacing w:after="0" w:line="360" w:lineRule="auto"/>
        <w:jc w:val="right"/>
        <w:rPr>
          <w:rFonts w:ascii="Times New Roman" w:hAnsi="Times New Roman" w:cs="Times New Roman"/>
          <w:b/>
        </w:rPr>
      </w:pPr>
    </w:p>
    <w:p w:rsidR="00805291" w:rsidRPr="00805291" w:rsidRDefault="00805291" w:rsidP="00805291">
      <w:pPr>
        <w:spacing w:after="0" w:line="360" w:lineRule="auto"/>
        <w:jc w:val="right"/>
        <w:rPr>
          <w:rFonts w:ascii="Times New Roman" w:hAnsi="Times New Roman" w:cs="Times New Roman"/>
          <w:b/>
        </w:rPr>
      </w:pPr>
      <w:r w:rsidRPr="00805291">
        <w:rPr>
          <w:rFonts w:ascii="Times New Roman" w:hAnsi="Times New Roman" w:cs="Times New Roman"/>
          <w:b/>
        </w:rPr>
        <w:t xml:space="preserve">Таблица 8. Стоимость опциона, </w:t>
      </w:r>
      <w:r w:rsidRPr="00805291">
        <w:rPr>
          <w:rFonts w:ascii="Times New Roman" w:hAnsi="Times New Roman" w:cs="Times New Roman"/>
          <w:b/>
          <w:lang w:val="en-US"/>
        </w:rPr>
        <w:t>PV</w:t>
      </w:r>
      <w:r w:rsidRPr="00805291">
        <w:rPr>
          <w:rFonts w:ascii="Times New Roman" w:hAnsi="Times New Roman" w:cs="Times New Roman"/>
          <w:b/>
        </w:rPr>
        <w:t xml:space="preserve"> и </w:t>
      </w:r>
      <w:r w:rsidRPr="00805291">
        <w:rPr>
          <w:rFonts w:ascii="Times New Roman" w:hAnsi="Times New Roman" w:cs="Times New Roman"/>
          <w:b/>
          <w:lang w:val="en-US"/>
        </w:rPr>
        <w:t>NPV</w:t>
      </w:r>
      <w:r w:rsidRPr="00805291">
        <w:rPr>
          <w:rFonts w:ascii="Times New Roman" w:hAnsi="Times New Roman" w:cs="Times New Roman"/>
          <w:b/>
        </w:rPr>
        <w:t xml:space="preserve"> проекта по модели Блека-Шоулза</w:t>
      </w:r>
    </w:p>
    <w:tbl>
      <w:tblPr>
        <w:tblStyle w:val="af6"/>
        <w:tblW w:w="5000" w:type="pct"/>
        <w:tblLook w:val="04A0" w:firstRow="1" w:lastRow="0" w:firstColumn="1" w:lastColumn="0" w:noHBand="0" w:noVBand="1"/>
      </w:tblPr>
      <w:tblGrid>
        <w:gridCol w:w="2226"/>
        <w:gridCol w:w="3304"/>
        <w:gridCol w:w="3825"/>
      </w:tblGrid>
      <w:tr w:rsidR="00805291" w:rsidRPr="00805291" w:rsidTr="0080529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7" w:type="pct"/>
            <w:noWrap/>
            <w:vAlign w:val="bottom"/>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Обозначение</w:t>
            </w:r>
          </w:p>
        </w:tc>
        <w:tc>
          <w:tcPr>
            <w:tcW w:w="2225" w:type="pct"/>
            <w:noWrap/>
            <w:vAlign w:val="bottom"/>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Значение</w:t>
            </w:r>
          </w:p>
        </w:tc>
        <w:tc>
          <w:tcPr>
            <w:tcW w:w="1387" w:type="pct"/>
            <w:noWrap/>
            <w:vAlign w:val="bottom"/>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Величина</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7" w:type="pct"/>
            <w:noWrap/>
            <w:vAlign w:val="bottom"/>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C</w:t>
            </w:r>
          </w:p>
        </w:tc>
        <w:tc>
          <w:tcPr>
            <w:tcW w:w="2225" w:type="pct"/>
            <w:noWrap/>
            <w:vAlign w:val="bottom"/>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342 634</w:t>
            </w:r>
          </w:p>
        </w:tc>
        <w:tc>
          <w:tcPr>
            <w:tcW w:w="1387" w:type="pct"/>
            <w:noWrap/>
            <w:vAlign w:val="bottom"/>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ожидаемая стоимость опциона</w:t>
            </w:r>
          </w:p>
        </w:tc>
      </w:tr>
      <w:tr w:rsidR="00805291" w:rsidRPr="00805291" w:rsidTr="00805291">
        <w:trPr>
          <w:trHeight w:val="300"/>
        </w:trPr>
        <w:tc>
          <w:tcPr>
            <w:cnfStyle w:val="001000000000" w:firstRow="0" w:lastRow="0" w:firstColumn="1" w:lastColumn="0" w:oddVBand="0" w:evenVBand="0" w:oddHBand="0" w:evenHBand="0" w:firstRowFirstColumn="0" w:firstRowLastColumn="0" w:lastRowFirstColumn="0" w:lastRowLastColumn="0"/>
            <w:tcW w:w="1387" w:type="pct"/>
            <w:noWrap/>
            <w:vAlign w:val="bottom"/>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PV</w:t>
            </w:r>
          </w:p>
        </w:tc>
        <w:tc>
          <w:tcPr>
            <w:tcW w:w="2225" w:type="pct"/>
            <w:noWrap/>
            <w:vAlign w:val="bottom"/>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1 085 735</w:t>
            </w:r>
          </w:p>
        </w:tc>
        <w:tc>
          <w:tcPr>
            <w:tcW w:w="1387" w:type="pct"/>
            <w:noWrap/>
            <w:vAlign w:val="bottom"/>
            <w:hideMark/>
          </w:tcPr>
          <w:p w:rsidR="00805291" w:rsidRPr="00805291" w:rsidRDefault="00805291" w:rsidP="00805291">
            <w:pPr>
              <w:spacing w:line="360" w:lineRule="auto"/>
              <w:ind w:left="72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приведенная стоимость</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7" w:type="pct"/>
            <w:noWrap/>
            <w:vAlign w:val="bottom"/>
            <w:hideMark/>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NPV</w:t>
            </w:r>
          </w:p>
        </w:tc>
        <w:tc>
          <w:tcPr>
            <w:tcW w:w="2225" w:type="pct"/>
            <w:noWrap/>
            <w:vAlign w:val="bottom"/>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289 473</w:t>
            </w:r>
          </w:p>
        </w:tc>
        <w:tc>
          <w:tcPr>
            <w:tcW w:w="1387" w:type="pct"/>
            <w:noWrap/>
            <w:vAlign w:val="bottom"/>
            <w:hideMark/>
          </w:tcPr>
          <w:p w:rsidR="00805291" w:rsidRPr="00805291" w:rsidRDefault="00805291" w:rsidP="00805291">
            <w:pPr>
              <w:spacing w:line="36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чистая приведенная стоимость</w:t>
            </w:r>
          </w:p>
        </w:tc>
      </w:tr>
    </w:tbl>
    <w:p w:rsidR="00805291" w:rsidRPr="00805291" w:rsidRDefault="00805291" w:rsidP="008953D5">
      <w:pPr>
        <w:spacing w:after="0" w:line="360" w:lineRule="auto"/>
        <w:rPr>
          <w:rFonts w:ascii="Times New Roman" w:hAnsi="Times New Roman" w:cs="Times New Roman"/>
          <w:sz w:val="24"/>
        </w:rPr>
      </w:pPr>
    </w:p>
    <w:p w:rsidR="00805291" w:rsidRPr="00805291" w:rsidRDefault="00805291" w:rsidP="00805291">
      <w:pPr>
        <w:spacing w:line="360" w:lineRule="auto"/>
        <w:rPr>
          <w:rFonts w:ascii="Times New Roman" w:hAnsi="Times New Roman" w:cs="Times New Roman"/>
          <w:sz w:val="24"/>
        </w:rPr>
      </w:pPr>
      <w:r w:rsidRPr="00805291">
        <w:rPr>
          <w:rFonts w:ascii="Times New Roman" w:hAnsi="Times New Roman" w:cs="Times New Roman"/>
          <w:sz w:val="24"/>
        </w:rPr>
        <w:t xml:space="preserve">Таким образом, при отрицательном значении чистой приведенной стоимости проекта, рассчитанной традиционным методам, </w:t>
      </w:r>
      <w:r w:rsidRPr="00805291">
        <w:rPr>
          <w:rFonts w:ascii="Times New Roman" w:hAnsi="Times New Roman" w:cs="Times New Roman"/>
          <w:sz w:val="24"/>
          <w:lang w:val="en-US"/>
        </w:rPr>
        <w:t>NPV</w:t>
      </w:r>
      <w:r w:rsidRPr="00805291">
        <w:rPr>
          <w:rFonts w:ascii="Times New Roman" w:hAnsi="Times New Roman" w:cs="Times New Roman"/>
          <w:sz w:val="24"/>
        </w:rPr>
        <w:t xml:space="preserve"> проекта по модели Блека-Шоулза составляет 289 473 тыс. руб., то есть опцион прибавляет 342 634 тыс. руб. к стоимости проекта. </w:t>
      </w:r>
    </w:p>
    <w:p w:rsidR="00805291" w:rsidRPr="008953D5" w:rsidRDefault="00805291" w:rsidP="008953D5">
      <w:pPr>
        <w:keepNext/>
        <w:keepLines/>
        <w:spacing w:before="200" w:after="240"/>
        <w:outlineLvl w:val="2"/>
        <w:rPr>
          <w:rFonts w:asciiTheme="majorHAnsi" w:eastAsiaTheme="majorEastAsia" w:hAnsiTheme="majorHAnsi" w:cstheme="majorBidi"/>
          <w:b/>
          <w:bCs/>
          <w:color w:val="4F81BD" w:themeColor="accent1"/>
          <w:sz w:val="24"/>
        </w:rPr>
      </w:pPr>
      <w:bookmarkStart w:id="57" w:name="_Toc445763075"/>
      <w:bookmarkStart w:id="58" w:name="_Toc450920855"/>
      <w:r w:rsidRPr="00805291">
        <w:rPr>
          <w:rFonts w:asciiTheme="majorHAnsi" w:eastAsiaTheme="majorEastAsia" w:hAnsiTheme="majorHAnsi" w:cstheme="majorBidi"/>
          <w:b/>
          <w:bCs/>
          <w:color w:val="4F81BD" w:themeColor="accent1"/>
          <w:sz w:val="24"/>
        </w:rPr>
        <w:t>Биноминальная модель</w:t>
      </w:r>
      <w:bookmarkEnd w:id="57"/>
      <w:bookmarkEnd w:id="58"/>
    </w:p>
    <w:p w:rsidR="00805291" w:rsidRPr="00805291" w:rsidRDefault="00805291" w:rsidP="00805291">
      <w:pPr>
        <w:spacing w:after="0" w:line="360" w:lineRule="auto"/>
        <w:rPr>
          <w:rFonts w:ascii="Times New Roman" w:hAnsi="Times New Roman" w:cs="Times New Roman"/>
          <w:sz w:val="24"/>
        </w:rPr>
      </w:pPr>
      <w:r w:rsidRPr="00805291">
        <w:rPr>
          <w:rFonts w:ascii="Times New Roman" w:hAnsi="Times New Roman" w:cs="Times New Roman"/>
          <w:sz w:val="24"/>
        </w:rPr>
        <w:t>Для определения стоимости проекта с помощью биноминальной модели потребуются те же исходные данные, что и для модели Блека-Шоулза (приведенная стоимость ДП, величина первоначальных инвестиций, безрисковая ставка процента, срок опциона,</w:t>
      </w:r>
    </w:p>
    <w:p w:rsidR="00805291" w:rsidRDefault="00805291" w:rsidP="00805291">
      <w:pPr>
        <w:spacing w:after="0" w:line="360" w:lineRule="auto"/>
        <w:rPr>
          <w:rFonts w:ascii="Times New Roman" w:hAnsi="Times New Roman" w:cs="Times New Roman"/>
          <w:sz w:val="24"/>
        </w:rPr>
      </w:pPr>
      <w:r w:rsidRPr="00805291">
        <w:rPr>
          <w:rFonts w:ascii="Times New Roman" w:hAnsi="Times New Roman" w:cs="Times New Roman"/>
          <w:sz w:val="24"/>
        </w:rPr>
        <w:t>волатильность), а также следующие расчетные величины:</w:t>
      </w:r>
    </w:p>
    <w:p w:rsidR="00043F49" w:rsidRDefault="00043F49" w:rsidP="00805291">
      <w:pPr>
        <w:spacing w:after="0" w:line="360" w:lineRule="auto"/>
        <w:rPr>
          <w:rFonts w:ascii="Times New Roman" w:hAnsi="Times New Roman" w:cs="Times New Roman"/>
          <w:sz w:val="24"/>
        </w:rPr>
      </w:pPr>
    </w:p>
    <w:p w:rsidR="00043F49" w:rsidRDefault="00043F49" w:rsidP="00805291">
      <w:pPr>
        <w:spacing w:after="0" w:line="360" w:lineRule="auto"/>
        <w:rPr>
          <w:rFonts w:ascii="Times New Roman" w:hAnsi="Times New Roman" w:cs="Times New Roman"/>
          <w:sz w:val="24"/>
        </w:rPr>
      </w:pPr>
    </w:p>
    <w:p w:rsidR="00043F49" w:rsidRPr="00805291" w:rsidRDefault="00043F49" w:rsidP="00805291">
      <w:pPr>
        <w:spacing w:after="0" w:line="360" w:lineRule="auto"/>
        <w:rPr>
          <w:rFonts w:ascii="Times New Roman" w:hAnsi="Times New Roman" w:cs="Times New Roman"/>
          <w:sz w:val="24"/>
        </w:rPr>
      </w:pPr>
    </w:p>
    <w:p w:rsidR="00805291" w:rsidRPr="00805291" w:rsidRDefault="00805291" w:rsidP="00805291">
      <w:pPr>
        <w:spacing w:after="0" w:line="360" w:lineRule="auto"/>
        <w:jc w:val="right"/>
        <w:rPr>
          <w:rFonts w:ascii="Times New Roman" w:hAnsi="Times New Roman" w:cs="Times New Roman"/>
          <w:b/>
        </w:rPr>
      </w:pPr>
      <w:r w:rsidRPr="00805291">
        <w:rPr>
          <w:rFonts w:ascii="Times New Roman" w:hAnsi="Times New Roman" w:cs="Times New Roman"/>
          <w:b/>
        </w:rPr>
        <w:t>Таблица 9. Расчетные величины для биноминальной модели</w:t>
      </w:r>
    </w:p>
    <w:tbl>
      <w:tblPr>
        <w:tblStyle w:val="af6"/>
        <w:tblW w:w="5000" w:type="pct"/>
        <w:jc w:val="center"/>
        <w:tblLook w:val="04A0" w:firstRow="1" w:lastRow="0" w:firstColumn="1" w:lastColumn="0" w:noHBand="0" w:noVBand="1"/>
      </w:tblPr>
      <w:tblGrid>
        <w:gridCol w:w="2226"/>
        <w:gridCol w:w="3564"/>
        <w:gridCol w:w="3565"/>
      </w:tblGrid>
      <w:tr w:rsidR="00805291" w:rsidRPr="00805291" w:rsidTr="00805291">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88" w:type="pct"/>
            <w:noWrap/>
            <w:vAlign w:val="center"/>
          </w:tcPr>
          <w:p w:rsidR="00805291" w:rsidRPr="00805291" w:rsidRDefault="00805291" w:rsidP="00805291">
            <w:pPr>
              <w:spacing w:line="360" w:lineRule="auto"/>
              <w:ind w:left="720"/>
              <w:contextualSpacing/>
              <w:jc w:val="center"/>
              <w:rPr>
                <w:rFonts w:ascii="Times New Roman" w:hAnsi="Times New Roman" w:cs="Times New Roman"/>
              </w:rPr>
            </w:pPr>
            <w:r w:rsidRPr="00805291">
              <w:rPr>
                <w:rFonts w:ascii="Times New Roman" w:hAnsi="Times New Roman" w:cs="Times New Roman"/>
              </w:rPr>
              <w:t>Обозначение</w:t>
            </w:r>
          </w:p>
        </w:tc>
        <w:tc>
          <w:tcPr>
            <w:tcW w:w="1906" w:type="pct"/>
            <w:noWrap/>
            <w:vAlign w:val="center"/>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Значение</w:t>
            </w:r>
          </w:p>
        </w:tc>
        <w:tc>
          <w:tcPr>
            <w:tcW w:w="1906" w:type="pct"/>
            <w:vAlign w:val="center"/>
          </w:tcPr>
          <w:p w:rsidR="00805291" w:rsidRPr="00805291" w:rsidRDefault="00805291" w:rsidP="00805291">
            <w:pPr>
              <w:spacing w:line="360" w:lineRule="auto"/>
              <w:ind w:left="72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05291">
              <w:rPr>
                <w:rFonts w:ascii="Times New Roman" w:hAnsi="Times New Roman" w:cs="Times New Roman"/>
              </w:rPr>
              <w:t>Величина</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88" w:type="pct"/>
            <w:noWrap/>
            <w:vAlign w:val="center"/>
            <w:hideMark/>
          </w:tcPr>
          <w:p w:rsidR="00805291" w:rsidRPr="00805291" w:rsidRDefault="00805291" w:rsidP="00805291">
            <w:pPr>
              <w:ind w:left="720"/>
              <w:contextualSpacing/>
              <w:jc w:val="center"/>
              <w:rPr>
                <w:rFonts w:ascii="Calibri" w:eastAsia="Times New Roman" w:hAnsi="Calibri" w:cs="Calibri"/>
                <w:color w:val="000000"/>
                <w:lang w:eastAsia="ru-RU"/>
              </w:rPr>
            </w:pPr>
            <w:r w:rsidRPr="00805291">
              <w:rPr>
                <w:rFonts w:ascii="Calibri" w:eastAsia="Times New Roman" w:hAnsi="Calibri" w:cs="Calibri"/>
                <w:color w:val="000000"/>
                <w:lang w:eastAsia="ru-RU"/>
              </w:rPr>
              <w:t>u</w:t>
            </w:r>
          </w:p>
        </w:tc>
        <w:tc>
          <w:tcPr>
            <w:tcW w:w="1906"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ru-RU"/>
              </w:rPr>
            </w:pPr>
            <w:r w:rsidRPr="00805291">
              <w:rPr>
                <w:rFonts w:ascii="Calibri" w:eastAsia="Times New Roman" w:hAnsi="Calibri" w:cs="Calibri"/>
                <w:color w:val="000000"/>
                <w:lang w:eastAsia="ru-RU"/>
              </w:rPr>
              <w:t>2,725313293</w:t>
            </w:r>
          </w:p>
        </w:tc>
        <w:tc>
          <w:tcPr>
            <w:tcW w:w="1906" w:type="pct"/>
            <w:vAlign w:val="center"/>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ru-RU"/>
              </w:rPr>
            </w:pPr>
            <w:r w:rsidRPr="00805291">
              <w:rPr>
                <w:rFonts w:ascii="Calibri" w:eastAsia="Times New Roman" w:hAnsi="Calibri" w:cs="Calibri"/>
                <w:color w:val="000000"/>
                <w:lang w:eastAsia="ru-RU"/>
              </w:rPr>
              <w:t>повышающий коэффициент</w:t>
            </w:r>
          </w:p>
        </w:tc>
      </w:tr>
      <w:tr w:rsidR="00805291" w:rsidRPr="00805291" w:rsidTr="00805291">
        <w:trPr>
          <w:trHeight w:val="397"/>
          <w:jc w:val="center"/>
        </w:trPr>
        <w:tc>
          <w:tcPr>
            <w:cnfStyle w:val="001000000000" w:firstRow="0" w:lastRow="0" w:firstColumn="1" w:lastColumn="0" w:oddVBand="0" w:evenVBand="0" w:oddHBand="0" w:evenHBand="0" w:firstRowFirstColumn="0" w:firstRowLastColumn="0" w:lastRowFirstColumn="0" w:lastRowLastColumn="0"/>
            <w:tcW w:w="1188" w:type="pct"/>
            <w:noWrap/>
            <w:vAlign w:val="center"/>
            <w:hideMark/>
          </w:tcPr>
          <w:p w:rsidR="00805291" w:rsidRPr="00805291" w:rsidRDefault="00805291" w:rsidP="00805291">
            <w:pPr>
              <w:ind w:left="720"/>
              <w:contextualSpacing/>
              <w:jc w:val="center"/>
              <w:rPr>
                <w:rFonts w:ascii="Calibri" w:eastAsia="Times New Roman" w:hAnsi="Calibri" w:cs="Calibri"/>
                <w:color w:val="000000"/>
                <w:lang w:eastAsia="ru-RU"/>
              </w:rPr>
            </w:pPr>
            <w:r w:rsidRPr="00805291">
              <w:rPr>
                <w:rFonts w:ascii="Calibri" w:eastAsia="Times New Roman" w:hAnsi="Calibri" w:cs="Calibri"/>
                <w:color w:val="000000"/>
                <w:lang w:eastAsia="ru-RU"/>
              </w:rPr>
              <w:t>d</w:t>
            </w:r>
          </w:p>
        </w:tc>
        <w:tc>
          <w:tcPr>
            <w:tcW w:w="1906" w:type="pct"/>
            <w:noWrap/>
            <w:vAlign w:val="center"/>
            <w:hideMark/>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ru-RU"/>
              </w:rPr>
            </w:pPr>
            <w:r w:rsidRPr="00805291">
              <w:rPr>
                <w:rFonts w:ascii="Calibri" w:eastAsia="Times New Roman" w:hAnsi="Calibri" w:cs="Calibri"/>
                <w:color w:val="000000"/>
                <w:lang w:eastAsia="ru-RU"/>
              </w:rPr>
              <w:t>0,366930291</w:t>
            </w:r>
          </w:p>
        </w:tc>
        <w:tc>
          <w:tcPr>
            <w:tcW w:w="1906" w:type="pct"/>
            <w:vAlign w:val="center"/>
          </w:tcPr>
          <w:p w:rsidR="00805291" w:rsidRPr="00805291" w:rsidRDefault="00805291" w:rsidP="00805291">
            <w:pPr>
              <w:ind w:left="72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ru-RU"/>
              </w:rPr>
            </w:pPr>
            <w:r w:rsidRPr="00805291">
              <w:rPr>
                <w:rFonts w:ascii="Calibri" w:eastAsia="Times New Roman" w:hAnsi="Calibri" w:cs="Calibri"/>
                <w:color w:val="000000"/>
                <w:lang w:eastAsia="ru-RU"/>
              </w:rPr>
              <w:t>понижающий коэффициент</w:t>
            </w:r>
          </w:p>
        </w:tc>
      </w:tr>
      <w:tr w:rsidR="00805291" w:rsidRPr="00805291" w:rsidTr="0080529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88" w:type="pct"/>
            <w:noWrap/>
            <w:vAlign w:val="center"/>
            <w:hideMark/>
          </w:tcPr>
          <w:p w:rsidR="00805291" w:rsidRPr="00805291" w:rsidRDefault="00805291" w:rsidP="00805291">
            <w:pPr>
              <w:ind w:left="720"/>
              <w:contextualSpacing/>
              <w:jc w:val="center"/>
              <w:rPr>
                <w:rFonts w:ascii="Calibri" w:eastAsia="Times New Roman" w:hAnsi="Calibri" w:cs="Calibri"/>
                <w:color w:val="000000"/>
                <w:lang w:eastAsia="ru-RU"/>
              </w:rPr>
            </w:pPr>
            <w:r w:rsidRPr="00805291">
              <w:rPr>
                <w:rFonts w:ascii="Calibri" w:eastAsia="Times New Roman" w:hAnsi="Calibri" w:cs="Calibri"/>
                <w:color w:val="000000"/>
                <w:lang w:eastAsia="ru-RU"/>
              </w:rPr>
              <w:t>p</w:t>
            </w:r>
          </w:p>
        </w:tc>
        <w:tc>
          <w:tcPr>
            <w:tcW w:w="1906" w:type="pct"/>
            <w:noWrap/>
            <w:vAlign w:val="center"/>
            <w:hideMark/>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ru-RU"/>
              </w:rPr>
            </w:pPr>
            <w:r w:rsidRPr="00805291">
              <w:rPr>
                <w:rFonts w:ascii="Calibri" w:eastAsia="Times New Roman" w:hAnsi="Calibri" w:cs="Calibri"/>
                <w:color w:val="000000"/>
                <w:lang w:eastAsia="ru-RU"/>
              </w:rPr>
              <w:t>0,313634261</w:t>
            </w:r>
          </w:p>
        </w:tc>
        <w:tc>
          <w:tcPr>
            <w:tcW w:w="1906" w:type="pct"/>
            <w:vAlign w:val="center"/>
          </w:tcPr>
          <w:p w:rsidR="00805291" w:rsidRPr="00805291" w:rsidRDefault="00805291" w:rsidP="00805291">
            <w:pPr>
              <w:ind w:left="72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ru-RU"/>
              </w:rPr>
            </w:pPr>
            <w:r w:rsidRPr="00805291">
              <w:rPr>
                <w:rFonts w:ascii="Calibri" w:eastAsia="Times New Roman" w:hAnsi="Calibri" w:cs="Calibri"/>
                <w:color w:val="000000"/>
                <w:lang w:eastAsia="ru-RU"/>
              </w:rPr>
              <w:t>риск-нейтральная вероятность</w:t>
            </w:r>
          </w:p>
        </w:tc>
      </w:tr>
    </w:tbl>
    <w:p w:rsidR="00805291" w:rsidRPr="00805291" w:rsidRDefault="00805291" w:rsidP="00805291">
      <w:pPr>
        <w:spacing w:line="360" w:lineRule="auto"/>
        <w:rPr>
          <w:rFonts w:ascii="Times New Roman" w:hAnsi="Times New Roman" w:cs="Times New Roman"/>
          <w:sz w:val="24"/>
        </w:rPr>
      </w:pPr>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Далее необходимо построить биноминальное дерево, и с учетом повышающих и понижающих коэффициентов и риск-нейтральной вероятности рассчитать стоимость инвестиционного проекта:</w:t>
      </w:r>
    </w:p>
    <w:p w:rsidR="00805291" w:rsidRPr="00805291" w:rsidRDefault="00642BE5" w:rsidP="00805291">
      <w:pPr>
        <w:spacing w:line="360" w:lineRule="auto"/>
        <w:jc w:val="right"/>
        <w:rPr>
          <w:rFonts w:ascii="Times New Roman" w:hAnsi="Times New Roman" w:cs="Times New Roman"/>
          <w:b/>
        </w:rPr>
      </w:pPr>
      <w:r>
        <w:rPr>
          <w:rFonts w:ascii="Times New Roman" w:hAnsi="Times New Roman" w:cs="Times New Roman"/>
          <w:b/>
        </w:rPr>
        <w:t>Рис. «</w:t>
      </w:r>
      <w:r w:rsidR="00805291" w:rsidRPr="00805291">
        <w:rPr>
          <w:rFonts w:ascii="Times New Roman" w:hAnsi="Times New Roman" w:cs="Times New Roman"/>
          <w:b/>
        </w:rPr>
        <w:t>Расчет стоимости проекта с помощью биноминальной модели</w:t>
      </w:r>
      <w:r>
        <w:rPr>
          <w:rFonts w:ascii="Times New Roman" w:hAnsi="Times New Roman" w:cs="Times New Roman"/>
          <w:b/>
        </w:rPr>
        <w:t>»</w:t>
      </w:r>
      <w:r>
        <w:rPr>
          <w:rStyle w:val="a8"/>
          <w:rFonts w:ascii="Times New Roman" w:hAnsi="Times New Roman" w:cs="Times New Roman"/>
          <w:b/>
        </w:rPr>
        <w:footnoteReference w:id="25"/>
      </w:r>
    </w:p>
    <w:p w:rsidR="00805291" w:rsidRPr="00805291" w:rsidRDefault="00805291" w:rsidP="00805291">
      <w:pPr>
        <w:spacing w:line="360" w:lineRule="auto"/>
        <w:rPr>
          <w:rFonts w:ascii="Times New Roman" w:hAnsi="Times New Roman" w:cs="Times New Roman"/>
          <w:sz w:val="24"/>
        </w:rPr>
      </w:pPr>
      <w:r w:rsidRPr="00805291">
        <w:rPr>
          <w:noProof/>
          <w:lang w:eastAsia="ru-RU"/>
        </w:rPr>
        <w:drawing>
          <wp:inline distT="0" distB="0" distL="0" distR="0" wp14:anchorId="1EA41ABD" wp14:editId="18A28C85">
            <wp:extent cx="4646295" cy="362585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6295" cy="3625850"/>
                    </a:xfrm>
                    <a:prstGeom prst="rect">
                      <a:avLst/>
                    </a:prstGeom>
                    <a:noFill/>
                    <a:ln>
                      <a:noFill/>
                    </a:ln>
                  </pic:spPr>
                </pic:pic>
              </a:graphicData>
            </a:graphic>
          </wp:inline>
        </w:drawing>
      </w:r>
    </w:p>
    <w:p w:rsidR="00805291" w:rsidRDefault="00043F49" w:rsidP="00805291">
      <w:pPr>
        <w:spacing w:line="360" w:lineRule="auto"/>
        <w:ind w:firstLine="708"/>
        <w:rPr>
          <w:rFonts w:ascii="Times New Roman" w:hAnsi="Times New Roman" w:cs="Times New Roman"/>
          <w:sz w:val="24"/>
        </w:rPr>
      </w:pPr>
      <w:r>
        <w:rPr>
          <w:rFonts w:ascii="Times New Roman" w:hAnsi="Times New Roman" w:cs="Times New Roman"/>
          <w:sz w:val="24"/>
        </w:rPr>
        <w:t>Снизу</w:t>
      </w:r>
      <w:r w:rsidR="00805291" w:rsidRPr="00805291">
        <w:rPr>
          <w:rFonts w:ascii="Times New Roman" w:hAnsi="Times New Roman" w:cs="Times New Roman"/>
          <w:sz w:val="24"/>
        </w:rPr>
        <w:t xml:space="preserve"> обозначена стоимость проекта с учетом повышающих и понижающих коэффициентов в момент времени </w:t>
      </w:r>
      <w:r w:rsidR="00805291" w:rsidRPr="00805291">
        <w:rPr>
          <w:rFonts w:ascii="Times New Roman" w:hAnsi="Times New Roman" w:cs="Times New Roman"/>
          <w:sz w:val="24"/>
          <w:lang w:val="en-US"/>
        </w:rPr>
        <w:t>t</w:t>
      </w:r>
      <w:r w:rsidR="00805291" w:rsidRPr="00805291">
        <w:rPr>
          <w:rFonts w:ascii="Times New Roman" w:hAnsi="Times New Roman" w:cs="Times New Roman"/>
          <w:sz w:val="24"/>
        </w:rPr>
        <w:t xml:space="preserve">. </w:t>
      </w:r>
      <w:r w:rsidR="003B43FE">
        <w:rPr>
          <w:rFonts w:ascii="Times New Roman" w:hAnsi="Times New Roman" w:cs="Times New Roman"/>
          <w:sz w:val="24"/>
        </w:rPr>
        <w:t>Наверху же</w:t>
      </w:r>
      <w:r w:rsidR="00805291" w:rsidRPr="00805291">
        <w:rPr>
          <w:rFonts w:ascii="Times New Roman" w:hAnsi="Times New Roman" w:cs="Times New Roman"/>
          <w:sz w:val="24"/>
        </w:rPr>
        <w:t xml:space="preserve"> выделена стоимость ИП взвешенная на риск-нейтральную вероятность развития одного или другого сценария. В результате </w:t>
      </w:r>
      <w:r w:rsidR="00805291" w:rsidRPr="00805291">
        <w:rPr>
          <w:rFonts w:ascii="Times New Roman" w:hAnsi="Times New Roman" w:cs="Times New Roman"/>
          <w:sz w:val="24"/>
        </w:rPr>
        <w:lastRenderedPageBreak/>
        <w:t xml:space="preserve">стоимость проекта по реконструкции ПС «Батово» методом биноминального дерева равна 1 006 978 тыс. руб., а </w:t>
      </w:r>
      <w:r w:rsidR="00805291" w:rsidRPr="00805291">
        <w:rPr>
          <w:rFonts w:ascii="Times New Roman" w:hAnsi="Times New Roman" w:cs="Times New Roman"/>
          <w:sz w:val="24"/>
          <w:lang w:val="en-US"/>
        </w:rPr>
        <w:t>NPV</w:t>
      </w:r>
      <w:r w:rsidR="00805291" w:rsidRPr="00805291">
        <w:rPr>
          <w:rFonts w:ascii="Times New Roman" w:hAnsi="Times New Roman" w:cs="Times New Roman"/>
          <w:sz w:val="24"/>
        </w:rPr>
        <w:t xml:space="preserve"> равен  210 716 тыс. руб.  </w:t>
      </w:r>
    </w:p>
    <w:p w:rsidR="00373CF7" w:rsidRPr="00805291" w:rsidRDefault="00373CF7" w:rsidP="00805291">
      <w:pPr>
        <w:spacing w:line="360" w:lineRule="auto"/>
        <w:ind w:firstLine="708"/>
        <w:rPr>
          <w:rFonts w:ascii="Times New Roman" w:hAnsi="Times New Roman" w:cs="Times New Roman"/>
          <w:sz w:val="24"/>
        </w:rPr>
      </w:pPr>
      <w:r>
        <w:rPr>
          <w:rFonts w:ascii="Times New Roman" w:hAnsi="Times New Roman" w:cs="Times New Roman"/>
          <w:sz w:val="24"/>
        </w:rPr>
        <w:t>На основе полученных результатов можно сделать однозначный вывод о том, что методы реальных опционов увеличивают доходность рассматриваемого проекта в результате учета гибкости принимаемых решений в ходе его реализации. Это делает его эффективным и целесообразным для реализации</w:t>
      </w:r>
      <w:r w:rsidR="003B43FE">
        <w:rPr>
          <w:rFonts w:ascii="Times New Roman" w:hAnsi="Times New Roman" w:cs="Times New Roman"/>
          <w:sz w:val="24"/>
        </w:rPr>
        <w:t>.</w:t>
      </w:r>
    </w:p>
    <w:p w:rsidR="00805291" w:rsidRPr="00805291" w:rsidRDefault="00805291" w:rsidP="00805291">
      <w:pPr>
        <w:rPr>
          <w:rFonts w:ascii="Times New Roman" w:hAnsi="Times New Roman" w:cs="Times New Roman"/>
          <w:sz w:val="24"/>
        </w:rPr>
      </w:pPr>
      <w:r w:rsidRPr="00805291">
        <w:rPr>
          <w:rFonts w:ascii="Times New Roman" w:hAnsi="Times New Roman" w:cs="Times New Roman"/>
          <w:sz w:val="24"/>
        </w:rPr>
        <w:br w:type="page"/>
      </w:r>
    </w:p>
    <w:p w:rsidR="00805291" w:rsidRPr="00805291" w:rsidRDefault="00805291" w:rsidP="00805291">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59" w:name="_Toc445763082"/>
      <w:bookmarkStart w:id="60" w:name="_Toc450920856"/>
      <w:r w:rsidRPr="00805291">
        <w:rPr>
          <w:rFonts w:asciiTheme="majorHAnsi" w:eastAsiaTheme="majorEastAsia" w:hAnsiTheme="majorHAnsi" w:cstheme="majorBidi"/>
          <w:b/>
          <w:bCs/>
          <w:color w:val="365F91" w:themeColor="accent1" w:themeShade="BF"/>
          <w:sz w:val="28"/>
          <w:szCs w:val="28"/>
        </w:rPr>
        <w:lastRenderedPageBreak/>
        <w:t>Выводы</w:t>
      </w:r>
      <w:bookmarkEnd w:id="59"/>
      <w:r w:rsidR="00CF5D0C">
        <w:rPr>
          <w:rFonts w:asciiTheme="majorHAnsi" w:eastAsiaTheme="majorEastAsia" w:hAnsiTheme="majorHAnsi" w:cstheme="majorBidi"/>
          <w:b/>
          <w:bCs/>
          <w:color w:val="365F91" w:themeColor="accent1" w:themeShade="BF"/>
          <w:sz w:val="28"/>
          <w:szCs w:val="28"/>
        </w:rPr>
        <w:t xml:space="preserve"> к главе</w:t>
      </w:r>
      <w:r w:rsidR="00E82D69">
        <w:rPr>
          <w:rFonts w:asciiTheme="majorHAnsi" w:eastAsiaTheme="majorEastAsia" w:hAnsiTheme="majorHAnsi" w:cstheme="majorBidi"/>
          <w:b/>
          <w:bCs/>
          <w:color w:val="365F91" w:themeColor="accent1" w:themeShade="BF"/>
          <w:sz w:val="28"/>
          <w:szCs w:val="28"/>
        </w:rPr>
        <w:t xml:space="preserve"> 2</w:t>
      </w:r>
      <w:bookmarkEnd w:id="60"/>
    </w:p>
    <w:p w:rsidR="00805291" w:rsidRPr="00805291" w:rsidRDefault="00805291" w:rsidP="00805291">
      <w:pPr>
        <w:spacing w:line="360" w:lineRule="auto"/>
        <w:ind w:firstLine="708"/>
        <w:rPr>
          <w:rFonts w:ascii="Times New Roman" w:hAnsi="Times New Roman" w:cs="Times New Roman"/>
          <w:sz w:val="24"/>
          <w:szCs w:val="24"/>
        </w:rPr>
      </w:pPr>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szCs w:val="24"/>
        </w:rPr>
        <w:t>В результате прохождения практики в ПАО «Ленэнерго» и рассмотрения большого количества инвестиционных проектов, а также в итоге рассмотрения конкретного примера в виде проекта реконструкции подстанции «Батово», следует сделать многозначительный вывод. Помимо традиционных методов оценки инвестиционных проектов (</w:t>
      </w:r>
      <w:r w:rsidRPr="00805291">
        <w:rPr>
          <w:rFonts w:ascii="Times New Roman" w:hAnsi="Times New Roman" w:cs="Times New Roman"/>
          <w:sz w:val="24"/>
          <w:szCs w:val="24"/>
          <w:lang w:val="en-US"/>
        </w:rPr>
        <w:t>NPV</w:t>
      </w:r>
      <w:r w:rsidRPr="00805291">
        <w:rPr>
          <w:rFonts w:ascii="Times New Roman" w:hAnsi="Times New Roman" w:cs="Times New Roman"/>
          <w:sz w:val="24"/>
          <w:szCs w:val="24"/>
        </w:rPr>
        <w:t xml:space="preserve">, </w:t>
      </w:r>
      <w:r w:rsidRPr="00805291">
        <w:rPr>
          <w:rFonts w:ascii="Times New Roman" w:hAnsi="Times New Roman" w:cs="Times New Roman"/>
          <w:sz w:val="24"/>
          <w:szCs w:val="24"/>
          <w:lang w:val="en-US"/>
        </w:rPr>
        <w:t>IRR</w:t>
      </w:r>
      <w:r w:rsidRPr="00805291">
        <w:rPr>
          <w:rFonts w:ascii="Times New Roman" w:hAnsi="Times New Roman" w:cs="Times New Roman"/>
          <w:sz w:val="24"/>
          <w:szCs w:val="24"/>
        </w:rPr>
        <w:t xml:space="preserve">, дисконтированный срок окупаемости) даже крупнейшие в своей отрасли предприятия-монополисты не используют более сложных методов оценки экономической эффективности инвестиционных проектов в своей инвестиционной деятельности. Методика оценки закреплена документально в регламентах и инструкциях, а формат, в котором представляется результат, высылается подотчетным органам сверху (Минэнерго в случае «Ленэнерго»). Любые коррективы в алгоритм оценки следует доводить до высших инстанций, что в виду высокой бюрократизации исполнительного аппарата сделать крайне затруднительно, поэтому в анализе экономической привлекательности существует некоторое количество ограничений и общих фиксированных ставок. Например, в отличии от классического способа дисконтирования денежных потоков по ставке средневзвешенной стоимости капитала </w:t>
      </w:r>
      <w:r w:rsidRPr="00805291">
        <w:rPr>
          <w:rFonts w:ascii="Times New Roman" w:hAnsi="Times New Roman" w:cs="Times New Roman"/>
          <w:sz w:val="24"/>
          <w:szCs w:val="24"/>
          <w:lang w:val="en-US"/>
        </w:rPr>
        <w:t>WACC</w:t>
      </w:r>
      <w:r w:rsidRPr="00805291">
        <w:rPr>
          <w:rFonts w:ascii="Times New Roman" w:hAnsi="Times New Roman" w:cs="Times New Roman"/>
          <w:sz w:val="24"/>
          <w:szCs w:val="24"/>
        </w:rPr>
        <w:t xml:space="preserve">, используется установленная для Общества ставка дисконтирования, равная 16,3%. Для рассматриваемого проекта величина </w:t>
      </w:r>
      <w:r w:rsidRPr="00805291">
        <w:rPr>
          <w:rFonts w:ascii="Times New Roman" w:hAnsi="Times New Roman" w:cs="Times New Roman"/>
          <w:sz w:val="24"/>
          <w:szCs w:val="24"/>
          <w:lang w:val="en-US"/>
        </w:rPr>
        <w:t>WACC</w:t>
      </w:r>
      <w:r w:rsidRPr="00805291">
        <w:rPr>
          <w:rFonts w:ascii="Times New Roman" w:hAnsi="Times New Roman" w:cs="Times New Roman"/>
          <w:sz w:val="24"/>
          <w:szCs w:val="24"/>
        </w:rPr>
        <w:t xml:space="preserve"> равняется 12%</w:t>
      </w:r>
      <w:r w:rsidR="00373CF7">
        <w:rPr>
          <w:rFonts w:ascii="Times New Roman" w:hAnsi="Times New Roman" w:cs="Times New Roman"/>
          <w:sz w:val="24"/>
          <w:szCs w:val="24"/>
        </w:rPr>
        <w:t xml:space="preserve"> (см. прил. 1)</w:t>
      </w:r>
      <w:r w:rsidRPr="00805291">
        <w:rPr>
          <w:rFonts w:ascii="Times New Roman" w:hAnsi="Times New Roman" w:cs="Times New Roman"/>
          <w:sz w:val="24"/>
          <w:szCs w:val="24"/>
        </w:rPr>
        <w:t xml:space="preserve">. Нетрудно убедиться, что при данной ставке чистая приведенная стоимость проекта будет равняться </w:t>
      </w:r>
      <w:r w:rsidRPr="00805291">
        <w:rPr>
          <w:rFonts w:ascii="Times New Roman" w:hAnsi="Times New Roman" w:cs="Times New Roman"/>
          <w:sz w:val="24"/>
        </w:rPr>
        <w:t>56 112 тыс. руб., что свидетельствует о экономической выгодности проекта и идет в разрез с результатом, полученным при оценке установленным компанией алгоритмом.</w:t>
      </w:r>
    </w:p>
    <w:p w:rsidR="00805291" w:rsidRPr="00805291" w:rsidRDefault="00805291" w:rsidP="00805291">
      <w:pPr>
        <w:spacing w:line="360" w:lineRule="auto"/>
        <w:ind w:firstLine="708"/>
        <w:rPr>
          <w:rFonts w:ascii="Times New Roman" w:hAnsi="Times New Roman" w:cs="Times New Roman"/>
          <w:sz w:val="24"/>
        </w:rPr>
      </w:pPr>
      <w:r w:rsidRPr="00805291">
        <w:rPr>
          <w:rFonts w:ascii="Times New Roman" w:hAnsi="Times New Roman" w:cs="Times New Roman"/>
          <w:sz w:val="24"/>
        </w:rPr>
        <w:t xml:space="preserve">Оценка инвестиционных проектов методом реальных опционов показывает наличие дополнительной стоимости опциона в составе проекта. При учете данных стоимостей, </w:t>
      </w:r>
      <w:r w:rsidRPr="00805291">
        <w:rPr>
          <w:rFonts w:ascii="Times New Roman" w:hAnsi="Times New Roman" w:cs="Times New Roman"/>
          <w:sz w:val="24"/>
          <w:lang w:val="en-US"/>
        </w:rPr>
        <w:t>NPV</w:t>
      </w:r>
      <w:r w:rsidRPr="00805291">
        <w:rPr>
          <w:rFonts w:ascii="Times New Roman" w:hAnsi="Times New Roman" w:cs="Times New Roman"/>
          <w:sz w:val="24"/>
        </w:rPr>
        <w:t xml:space="preserve"> проекта значительно больше нуля и говорит о прибыльности данного варианта инвестирования. Однако, данный метод значительно сложнее традиционных, и современные компании не считают полученные таким образом результаты стоящими трудностей его освоения и использования. Так как срок действия опциона в примере использован небольшой (3 года), величина </w:t>
      </w:r>
      <w:r w:rsidRPr="00805291">
        <w:rPr>
          <w:rFonts w:ascii="Times New Roman" w:hAnsi="Times New Roman" w:cs="Times New Roman"/>
          <w:sz w:val="24"/>
          <w:lang w:val="en-US"/>
        </w:rPr>
        <w:t>NPV</w:t>
      </w:r>
      <w:r w:rsidRPr="00805291">
        <w:rPr>
          <w:rFonts w:ascii="Times New Roman" w:hAnsi="Times New Roman" w:cs="Times New Roman"/>
          <w:sz w:val="24"/>
        </w:rPr>
        <w:t xml:space="preserve"> методом Блека-Шоулза и биноминальным методом значительно отличаются (342 634 тыс. руб. и 210 716 тыс. руб. соответственно). Однако оба они свидетельствуют о выгодности проекта.</w:t>
      </w:r>
    </w:p>
    <w:p w:rsidR="00805291" w:rsidRPr="00805291" w:rsidRDefault="00805291" w:rsidP="00805291">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Рассмотрение качественных методов определения рисков показало, что среднестатистическому специалисту по оценке рисков инвестиционного проекта </w:t>
      </w:r>
      <w:r w:rsidRPr="00805291">
        <w:rPr>
          <w:rFonts w:ascii="Times New Roman" w:hAnsi="Times New Roman" w:cs="Times New Roman"/>
          <w:sz w:val="24"/>
          <w:szCs w:val="24"/>
        </w:rPr>
        <w:lastRenderedPageBreak/>
        <w:t>практически невозможно провести анализ без всесторонней помощи экспертов технической специальности, отвечающих за планирование инвестиционных затрат и проекта как такового. Именно последний может как обосновать определение того или иного уровня затрат для каждого конкретного периода и каждой статьи затрат, так и определить вероятность возникновения непредвиденных обстоятельств при реализации проекта с определёнными исходными характеристиками и условиями. Исходя из этого, единственная качественная оценка рисков, которая действительно производится – это выявление возможных рисков на основе оценки экономической и политической ситуации на рынке и на основе анализа субъективных факторов, характерных для рассматриваемого предприятия.</w:t>
      </w:r>
    </w:p>
    <w:p w:rsidR="00805291" w:rsidRPr="00805291" w:rsidRDefault="00805291" w:rsidP="00805291">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Количественные методы оценки рисков для анализа требуют некоторые дополнительные сведения о проекте, которая для рассматриваемого проекта в распоряжении отсутствует. Лишь один метод позволяет провести анализ на основании имеющихся данных – анализ чувствительности. В работе была показана зависимости ключевого показателя экономической привлекательности проекта (</w:t>
      </w:r>
      <w:r w:rsidRPr="00805291">
        <w:rPr>
          <w:rFonts w:ascii="Times New Roman" w:hAnsi="Times New Roman" w:cs="Times New Roman"/>
          <w:sz w:val="24"/>
          <w:szCs w:val="24"/>
          <w:lang w:val="en-US"/>
        </w:rPr>
        <w:t>NPV</w:t>
      </w:r>
      <w:r w:rsidRPr="00805291">
        <w:rPr>
          <w:rFonts w:ascii="Times New Roman" w:hAnsi="Times New Roman" w:cs="Times New Roman"/>
          <w:sz w:val="24"/>
          <w:szCs w:val="24"/>
        </w:rPr>
        <w:t>) от других величин (объем инвестирования, ставка дисконтирования, ставка по кредиту). Лишь относительно значительное изменение исходных параметров (от 80 до 90% от первоначальных) сделает проект выгодным.</w:t>
      </w:r>
    </w:p>
    <w:p w:rsidR="00805291" w:rsidRPr="00805291" w:rsidRDefault="00805291" w:rsidP="00805291">
      <w:pPr>
        <w:spacing w:line="360" w:lineRule="auto"/>
        <w:ind w:firstLine="708"/>
        <w:rPr>
          <w:rFonts w:ascii="Times New Roman" w:hAnsi="Times New Roman" w:cs="Times New Roman"/>
          <w:sz w:val="24"/>
          <w:szCs w:val="24"/>
        </w:rPr>
      </w:pPr>
      <w:r w:rsidRPr="00805291">
        <w:rPr>
          <w:rFonts w:ascii="Times New Roman" w:hAnsi="Times New Roman" w:cs="Times New Roman"/>
          <w:sz w:val="24"/>
          <w:szCs w:val="24"/>
        </w:rPr>
        <w:t xml:space="preserve"> В заключение, несмотря на то, что согласно методике расчета Общества проект «Батово» признается экономически нецелесообразным, решение о его реализации тем не менее было утверждено. Согласно бизнес плану проекта, необходимость его реализации заключается в снижении вероятности возникновения аварий, выхода из строя оборудования и повышении надёжности электроснабжения потребителей: птицефабрики «Батово», д. Батово, п. Рождествено, п. Выра, фермы п. Рождествено, д. Поддубье и  частного сектора данных поселков Гатчинского района Ленинградской области.</w:t>
      </w:r>
    </w:p>
    <w:p w:rsidR="001C1566" w:rsidRPr="00C245D2" w:rsidRDefault="001C1566" w:rsidP="00C245D2">
      <w:pPr>
        <w:jc w:val="both"/>
        <w:rPr>
          <w:rFonts w:ascii="Times New Roman" w:hAnsi="Times New Roman" w:cs="Times New Roman"/>
          <w:sz w:val="24"/>
          <w:szCs w:val="24"/>
        </w:rPr>
      </w:pPr>
    </w:p>
    <w:p w:rsidR="00E82D69" w:rsidRDefault="00E82D69">
      <w:pPr>
        <w:rPr>
          <w:rFonts w:asciiTheme="majorHAnsi" w:eastAsiaTheme="majorEastAsia" w:hAnsiTheme="majorHAnsi" w:cstheme="majorBidi"/>
          <w:b/>
          <w:bCs/>
          <w:color w:val="365F91" w:themeColor="accent1" w:themeShade="BF"/>
          <w:sz w:val="28"/>
          <w:szCs w:val="28"/>
        </w:rPr>
      </w:pPr>
      <w:r>
        <w:br w:type="page"/>
      </w:r>
    </w:p>
    <w:p w:rsidR="00E82D69" w:rsidRDefault="00E82D69" w:rsidP="00E82D69">
      <w:pPr>
        <w:pStyle w:val="1"/>
        <w:jc w:val="center"/>
      </w:pPr>
      <w:bookmarkStart w:id="61" w:name="_Toc450920857"/>
      <w:r>
        <w:lastRenderedPageBreak/>
        <w:t>Заключение</w:t>
      </w:r>
      <w:bookmarkEnd w:id="61"/>
    </w:p>
    <w:p w:rsidR="00486093" w:rsidRDefault="00486093" w:rsidP="00486093">
      <w:pPr>
        <w:pStyle w:val="21"/>
        <w:tabs>
          <w:tab w:val="center" w:pos="4677"/>
        </w:tabs>
        <w:spacing w:after="0"/>
        <w:ind w:left="0" w:firstLine="851"/>
        <w:jc w:val="both"/>
        <w:rPr>
          <w:sz w:val="24"/>
          <w:szCs w:val="24"/>
        </w:rPr>
      </w:pPr>
    </w:p>
    <w:p w:rsidR="00CF5D0C" w:rsidRPr="000D4DBB" w:rsidRDefault="00B76F83" w:rsidP="00CF5D0C">
      <w:pPr>
        <w:spacing w:after="0" w:line="360" w:lineRule="auto"/>
        <w:ind w:firstLine="851"/>
        <w:jc w:val="both"/>
        <w:rPr>
          <w:rFonts w:ascii="Times New Roman" w:hAnsi="Times New Roman" w:cs="Times New Roman"/>
          <w:sz w:val="24"/>
          <w:szCs w:val="24"/>
        </w:rPr>
      </w:pPr>
      <w:r w:rsidRPr="00B76F83">
        <w:rPr>
          <w:rFonts w:ascii="Times New Roman" w:hAnsi="Times New Roman" w:cs="Times New Roman"/>
          <w:sz w:val="24"/>
        </w:rPr>
        <w:t xml:space="preserve"> </w:t>
      </w:r>
      <w:r w:rsidR="00CF5D0C" w:rsidRPr="000D4DBB">
        <w:rPr>
          <w:rFonts w:ascii="Times New Roman" w:hAnsi="Times New Roman" w:cs="Times New Roman"/>
          <w:sz w:val="24"/>
          <w:szCs w:val="24"/>
        </w:rPr>
        <w:t>Среди рассмотренных стандартных методов оценки эффективности ИП приоритетными следует назвать те, что основаны на дисконтировании будущих денежных потоков. Это позволяет учесть альтернативные вложения располагаемых денежных средств под используемую ставку дисконта. Однако в ходе работы было выяснено, что ни один из методов не является оптимальным, так, например, наиболее широко известный метод NPV не позволяет сравнивать проекты, отличные по масштабу, а также не позволяет судить об эффективности проекта. Другие методы не демонстрируют абсолютный выигрыш от реализации проекта, неаддитивны и имеют ряд других недостатков. Из этого следует вывод, что при использовании стандартных методов оценки ИП следует проводить комплексный анализ, включающий в себя множество показателей, на совокупном результате которых и можно будет сделать вывод о целесообразности денежных вложений.</w:t>
      </w:r>
    </w:p>
    <w:p w:rsidR="00CF5D0C" w:rsidRPr="000D4DBB" w:rsidRDefault="00CF5D0C" w:rsidP="00CF5D0C">
      <w:pPr>
        <w:spacing w:after="0" w:line="360" w:lineRule="auto"/>
        <w:ind w:firstLine="851"/>
        <w:jc w:val="both"/>
        <w:rPr>
          <w:rFonts w:ascii="Times New Roman" w:hAnsi="Times New Roman" w:cs="Times New Roman"/>
          <w:sz w:val="24"/>
          <w:szCs w:val="24"/>
        </w:rPr>
      </w:pPr>
      <w:r w:rsidRPr="000D4DBB">
        <w:rPr>
          <w:rFonts w:ascii="Times New Roman" w:hAnsi="Times New Roman" w:cs="Times New Roman"/>
          <w:sz w:val="24"/>
          <w:szCs w:val="24"/>
        </w:rPr>
        <w:t>Однако, даже после разностороннего анализа, полученную оценку нельзя считать полностью достоверной. Ввиду отсутствия строгой детерминированности времени и прогнозного характера используемых для расчётов данных, в зависимости от ситуации конечный результат может отличаться как в положительную, так и в отрицательную сторону. Здесь следует различать понятия неопределённости и риска; ведь риск – это численно охарактеризованная мера неопределенности. Именно поэтому были рассмотрены методы, выявляющие и нивелирующие риск, так как избавиться от определённости на практике не представляется возможным.</w:t>
      </w:r>
    </w:p>
    <w:p w:rsidR="00CF5D0C" w:rsidRDefault="00CF5D0C" w:rsidP="00CF5D0C">
      <w:pPr>
        <w:spacing w:after="0" w:line="360" w:lineRule="auto"/>
        <w:ind w:firstLine="851"/>
        <w:jc w:val="both"/>
        <w:rPr>
          <w:rFonts w:ascii="Times New Roman" w:hAnsi="Times New Roman" w:cs="Times New Roman"/>
          <w:sz w:val="24"/>
          <w:szCs w:val="24"/>
        </w:rPr>
      </w:pPr>
      <w:r w:rsidRPr="000D4DBB">
        <w:rPr>
          <w:rFonts w:ascii="Times New Roman" w:hAnsi="Times New Roman" w:cs="Times New Roman"/>
          <w:sz w:val="24"/>
          <w:szCs w:val="24"/>
        </w:rPr>
        <w:t>К оценке рисков в современной экономике существует два подхода. Качественный подход включает в себя  анализ уместности затрат, метод аналогий и метод экспертных оценок, позволяющий идентифицировать виды рисков, их причины, источники и влияющие факторы. По мнению автора, наиболее эффективным из них является последний, а именно, его разновидность - метод Дельфи. Его главным преимуществом является анализ, основанный на индивидуальном мнении компетентных квалифицированных специалистов. Среди количественных, автор хотел бы выделить метод Монте-Карло, имитирующий тысячи различных сценариев развития событий и демонстрирующий возможные границы волатильностей отдельных переменных с конкретными вероятностями.</w:t>
      </w:r>
    </w:p>
    <w:p w:rsidR="00CF5D0C" w:rsidRPr="00C245D2" w:rsidRDefault="00CF5D0C" w:rsidP="00CF5D0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З</w:t>
      </w:r>
      <w:r w:rsidRPr="00C245D2">
        <w:rPr>
          <w:rFonts w:ascii="Times New Roman" w:hAnsi="Times New Roman" w:cs="Times New Roman"/>
          <w:sz w:val="24"/>
          <w:szCs w:val="24"/>
        </w:rPr>
        <w:t xml:space="preserve">начительным продвижением </w:t>
      </w:r>
      <w:r>
        <w:rPr>
          <w:rFonts w:ascii="Times New Roman" w:hAnsi="Times New Roman" w:cs="Times New Roman"/>
          <w:sz w:val="24"/>
          <w:szCs w:val="24"/>
        </w:rPr>
        <w:t xml:space="preserve">в направлении оценки эффективности ИП </w:t>
      </w:r>
      <w:r w:rsidRPr="00C245D2">
        <w:rPr>
          <w:rFonts w:ascii="Times New Roman" w:hAnsi="Times New Roman" w:cs="Times New Roman"/>
          <w:sz w:val="24"/>
          <w:szCs w:val="24"/>
        </w:rPr>
        <w:t xml:space="preserve">стало использование метода реальных опционов, позволяющих не избегать неопределенность, а использовать ее в своих интересах, ведь неопределенность, как мы выяснили во второй главе, далеко не всегда негативное явление. При неблагоприятном отклонении параметров от прогнозных, методы реальных опционов позволяют минимизировать издержки, а при </w:t>
      </w:r>
      <w:r w:rsidRPr="00C245D2">
        <w:rPr>
          <w:rFonts w:ascii="Times New Roman" w:hAnsi="Times New Roman" w:cs="Times New Roman"/>
          <w:sz w:val="24"/>
          <w:szCs w:val="24"/>
        </w:rPr>
        <w:lastRenderedPageBreak/>
        <w:t>благоприятном – извлечь максимальную прибыль при сложившихся условиях. Тем не менее, и в использовании реальных опционов возникают некоторые сложности, связанные, в первую очередь, с установлением корректных априорных значений переменных, участвующих в сложных расчетах. Эта проблема открывает широчайшую область для дальнейших научных исследований и разработок по теме оценки эффективности инвестиционных проектов. При имеющихся же на сегодняшний день методах, точность оценок зависит исключительно от полноты располагаемой на момент анализа информации.</w:t>
      </w:r>
    </w:p>
    <w:p w:rsidR="00CF5D0C" w:rsidRDefault="00CF5D0C" w:rsidP="00CF5D0C">
      <w:pPr>
        <w:spacing w:after="0" w:line="360" w:lineRule="auto"/>
        <w:ind w:firstLine="992"/>
        <w:jc w:val="both"/>
        <w:rPr>
          <w:rFonts w:ascii="Times New Roman" w:hAnsi="Times New Roman" w:cs="Times New Roman"/>
          <w:sz w:val="24"/>
        </w:rPr>
      </w:pPr>
      <w:r>
        <w:rPr>
          <w:rFonts w:ascii="Times New Roman" w:hAnsi="Times New Roman" w:cs="Times New Roman"/>
          <w:sz w:val="24"/>
        </w:rPr>
        <w:t xml:space="preserve">Во второй главе работы был рассмотрен реальный инвестиционный проект, реализуемый </w:t>
      </w:r>
      <w:r w:rsidRPr="00B76F83">
        <w:rPr>
          <w:rFonts w:ascii="Times New Roman" w:hAnsi="Times New Roman" w:cs="Times New Roman"/>
          <w:sz w:val="24"/>
        </w:rPr>
        <w:t>ПАО «Ленэнерго»</w:t>
      </w:r>
      <w:r>
        <w:rPr>
          <w:rFonts w:ascii="Times New Roman" w:hAnsi="Times New Roman" w:cs="Times New Roman"/>
          <w:sz w:val="24"/>
        </w:rPr>
        <w:t>. Традиционные методы оценки установили его неэффективность: чистая приведенная стоимость отрицательна (</w:t>
      </w:r>
      <w:r w:rsidRPr="00FC07A1">
        <w:rPr>
          <w:rFonts w:ascii="Times New Roman" w:hAnsi="Times New Roman" w:cs="Times New Roman"/>
          <w:sz w:val="24"/>
        </w:rPr>
        <w:t>-53 161 тыс. руб</w:t>
      </w:r>
      <w:r>
        <w:rPr>
          <w:rFonts w:ascii="Times New Roman" w:hAnsi="Times New Roman" w:cs="Times New Roman"/>
          <w:sz w:val="24"/>
        </w:rPr>
        <w:t xml:space="preserve">.), </w:t>
      </w:r>
      <w:r w:rsidRPr="00805291">
        <w:rPr>
          <w:rFonts w:ascii="Times New Roman" w:eastAsia="Times New Roman" w:hAnsi="Times New Roman" w:cs="Times New Roman"/>
          <w:sz w:val="24"/>
          <w:szCs w:val="20"/>
          <w:lang w:eastAsia="ru-RU"/>
        </w:rPr>
        <w:t xml:space="preserve">ставка </w:t>
      </w:r>
      <w:r w:rsidRPr="00805291">
        <w:rPr>
          <w:rFonts w:ascii="Times New Roman" w:eastAsia="Times New Roman" w:hAnsi="Times New Roman" w:cs="Times New Roman"/>
          <w:sz w:val="24"/>
          <w:szCs w:val="20"/>
          <w:lang w:val="en-US" w:eastAsia="ru-RU"/>
        </w:rPr>
        <w:t>IRR</w:t>
      </w:r>
      <w:r>
        <w:rPr>
          <w:rFonts w:ascii="Times New Roman" w:eastAsia="Times New Roman" w:hAnsi="Times New Roman" w:cs="Times New Roman"/>
          <w:sz w:val="24"/>
          <w:szCs w:val="20"/>
          <w:lang w:eastAsia="ru-RU"/>
        </w:rPr>
        <w:t xml:space="preserve"> меньше цены капитала, а </w:t>
      </w:r>
      <w:r w:rsidRPr="00805291">
        <w:rPr>
          <w:rFonts w:ascii="Times New Roman" w:eastAsia="Times New Roman" w:hAnsi="Times New Roman" w:cs="Times New Roman"/>
          <w:sz w:val="24"/>
          <w:szCs w:val="20"/>
          <w:lang w:eastAsia="ru-RU"/>
        </w:rPr>
        <w:t>дисконтированный срок окупаемости лежит за горизонтом планирования</w:t>
      </w:r>
      <w:r>
        <w:rPr>
          <w:rFonts w:ascii="Times New Roman" w:eastAsia="Times New Roman" w:hAnsi="Times New Roman" w:cs="Times New Roman"/>
          <w:sz w:val="24"/>
          <w:szCs w:val="20"/>
          <w:lang w:eastAsia="ru-RU"/>
        </w:rPr>
        <w:t>. Качественный систематический анализ рисков предсказал их основные источники (</w:t>
      </w:r>
      <w:r w:rsidRPr="00805291">
        <w:rPr>
          <w:rFonts w:ascii="Times New Roman" w:hAnsi="Times New Roman" w:cs="Times New Roman"/>
          <w:sz w:val="24"/>
        </w:rPr>
        <w:t>риск недополучения прибыли в результате снижения объема реализации или снижения цены на услуги</w:t>
      </w:r>
      <w:r>
        <w:rPr>
          <w:rFonts w:ascii="Times New Roman" w:hAnsi="Times New Roman" w:cs="Times New Roman"/>
          <w:sz w:val="24"/>
        </w:rPr>
        <w:t>, р</w:t>
      </w:r>
      <w:r w:rsidRPr="008B2CBF">
        <w:rPr>
          <w:rFonts w:ascii="Times New Roman" w:hAnsi="Times New Roman" w:cs="Times New Roman"/>
          <w:sz w:val="24"/>
        </w:rPr>
        <w:t>иск несоблюдения графика и превышения бюджета проекта</w:t>
      </w:r>
      <w:r>
        <w:rPr>
          <w:rFonts w:ascii="Times New Roman" w:hAnsi="Times New Roman" w:cs="Times New Roman"/>
          <w:sz w:val="24"/>
        </w:rPr>
        <w:t xml:space="preserve">, </w:t>
      </w:r>
      <w:r w:rsidRPr="00805291">
        <w:rPr>
          <w:rFonts w:ascii="Times New Roman" w:hAnsi="Times New Roman" w:cs="Times New Roman"/>
          <w:sz w:val="24"/>
          <w:szCs w:val="24"/>
        </w:rPr>
        <w:t>риск изменения процентных ставок</w:t>
      </w:r>
      <w:r>
        <w:rPr>
          <w:rFonts w:ascii="Times New Roman" w:hAnsi="Times New Roman" w:cs="Times New Roman"/>
          <w:sz w:val="24"/>
          <w:szCs w:val="24"/>
        </w:rPr>
        <w:t xml:space="preserve"> и т.д.</w:t>
      </w:r>
      <w:r>
        <w:rPr>
          <w:rFonts w:ascii="Times New Roman" w:hAnsi="Times New Roman" w:cs="Times New Roman"/>
          <w:sz w:val="24"/>
        </w:rPr>
        <w:t>) и способы нивелирования</w:t>
      </w:r>
      <w:r>
        <w:rPr>
          <w:rFonts w:ascii="Times New Roman" w:eastAsia="Times New Roman" w:hAnsi="Times New Roman" w:cs="Times New Roman"/>
          <w:sz w:val="24"/>
          <w:szCs w:val="20"/>
          <w:lang w:eastAsia="ru-RU"/>
        </w:rPr>
        <w:t xml:space="preserve">, а качественный – установил, что </w:t>
      </w:r>
      <w:r w:rsidRPr="00805291">
        <w:rPr>
          <w:rFonts w:ascii="Times New Roman" w:hAnsi="Times New Roman" w:cs="Times New Roman"/>
          <w:sz w:val="24"/>
          <w:szCs w:val="24"/>
        </w:rPr>
        <w:t>рассматриваемый проект может стать прибыльным либо при сокращении величины инвестиций до 80-85% от первоначальной суммы, либо при уменьшении ставки дисконтирования н</w:t>
      </w:r>
      <w:r>
        <w:rPr>
          <w:rFonts w:ascii="Times New Roman" w:hAnsi="Times New Roman" w:cs="Times New Roman"/>
          <w:sz w:val="24"/>
          <w:szCs w:val="24"/>
        </w:rPr>
        <w:t>а</w:t>
      </w:r>
      <w:r w:rsidRPr="00805291">
        <w:rPr>
          <w:rFonts w:ascii="Times New Roman" w:hAnsi="Times New Roman" w:cs="Times New Roman"/>
          <w:sz w:val="24"/>
          <w:szCs w:val="24"/>
        </w:rPr>
        <w:t xml:space="preserve"> 10-20%, либо при ставке по кредиту, равной 80% от при</w:t>
      </w:r>
      <w:r>
        <w:rPr>
          <w:rFonts w:ascii="Times New Roman" w:hAnsi="Times New Roman" w:cs="Times New Roman"/>
          <w:sz w:val="24"/>
          <w:szCs w:val="24"/>
        </w:rPr>
        <w:t>н</w:t>
      </w:r>
      <w:r w:rsidRPr="00805291">
        <w:rPr>
          <w:rFonts w:ascii="Times New Roman" w:hAnsi="Times New Roman" w:cs="Times New Roman"/>
          <w:sz w:val="24"/>
          <w:szCs w:val="24"/>
        </w:rPr>
        <w:t xml:space="preserve">ятой проектом изначально. </w:t>
      </w:r>
      <w:r>
        <w:rPr>
          <w:rFonts w:ascii="Times New Roman" w:hAnsi="Times New Roman" w:cs="Times New Roman"/>
          <w:sz w:val="24"/>
        </w:rPr>
        <w:t xml:space="preserve"> Оценка проекта методом реальных опционов дала положительный результат: </w:t>
      </w:r>
      <w:r w:rsidRPr="00377A28">
        <w:rPr>
          <w:rFonts w:ascii="Times New Roman" w:hAnsi="Times New Roman" w:cs="Times New Roman"/>
          <w:sz w:val="24"/>
        </w:rPr>
        <w:t>342 634 тыс. руб.</w:t>
      </w:r>
      <w:r>
        <w:rPr>
          <w:rFonts w:ascii="Times New Roman" w:hAnsi="Times New Roman" w:cs="Times New Roman"/>
          <w:sz w:val="24"/>
        </w:rPr>
        <w:t xml:space="preserve"> для</w:t>
      </w:r>
      <w:r w:rsidRPr="00377A28">
        <w:t xml:space="preserve"> </w:t>
      </w:r>
      <w:r w:rsidRPr="00377A28">
        <w:rPr>
          <w:rFonts w:ascii="Times New Roman" w:hAnsi="Times New Roman" w:cs="Times New Roman"/>
          <w:sz w:val="24"/>
        </w:rPr>
        <w:t>метод</w:t>
      </w:r>
      <w:r>
        <w:rPr>
          <w:rFonts w:ascii="Times New Roman" w:hAnsi="Times New Roman" w:cs="Times New Roman"/>
          <w:sz w:val="24"/>
        </w:rPr>
        <w:t>а</w:t>
      </w:r>
      <w:r w:rsidRPr="00377A28">
        <w:rPr>
          <w:rFonts w:ascii="Times New Roman" w:hAnsi="Times New Roman" w:cs="Times New Roman"/>
          <w:sz w:val="24"/>
        </w:rPr>
        <w:t xml:space="preserve"> Блека-Шоулза и 210 716 тыс. руб</w:t>
      </w:r>
      <w:r>
        <w:rPr>
          <w:rFonts w:ascii="Times New Roman" w:hAnsi="Times New Roman" w:cs="Times New Roman"/>
          <w:sz w:val="24"/>
        </w:rPr>
        <w:t>. для</w:t>
      </w:r>
      <w:r w:rsidRPr="00377A28">
        <w:rPr>
          <w:rFonts w:ascii="Times New Roman" w:hAnsi="Times New Roman" w:cs="Times New Roman"/>
          <w:sz w:val="24"/>
        </w:rPr>
        <w:t xml:space="preserve"> </w:t>
      </w:r>
      <w:r>
        <w:rPr>
          <w:rFonts w:ascii="Times New Roman" w:hAnsi="Times New Roman" w:cs="Times New Roman"/>
          <w:sz w:val="24"/>
        </w:rPr>
        <w:t xml:space="preserve">биноминального метода. Большая разница в полученных результатах является следствием использования малого числа периодов ввиду упрощения расчётов. Таким образом, на основе анализа инвестиционного проекта методом реальных опционов, ИП оказывается выгодным и пронесет компании чистый доход, хотя и несущественный относительно величины вкладываемого капитала. </w:t>
      </w:r>
    </w:p>
    <w:p w:rsidR="00CF5D0C" w:rsidRPr="00B76F83" w:rsidRDefault="00CF5D0C" w:rsidP="00CF5D0C">
      <w:pPr>
        <w:spacing w:line="360" w:lineRule="auto"/>
        <w:ind w:firstLine="993"/>
        <w:jc w:val="both"/>
        <w:rPr>
          <w:rFonts w:ascii="Times New Roman" w:hAnsi="Times New Roman" w:cs="Times New Roman"/>
          <w:sz w:val="24"/>
        </w:rPr>
      </w:pPr>
      <w:r>
        <w:rPr>
          <w:rFonts w:ascii="Times New Roman" w:hAnsi="Times New Roman" w:cs="Times New Roman"/>
          <w:sz w:val="24"/>
        </w:rPr>
        <w:t xml:space="preserve">В реальности, несмотря на то, что методики, используемые в ПАО «Ленэнерго» продемонстрировали нецелесообразность инвестиций, проект реконструкции ПС «Батово» был принят к реализации в ввиду весомых социальных и технических причин. В данной же работе было доказано, что с учетом управленческой гибкости проект все-таки экономически эффективен. Именно социальная значимость проекта явилась основополагающим фактором в данном решении, любая же другая коммерческая организация, ориентированная исключительно на получение прибыли и использующая только традиционные методы анализа, отказалась бы от него. Исходя из этого, прослеживается необходимость ликвидации ограничений на использование методов </w:t>
      </w:r>
      <w:r>
        <w:rPr>
          <w:rFonts w:ascii="Times New Roman" w:hAnsi="Times New Roman" w:cs="Times New Roman"/>
          <w:sz w:val="24"/>
        </w:rPr>
        <w:lastRenderedPageBreak/>
        <w:t>реальных опционов, более сложных, и, в то же время, более эффективных методов анализа. Такими будут являться устранение</w:t>
      </w:r>
      <w:r w:rsidRPr="00C2268B">
        <w:rPr>
          <w:rFonts w:ascii="Times New Roman" w:hAnsi="Times New Roman" w:cs="Times New Roman"/>
          <w:sz w:val="24"/>
        </w:rPr>
        <w:t xml:space="preserve"> </w:t>
      </w:r>
      <w:r>
        <w:rPr>
          <w:rFonts w:ascii="Times New Roman" w:hAnsi="Times New Roman" w:cs="Times New Roman"/>
          <w:sz w:val="24"/>
        </w:rPr>
        <w:t>теоретической неосведомленности</w:t>
      </w:r>
      <w:r w:rsidRPr="00B76F83">
        <w:rPr>
          <w:rFonts w:ascii="Times New Roman" w:hAnsi="Times New Roman" w:cs="Times New Roman"/>
          <w:sz w:val="24"/>
        </w:rPr>
        <w:t xml:space="preserve">, </w:t>
      </w:r>
      <w:r>
        <w:rPr>
          <w:rFonts w:ascii="Times New Roman" w:hAnsi="Times New Roman" w:cs="Times New Roman"/>
          <w:sz w:val="24"/>
        </w:rPr>
        <w:t>преодоление отсутствия</w:t>
      </w:r>
      <w:r w:rsidRPr="00B76F83">
        <w:rPr>
          <w:rFonts w:ascii="Times New Roman" w:hAnsi="Times New Roman" w:cs="Times New Roman"/>
          <w:sz w:val="24"/>
        </w:rPr>
        <w:t xml:space="preserve"> практических навыков р</w:t>
      </w:r>
      <w:r>
        <w:rPr>
          <w:rFonts w:ascii="Times New Roman" w:hAnsi="Times New Roman" w:cs="Times New Roman"/>
          <w:sz w:val="24"/>
        </w:rPr>
        <w:t xml:space="preserve">аботы с более сложными моделями, мотивация персонала на получение наиболее достоверных результатов, а не слепое следование принятым методикам. </w:t>
      </w:r>
      <w:r w:rsidRPr="00B76F83">
        <w:rPr>
          <w:rFonts w:ascii="Times New Roman" w:hAnsi="Times New Roman" w:cs="Times New Roman"/>
          <w:sz w:val="24"/>
        </w:rPr>
        <w:t xml:space="preserve">По мнению автора, первым шагом в усовершенствовании принципов оценки ИП на предприятиях является повышение экономической грамотности персонала в разрезе современных методов анализа прибыльности проектов, </w:t>
      </w:r>
      <w:r>
        <w:rPr>
          <w:rFonts w:ascii="Times New Roman" w:hAnsi="Times New Roman" w:cs="Times New Roman"/>
          <w:sz w:val="24"/>
        </w:rPr>
        <w:t>а после этого,</w:t>
      </w:r>
      <w:r w:rsidRPr="00B76F83">
        <w:rPr>
          <w:rFonts w:ascii="Times New Roman" w:hAnsi="Times New Roman" w:cs="Times New Roman"/>
          <w:sz w:val="24"/>
        </w:rPr>
        <w:t xml:space="preserve"> </w:t>
      </w:r>
      <w:r>
        <w:rPr>
          <w:rFonts w:ascii="Times New Roman" w:hAnsi="Times New Roman" w:cs="Times New Roman"/>
          <w:sz w:val="24"/>
        </w:rPr>
        <w:t>необходимым будет являться уде</w:t>
      </w:r>
      <w:r w:rsidRPr="00B76F83">
        <w:rPr>
          <w:rFonts w:ascii="Times New Roman" w:hAnsi="Times New Roman" w:cs="Times New Roman"/>
          <w:sz w:val="24"/>
        </w:rPr>
        <w:t>л</w:t>
      </w:r>
      <w:r>
        <w:rPr>
          <w:rFonts w:ascii="Times New Roman" w:hAnsi="Times New Roman" w:cs="Times New Roman"/>
          <w:sz w:val="24"/>
        </w:rPr>
        <w:t>ение</w:t>
      </w:r>
      <w:r w:rsidRPr="00B76F83">
        <w:rPr>
          <w:rFonts w:ascii="Times New Roman" w:hAnsi="Times New Roman" w:cs="Times New Roman"/>
          <w:sz w:val="24"/>
        </w:rPr>
        <w:t xml:space="preserve"> особо</w:t>
      </w:r>
      <w:r>
        <w:rPr>
          <w:rFonts w:ascii="Times New Roman" w:hAnsi="Times New Roman" w:cs="Times New Roman"/>
          <w:sz w:val="24"/>
        </w:rPr>
        <w:t>го</w:t>
      </w:r>
      <w:r w:rsidRPr="00B76F83">
        <w:rPr>
          <w:rFonts w:ascii="Times New Roman" w:hAnsi="Times New Roman" w:cs="Times New Roman"/>
          <w:sz w:val="24"/>
        </w:rPr>
        <w:t xml:space="preserve"> </w:t>
      </w:r>
      <w:r>
        <w:rPr>
          <w:rFonts w:ascii="Times New Roman" w:hAnsi="Times New Roman" w:cs="Times New Roman"/>
          <w:sz w:val="24"/>
        </w:rPr>
        <w:t>внимания</w:t>
      </w:r>
      <w:r w:rsidRPr="00B76F83">
        <w:rPr>
          <w:rFonts w:ascii="Times New Roman" w:hAnsi="Times New Roman" w:cs="Times New Roman"/>
          <w:sz w:val="24"/>
        </w:rPr>
        <w:t xml:space="preserve"> </w:t>
      </w:r>
      <w:r>
        <w:rPr>
          <w:rFonts w:ascii="Times New Roman" w:hAnsi="Times New Roman" w:cs="Times New Roman"/>
          <w:sz w:val="24"/>
        </w:rPr>
        <w:t xml:space="preserve">поиску </w:t>
      </w:r>
      <w:r w:rsidRPr="00B76F83">
        <w:rPr>
          <w:rFonts w:ascii="Times New Roman" w:hAnsi="Times New Roman" w:cs="Times New Roman"/>
          <w:sz w:val="24"/>
        </w:rPr>
        <w:t>новы</w:t>
      </w:r>
      <w:r>
        <w:rPr>
          <w:rFonts w:ascii="Times New Roman" w:hAnsi="Times New Roman" w:cs="Times New Roman"/>
          <w:sz w:val="24"/>
        </w:rPr>
        <w:t>х</w:t>
      </w:r>
      <w:r w:rsidRPr="00B76F83">
        <w:rPr>
          <w:rFonts w:ascii="Times New Roman" w:hAnsi="Times New Roman" w:cs="Times New Roman"/>
          <w:sz w:val="24"/>
        </w:rPr>
        <w:t>, более совершен</w:t>
      </w:r>
      <w:r>
        <w:rPr>
          <w:rFonts w:ascii="Times New Roman" w:hAnsi="Times New Roman" w:cs="Times New Roman"/>
          <w:sz w:val="24"/>
        </w:rPr>
        <w:t>ных способов</w:t>
      </w:r>
      <w:r w:rsidRPr="00B76F83">
        <w:rPr>
          <w:rFonts w:ascii="Times New Roman" w:hAnsi="Times New Roman" w:cs="Times New Roman"/>
          <w:sz w:val="24"/>
        </w:rPr>
        <w:t xml:space="preserve"> оценки эффективности</w:t>
      </w:r>
      <w:r>
        <w:rPr>
          <w:rFonts w:ascii="Times New Roman" w:hAnsi="Times New Roman" w:cs="Times New Roman"/>
          <w:sz w:val="24"/>
        </w:rPr>
        <w:t xml:space="preserve"> инвестиционных проектов</w:t>
      </w:r>
      <w:r w:rsidRPr="00B76F83">
        <w:rPr>
          <w:rFonts w:ascii="Times New Roman" w:hAnsi="Times New Roman" w:cs="Times New Roman"/>
          <w:sz w:val="24"/>
        </w:rPr>
        <w:t xml:space="preserve">. </w:t>
      </w:r>
    </w:p>
    <w:p w:rsidR="00E82D69" w:rsidRPr="00B76F83" w:rsidRDefault="00E82D69" w:rsidP="00B76F83">
      <w:pPr>
        <w:spacing w:line="360" w:lineRule="auto"/>
        <w:ind w:firstLine="993"/>
        <w:jc w:val="both"/>
        <w:rPr>
          <w:rFonts w:ascii="Times New Roman" w:hAnsi="Times New Roman" w:cs="Times New Roman"/>
          <w:sz w:val="24"/>
        </w:rPr>
      </w:pPr>
    </w:p>
    <w:p w:rsidR="00E82D69" w:rsidRDefault="00E82D69">
      <w:pPr>
        <w:rPr>
          <w:rFonts w:asciiTheme="majorHAnsi" w:eastAsiaTheme="majorEastAsia" w:hAnsiTheme="majorHAnsi" w:cstheme="majorBidi"/>
          <w:b/>
          <w:bCs/>
          <w:color w:val="365F91" w:themeColor="accent1" w:themeShade="BF"/>
          <w:sz w:val="28"/>
          <w:szCs w:val="28"/>
        </w:rPr>
      </w:pPr>
      <w:r>
        <w:br w:type="page"/>
      </w:r>
    </w:p>
    <w:p w:rsidR="00AB30F4" w:rsidRPr="00C245D2" w:rsidRDefault="001C1566" w:rsidP="00C245D2">
      <w:pPr>
        <w:pStyle w:val="1"/>
      </w:pPr>
      <w:bookmarkStart w:id="62" w:name="_Toc450920858"/>
      <w:r w:rsidRPr="00C245D2">
        <w:lastRenderedPageBreak/>
        <w:t>Список литературы</w:t>
      </w:r>
      <w:bookmarkEnd w:id="62"/>
    </w:p>
    <w:p w:rsidR="001C1566" w:rsidRPr="00C245D2" w:rsidRDefault="001C1566" w:rsidP="00C245D2">
      <w:pPr>
        <w:spacing w:after="0" w:line="360" w:lineRule="auto"/>
        <w:ind w:firstLine="851"/>
        <w:jc w:val="both"/>
        <w:rPr>
          <w:rFonts w:ascii="Times New Roman" w:hAnsi="Times New Roman" w:cs="Times New Roman"/>
          <w:szCs w:val="24"/>
        </w:rPr>
      </w:pPr>
    </w:p>
    <w:p w:rsidR="0002362E" w:rsidRDefault="0002362E" w:rsidP="00FE3398">
      <w:pPr>
        <w:pStyle w:val="a3"/>
        <w:numPr>
          <w:ilvl w:val="0"/>
          <w:numId w:val="23"/>
        </w:numPr>
        <w:spacing w:line="240" w:lineRule="auto"/>
        <w:ind w:left="709" w:hanging="709"/>
        <w:jc w:val="both"/>
        <w:rPr>
          <w:rFonts w:ascii="Times New Roman" w:hAnsi="Times New Roman" w:cs="Times New Roman"/>
          <w:szCs w:val="24"/>
        </w:rPr>
      </w:pPr>
      <w:r w:rsidRPr="0002362E">
        <w:rPr>
          <w:rFonts w:ascii="Times New Roman" w:hAnsi="Times New Roman" w:cs="Times New Roman"/>
          <w:szCs w:val="24"/>
        </w:rPr>
        <w:t>ФЗ «Об инвестиционной деятельности в Российской Федерации, осуществляемой в форме капитальных вложений» (в ред. Федеральных законов от 24.07.2007 N 215-ФЗ, от 19.07.2011 N 248-ФЗ)</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 xml:space="preserve">Болдин В.П., Сьянов С.А. Финансирование и оценка инвестиционных проектов - 2009 г. </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Волков И., Грачева М. Вероятностные методы анализа рисков – Проектный анализ, Москва - 1999.</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Доладов К. Ю.: Экономическая оценка инвестиционного риска при принятии управленческих решений: На примере промышленных предприятий Самарской области. – Самара, 2002. – 187 с.</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Камнев И. М., Жулина А. Ю. Методы обоснования ставки дисконтирования. Журнал Проблемы учёта и финансов №2(6) – 2012 г. Стр. 30-35.</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Кондрашова А. Р. Достоинства и недостатки методов экономической оценки инвестиций. — 2014. — №7. — С. 351-354.</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 xml:space="preserve">Коссов В.В., Лившиц В.Н., Шахназаров А.Г. Методические рекомендации по оценке инвестиционных проектов – М.: Экономика, 2000 </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Крюков С.В. Учет реальных опционов при оценке эффективности инвестиционных проектов,  Вестник Ростовского государственного экономического университета «РИНХ» № 2 – 2006.</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Лаврухина Н.В. Сравнительный анализ методов оценки экономической эффективности инвестиций. Журнал Теория и практика общественного развития, № 16 - 2014. Стр. 82-86.</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Лаврухина Н.В., Перерва О.Л. Стоимостная концепция и оценочные технологии управления инновационными пред-приятиями: учеб. пособие - М., 2013. 243 с.</w:t>
      </w:r>
    </w:p>
    <w:p w:rsidR="00DC3A0C" w:rsidRPr="00B4103D"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Рыбина И.А. Оценка инвестиционных проектов: учебно-методическое пособие. Воронеж</w:t>
      </w:r>
      <w:r w:rsidRPr="00B4103D">
        <w:rPr>
          <w:rFonts w:ascii="Times New Roman" w:hAnsi="Times New Roman" w:cs="Times New Roman"/>
          <w:szCs w:val="24"/>
        </w:rPr>
        <w:t xml:space="preserve"> – 2015. </w:t>
      </w:r>
      <w:r w:rsidRPr="00C245D2">
        <w:rPr>
          <w:rFonts w:ascii="Times New Roman" w:hAnsi="Times New Roman" w:cs="Times New Roman"/>
          <w:szCs w:val="24"/>
        </w:rPr>
        <w:t>Стр</w:t>
      </w:r>
      <w:r w:rsidRPr="00B4103D">
        <w:rPr>
          <w:rFonts w:ascii="Times New Roman" w:hAnsi="Times New Roman" w:cs="Times New Roman"/>
          <w:szCs w:val="24"/>
        </w:rPr>
        <w:t>. 35-38.</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Сысоев А.Ю. Использование моделей «реальных опционов» при оценке эффективности инвестиционных проектов. Вестник ФА № 4, 2003.</w:t>
      </w:r>
    </w:p>
    <w:p w:rsidR="00DC3A0C" w:rsidRPr="00C245D2" w:rsidRDefault="00DC3A0C" w:rsidP="00FE3398">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rPr>
        <w:t>Трофимова Л.А., Трофимов В.В.. Управленческие решения (методы принятия и реализации): учебное пособие. - СПб. : Изд-во СПбГУЭФ,2011. –  Стр. 190.</w:t>
      </w:r>
    </w:p>
    <w:p w:rsidR="002019B2" w:rsidRPr="002019B2" w:rsidRDefault="002019B2" w:rsidP="00FE3398">
      <w:pPr>
        <w:pStyle w:val="a3"/>
        <w:numPr>
          <w:ilvl w:val="0"/>
          <w:numId w:val="23"/>
        </w:numPr>
        <w:spacing w:line="240" w:lineRule="auto"/>
        <w:ind w:hanging="720"/>
        <w:jc w:val="both"/>
        <w:rPr>
          <w:rFonts w:ascii="Times New Roman" w:hAnsi="Times New Roman" w:cs="Times New Roman"/>
          <w:szCs w:val="24"/>
        </w:rPr>
      </w:pPr>
      <w:r>
        <w:rPr>
          <w:rFonts w:ascii="Times New Roman" w:hAnsi="Times New Roman" w:cs="Times New Roman"/>
        </w:rPr>
        <w:t>Ширенбек Х. Экономиа предприятия – учебник для ВУЗов, 15-е издание, Питер, 2005</w:t>
      </w:r>
    </w:p>
    <w:p w:rsidR="00EE2A90" w:rsidRPr="00EE2A90" w:rsidRDefault="00EE2A90" w:rsidP="002A30A9">
      <w:pPr>
        <w:pStyle w:val="a3"/>
        <w:numPr>
          <w:ilvl w:val="0"/>
          <w:numId w:val="23"/>
        </w:numPr>
        <w:spacing w:line="240" w:lineRule="auto"/>
        <w:ind w:hanging="720"/>
        <w:jc w:val="both"/>
        <w:rPr>
          <w:rFonts w:ascii="Times New Roman" w:hAnsi="Times New Roman" w:cs="Times New Roman"/>
          <w:szCs w:val="24"/>
          <w:lang w:val="en-US"/>
        </w:rPr>
      </w:pPr>
      <w:r w:rsidRPr="00EE2A90">
        <w:rPr>
          <w:rFonts w:ascii="Times New Roman" w:hAnsi="Times New Roman" w:cs="Times New Roman"/>
          <w:szCs w:val="24"/>
          <w:lang w:val="en-US"/>
        </w:rPr>
        <w:t>Albizzati, M-O., and H. Geman. “Interest rate risk management and valuation of the surrender option in life insurance policies.” Journal of Risk and Insurance, 61, No. 4</w:t>
      </w:r>
      <w:r>
        <w:rPr>
          <w:rFonts w:ascii="Times New Roman" w:hAnsi="Times New Roman" w:cs="Times New Roman"/>
          <w:szCs w:val="24"/>
        </w:rPr>
        <w:t xml:space="preserve"> </w:t>
      </w:r>
      <w:r w:rsidRPr="00EE2A90">
        <w:rPr>
          <w:rFonts w:ascii="Times New Roman" w:hAnsi="Times New Roman" w:cs="Times New Roman"/>
          <w:szCs w:val="24"/>
          <w:lang w:val="en-US"/>
        </w:rPr>
        <w:t>(1994), 616-637.</w:t>
      </w:r>
    </w:p>
    <w:p w:rsidR="00DC3A0C" w:rsidRPr="00C245D2" w:rsidRDefault="00DC3A0C" w:rsidP="002A30A9">
      <w:pPr>
        <w:pStyle w:val="a3"/>
        <w:numPr>
          <w:ilvl w:val="0"/>
          <w:numId w:val="23"/>
        </w:numPr>
        <w:spacing w:line="240" w:lineRule="auto"/>
        <w:ind w:hanging="720"/>
        <w:jc w:val="both"/>
        <w:rPr>
          <w:rFonts w:ascii="Times New Roman" w:hAnsi="Times New Roman" w:cs="Times New Roman"/>
          <w:szCs w:val="24"/>
          <w:lang w:val="en-US"/>
        </w:rPr>
      </w:pPr>
      <w:r w:rsidRPr="00C245D2">
        <w:rPr>
          <w:rFonts w:ascii="Times New Roman" w:hAnsi="Times New Roman" w:cs="Times New Roman"/>
          <w:szCs w:val="24"/>
          <w:lang w:val="en-US"/>
        </w:rPr>
        <w:t>Bailey Michael D. and Sporleder Thomas L.: The Real Options Approach to Evaluating a Risky Investment by a New Generation Cooperative: Further Processing</w:t>
      </w:r>
    </w:p>
    <w:p w:rsidR="002A30A9" w:rsidRPr="002A30A9" w:rsidRDefault="002A30A9" w:rsidP="002A30A9">
      <w:pPr>
        <w:pStyle w:val="a3"/>
        <w:numPr>
          <w:ilvl w:val="0"/>
          <w:numId w:val="23"/>
        </w:numPr>
        <w:spacing w:line="240" w:lineRule="auto"/>
        <w:ind w:hanging="720"/>
        <w:jc w:val="both"/>
        <w:rPr>
          <w:rFonts w:ascii="Times New Roman" w:hAnsi="Times New Roman" w:cs="Times New Roman"/>
          <w:szCs w:val="24"/>
          <w:lang w:val="en-US"/>
        </w:rPr>
      </w:pPr>
      <w:r w:rsidRPr="002A30A9">
        <w:rPr>
          <w:rFonts w:ascii="Times New Roman" w:hAnsi="Times New Roman" w:cs="Times New Roman"/>
          <w:szCs w:val="24"/>
          <w:lang w:val="en-US"/>
        </w:rPr>
        <w:t>Chen, R-R., and S-K. Yeh. “Analytical upper bounds for American option prices.” Journal</w:t>
      </w:r>
      <w:r>
        <w:rPr>
          <w:rFonts w:ascii="Times New Roman" w:hAnsi="Times New Roman" w:cs="Times New Roman"/>
          <w:szCs w:val="24"/>
        </w:rPr>
        <w:t xml:space="preserve"> </w:t>
      </w:r>
      <w:r w:rsidRPr="002A30A9">
        <w:rPr>
          <w:rFonts w:ascii="Times New Roman" w:hAnsi="Times New Roman" w:cs="Times New Roman"/>
          <w:szCs w:val="24"/>
          <w:lang w:val="en-US"/>
        </w:rPr>
        <w:t>of Financial and Quantitative Analysis, 37, No. 1 (2002), 117-136.</w:t>
      </w:r>
    </w:p>
    <w:p w:rsidR="002A30A9" w:rsidRPr="002A30A9" w:rsidRDefault="002A30A9" w:rsidP="002A30A9">
      <w:pPr>
        <w:pStyle w:val="a3"/>
        <w:numPr>
          <w:ilvl w:val="0"/>
          <w:numId w:val="23"/>
        </w:numPr>
        <w:spacing w:line="240" w:lineRule="auto"/>
        <w:ind w:hanging="720"/>
        <w:jc w:val="both"/>
        <w:rPr>
          <w:rFonts w:ascii="Times New Roman" w:hAnsi="Times New Roman" w:cs="Times New Roman"/>
          <w:szCs w:val="24"/>
          <w:lang w:val="en-US"/>
        </w:rPr>
      </w:pPr>
      <w:r w:rsidRPr="002A30A9">
        <w:rPr>
          <w:rFonts w:ascii="Times New Roman" w:hAnsi="Times New Roman" w:cs="Times New Roman"/>
          <w:szCs w:val="24"/>
          <w:lang w:val="en-US"/>
        </w:rPr>
        <w:t>Cox, J. C., and S. A. Ross. “The valuation of options for alternative stochastic processes.”J. Financial Econom, 3(1976), 145-166.</w:t>
      </w:r>
    </w:p>
    <w:p w:rsidR="00EE2A90" w:rsidRPr="00EE2A90" w:rsidRDefault="00EE2A90" w:rsidP="002A30A9">
      <w:pPr>
        <w:pStyle w:val="a3"/>
        <w:numPr>
          <w:ilvl w:val="0"/>
          <w:numId w:val="23"/>
        </w:numPr>
        <w:spacing w:line="240" w:lineRule="auto"/>
        <w:ind w:hanging="720"/>
        <w:jc w:val="both"/>
        <w:rPr>
          <w:rFonts w:ascii="Times New Roman" w:hAnsi="Times New Roman" w:cs="Times New Roman"/>
          <w:szCs w:val="24"/>
          <w:lang w:val="en-US"/>
        </w:rPr>
      </w:pPr>
      <w:r w:rsidRPr="00EE2A90">
        <w:rPr>
          <w:rFonts w:ascii="Times New Roman" w:hAnsi="Times New Roman" w:cs="Times New Roman"/>
          <w:szCs w:val="24"/>
          <w:lang w:val="en-US"/>
        </w:rPr>
        <w:t>Dias, M. A. G. “Valuation of Exploration and Production Assets: an Overview of Real Options Models.” Journal of Petroleum Science and Engineering, 44 (2004), 93-114.</w:t>
      </w:r>
    </w:p>
    <w:p w:rsidR="00DC3A0C" w:rsidRPr="00C245D2" w:rsidRDefault="00DC3A0C" w:rsidP="002A30A9">
      <w:pPr>
        <w:pStyle w:val="a3"/>
        <w:numPr>
          <w:ilvl w:val="0"/>
          <w:numId w:val="23"/>
        </w:numPr>
        <w:spacing w:line="240" w:lineRule="auto"/>
        <w:ind w:hanging="720"/>
        <w:jc w:val="both"/>
        <w:rPr>
          <w:rFonts w:ascii="Times New Roman" w:hAnsi="Times New Roman" w:cs="Times New Roman"/>
          <w:szCs w:val="24"/>
          <w:lang w:val="en-US"/>
        </w:rPr>
      </w:pPr>
      <w:r w:rsidRPr="00C245D2">
        <w:rPr>
          <w:rFonts w:ascii="Times New Roman" w:hAnsi="Times New Roman" w:cs="Times New Roman"/>
          <w:szCs w:val="24"/>
          <w:lang w:val="en-US"/>
        </w:rPr>
        <w:t xml:space="preserve">Dinica Mihai-Cristian: The Real Options Attached to an Investment Project – Economia, Seria Management Volume 14, Issue 2, 2011 </w:t>
      </w:r>
      <w:r w:rsidRPr="00C245D2">
        <w:rPr>
          <w:rFonts w:ascii="Times New Roman" w:hAnsi="Times New Roman" w:cs="Times New Roman"/>
          <w:szCs w:val="24"/>
        </w:rPr>
        <w:t>Р</w:t>
      </w:r>
      <w:r w:rsidRPr="00C245D2">
        <w:rPr>
          <w:rFonts w:ascii="Times New Roman" w:hAnsi="Times New Roman" w:cs="Times New Roman"/>
          <w:szCs w:val="24"/>
          <w:lang w:val="en-US"/>
        </w:rPr>
        <w:t>. 511-518.</w:t>
      </w:r>
    </w:p>
    <w:p w:rsidR="002A30A9" w:rsidRPr="002A30A9" w:rsidRDefault="002A30A9" w:rsidP="002A30A9">
      <w:pPr>
        <w:pStyle w:val="a3"/>
        <w:numPr>
          <w:ilvl w:val="0"/>
          <w:numId w:val="23"/>
        </w:numPr>
        <w:spacing w:line="240" w:lineRule="auto"/>
        <w:ind w:hanging="720"/>
        <w:jc w:val="both"/>
        <w:rPr>
          <w:rFonts w:ascii="Times New Roman" w:hAnsi="Times New Roman" w:cs="Times New Roman"/>
          <w:szCs w:val="24"/>
          <w:lang w:val="en-US"/>
        </w:rPr>
      </w:pPr>
      <w:r w:rsidRPr="002A30A9">
        <w:rPr>
          <w:rFonts w:ascii="Times New Roman" w:hAnsi="Times New Roman" w:cs="Times New Roman"/>
          <w:szCs w:val="24"/>
          <w:lang w:val="en-US"/>
        </w:rPr>
        <w:t>Dixit, A. and R. Pindyck. “Investment under Uncertainty.” Princeton University Press,</w:t>
      </w:r>
      <w:r w:rsidRPr="00FB5E9B">
        <w:rPr>
          <w:rFonts w:ascii="Times New Roman" w:hAnsi="Times New Roman" w:cs="Times New Roman"/>
          <w:szCs w:val="24"/>
          <w:lang w:val="en-US"/>
        </w:rPr>
        <w:t xml:space="preserve"> </w:t>
      </w:r>
      <w:r w:rsidRPr="002A30A9">
        <w:rPr>
          <w:rFonts w:ascii="Times New Roman" w:hAnsi="Times New Roman" w:cs="Times New Roman"/>
          <w:szCs w:val="24"/>
          <w:lang w:val="en-US"/>
        </w:rPr>
        <w:t>(1994).</w:t>
      </w:r>
    </w:p>
    <w:p w:rsidR="00DC3A0C" w:rsidRPr="00C245D2" w:rsidRDefault="00DC3A0C" w:rsidP="002A30A9">
      <w:pPr>
        <w:pStyle w:val="a3"/>
        <w:numPr>
          <w:ilvl w:val="0"/>
          <w:numId w:val="23"/>
        </w:numPr>
        <w:spacing w:line="240" w:lineRule="auto"/>
        <w:ind w:hanging="720"/>
        <w:jc w:val="both"/>
        <w:rPr>
          <w:rFonts w:ascii="Times New Roman" w:hAnsi="Times New Roman" w:cs="Times New Roman"/>
          <w:szCs w:val="24"/>
          <w:lang w:val="en-US"/>
        </w:rPr>
      </w:pPr>
      <w:r w:rsidRPr="00C245D2">
        <w:rPr>
          <w:rFonts w:ascii="Times New Roman" w:hAnsi="Times New Roman" w:cs="Times New Roman"/>
          <w:szCs w:val="24"/>
          <w:lang w:val="en-US"/>
        </w:rPr>
        <w:t>Ellen Bjarnadóttir: Real Options in Corporate Finance - Reykjavík University, 2013. P. 15</w:t>
      </w:r>
    </w:p>
    <w:p w:rsidR="00DC3A0C" w:rsidRPr="00C245D2" w:rsidRDefault="00DC3A0C" w:rsidP="002A30A9">
      <w:pPr>
        <w:pStyle w:val="a3"/>
        <w:numPr>
          <w:ilvl w:val="0"/>
          <w:numId w:val="23"/>
        </w:numPr>
        <w:spacing w:line="240" w:lineRule="auto"/>
        <w:ind w:hanging="720"/>
        <w:jc w:val="both"/>
        <w:rPr>
          <w:rFonts w:ascii="Times New Roman" w:hAnsi="Times New Roman" w:cs="Times New Roman"/>
          <w:szCs w:val="24"/>
        </w:rPr>
      </w:pPr>
      <w:r w:rsidRPr="00C245D2">
        <w:rPr>
          <w:rFonts w:ascii="Times New Roman" w:hAnsi="Times New Roman" w:cs="Times New Roman"/>
          <w:szCs w:val="24"/>
          <w:lang w:val="en-US"/>
        </w:rPr>
        <w:t xml:space="preserve">Frank H. Knight: The Meaning of Risk and Uncertainty. In: F.Knight. Risk, Uncertainty, and Profit. </w:t>
      </w:r>
      <w:r w:rsidRPr="00C245D2">
        <w:rPr>
          <w:rFonts w:ascii="Times New Roman" w:hAnsi="Times New Roman" w:cs="Times New Roman"/>
          <w:szCs w:val="24"/>
        </w:rPr>
        <w:t>Boston: Houghton Mifflin Co, 1921, p.210–235.</w:t>
      </w:r>
    </w:p>
    <w:p w:rsidR="002A30A9" w:rsidRPr="002A30A9" w:rsidRDefault="002A30A9" w:rsidP="002A30A9">
      <w:pPr>
        <w:pStyle w:val="a3"/>
        <w:numPr>
          <w:ilvl w:val="0"/>
          <w:numId w:val="23"/>
        </w:numPr>
        <w:spacing w:line="240" w:lineRule="auto"/>
        <w:ind w:hanging="720"/>
        <w:jc w:val="both"/>
        <w:rPr>
          <w:rFonts w:ascii="Times New Roman" w:hAnsi="Times New Roman" w:cs="Times New Roman"/>
          <w:szCs w:val="24"/>
          <w:lang w:val="en-US"/>
        </w:rPr>
      </w:pPr>
      <w:r w:rsidRPr="002A30A9">
        <w:rPr>
          <w:rFonts w:ascii="Times New Roman" w:hAnsi="Times New Roman" w:cs="Times New Roman"/>
          <w:szCs w:val="24"/>
          <w:lang w:val="en-US"/>
        </w:rPr>
        <w:t>Grinblatt, M., and S. Titman. “Adverse risk incentives and the design of performance based contracts.” Management Science, 35, No. 7 (July 1989), 807-822.</w:t>
      </w:r>
    </w:p>
    <w:p w:rsidR="00DC3A0C" w:rsidRPr="002A30A9" w:rsidRDefault="00DC3A0C" w:rsidP="002A30A9">
      <w:pPr>
        <w:pStyle w:val="a3"/>
        <w:numPr>
          <w:ilvl w:val="0"/>
          <w:numId w:val="23"/>
        </w:numPr>
        <w:spacing w:line="240" w:lineRule="auto"/>
        <w:ind w:hanging="720"/>
        <w:jc w:val="both"/>
        <w:rPr>
          <w:rFonts w:ascii="Times New Roman" w:hAnsi="Times New Roman" w:cs="Times New Roman"/>
          <w:szCs w:val="24"/>
          <w:lang w:val="en-US"/>
        </w:rPr>
      </w:pPr>
      <w:r w:rsidRPr="00C245D2">
        <w:rPr>
          <w:rFonts w:ascii="Times New Roman" w:hAnsi="Times New Roman" w:cs="Times New Roman"/>
          <w:szCs w:val="24"/>
          <w:lang w:val="en-US"/>
        </w:rPr>
        <w:t xml:space="preserve">Halil Sariaslan: Risk analysis in Project Evaluation - Presentation paper. </w:t>
      </w:r>
      <w:r w:rsidRPr="00C245D2">
        <w:rPr>
          <w:rFonts w:ascii="Times New Roman" w:hAnsi="Times New Roman" w:cs="Times New Roman"/>
          <w:szCs w:val="24"/>
        </w:rPr>
        <w:t>Р</w:t>
      </w:r>
      <w:r w:rsidRPr="002A30A9">
        <w:rPr>
          <w:rFonts w:ascii="Times New Roman" w:hAnsi="Times New Roman" w:cs="Times New Roman"/>
          <w:szCs w:val="24"/>
          <w:lang w:val="en-US"/>
        </w:rPr>
        <w:t>. 99-118.</w:t>
      </w:r>
    </w:p>
    <w:p w:rsidR="002A30A9" w:rsidRPr="002A30A9" w:rsidRDefault="002A30A9" w:rsidP="002A30A9">
      <w:pPr>
        <w:pStyle w:val="a3"/>
        <w:numPr>
          <w:ilvl w:val="0"/>
          <w:numId w:val="23"/>
        </w:numPr>
        <w:spacing w:after="0" w:line="240" w:lineRule="auto"/>
        <w:ind w:hanging="720"/>
        <w:jc w:val="both"/>
        <w:rPr>
          <w:rFonts w:ascii="Times New Roman" w:hAnsi="Times New Roman" w:cs="Times New Roman"/>
          <w:szCs w:val="24"/>
          <w:lang w:val="en-US"/>
        </w:rPr>
      </w:pPr>
      <w:r w:rsidRPr="002A30A9">
        <w:rPr>
          <w:rFonts w:ascii="Times New Roman" w:hAnsi="Times New Roman" w:cs="Times New Roman"/>
          <w:szCs w:val="24"/>
          <w:lang w:val="en-US"/>
        </w:rPr>
        <w:t>Jarrow, R., and A. Rudd. “Approximate option valuation for arbitrary stochastic processes.” Journal of Financial Economics, 10 (1982), 347-369.</w:t>
      </w:r>
    </w:p>
    <w:p w:rsidR="00DC3A0C" w:rsidRPr="002A30A9" w:rsidRDefault="00DC3A0C" w:rsidP="002A30A9">
      <w:pPr>
        <w:pStyle w:val="a3"/>
        <w:numPr>
          <w:ilvl w:val="0"/>
          <w:numId w:val="23"/>
        </w:numPr>
        <w:spacing w:after="0" w:line="240" w:lineRule="auto"/>
        <w:ind w:left="714" w:hanging="720"/>
        <w:jc w:val="both"/>
        <w:rPr>
          <w:rFonts w:ascii="Times New Roman" w:hAnsi="Times New Roman" w:cs="Times New Roman"/>
          <w:szCs w:val="24"/>
          <w:lang w:val="en-US"/>
        </w:rPr>
      </w:pPr>
      <w:r w:rsidRPr="00C245D2">
        <w:rPr>
          <w:rFonts w:ascii="Times New Roman" w:hAnsi="Times New Roman" w:cs="Times New Roman"/>
          <w:szCs w:val="24"/>
          <w:lang w:val="en-US"/>
        </w:rPr>
        <w:t xml:space="preserve">Kahraman, Ruan, Tolga: Capital budgeting techniques using discounted fuzzy versus probabilistic cash flows. </w:t>
      </w:r>
      <w:r w:rsidRPr="002A30A9">
        <w:rPr>
          <w:rFonts w:ascii="Times New Roman" w:hAnsi="Times New Roman" w:cs="Times New Roman"/>
          <w:szCs w:val="24"/>
          <w:lang w:val="en-US"/>
        </w:rPr>
        <w:t xml:space="preserve">Information Sciences 142 (1), </w:t>
      </w:r>
      <w:r w:rsidRPr="00C245D2">
        <w:rPr>
          <w:rFonts w:ascii="Times New Roman" w:hAnsi="Times New Roman" w:cs="Times New Roman"/>
          <w:szCs w:val="24"/>
        </w:rPr>
        <w:t>Р</w:t>
      </w:r>
      <w:r w:rsidRPr="002A30A9">
        <w:rPr>
          <w:rFonts w:ascii="Times New Roman" w:hAnsi="Times New Roman" w:cs="Times New Roman"/>
          <w:szCs w:val="24"/>
          <w:lang w:val="en-US"/>
        </w:rPr>
        <w:t>. 57-76.</w:t>
      </w:r>
    </w:p>
    <w:p w:rsidR="002A30A9" w:rsidRPr="002A30A9" w:rsidRDefault="002A30A9" w:rsidP="002A30A9">
      <w:pPr>
        <w:pStyle w:val="a6"/>
        <w:numPr>
          <w:ilvl w:val="0"/>
          <w:numId w:val="23"/>
        </w:numPr>
        <w:ind w:hanging="720"/>
        <w:jc w:val="both"/>
        <w:rPr>
          <w:rFonts w:ascii="Times New Roman" w:hAnsi="Times New Roman" w:cs="Times New Roman"/>
          <w:sz w:val="22"/>
          <w:szCs w:val="24"/>
          <w:lang w:val="en-US"/>
        </w:rPr>
      </w:pPr>
      <w:r w:rsidRPr="002A30A9">
        <w:rPr>
          <w:rFonts w:ascii="Times New Roman" w:hAnsi="Times New Roman" w:cs="Times New Roman"/>
          <w:sz w:val="22"/>
          <w:szCs w:val="24"/>
          <w:lang w:val="en-US"/>
        </w:rPr>
        <w:lastRenderedPageBreak/>
        <w:t>Kirk, E. “Correlations in the energy markets, in managing energy price risk.” Risk Publications and Enron, 1995.</w:t>
      </w:r>
    </w:p>
    <w:p w:rsidR="00DC3A0C" w:rsidRDefault="00DC3A0C" w:rsidP="002A30A9">
      <w:pPr>
        <w:pStyle w:val="a6"/>
        <w:numPr>
          <w:ilvl w:val="0"/>
          <w:numId w:val="23"/>
        </w:numPr>
        <w:ind w:hanging="720"/>
        <w:jc w:val="both"/>
        <w:rPr>
          <w:rFonts w:ascii="Times New Roman" w:hAnsi="Times New Roman" w:cs="Times New Roman"/>
          <w:sz w:val="22"/>
          <w:szCs w:val="24"/>
          <w:lang w:val="en-US"/>
        </w:rPr>
      </w:pPr>
      <w:r w:rsidRPr="00C245D2">
        <w:rPr>
          <w:rFonts w:ascii="Times New Roman" w:hAnsi="Times New Roman" w:cs="Times New Roman"/>
          <w:sz w:val="22"/>
          <w:szCs w:val="24"/>
          <w:lang w:val="en-US"/>
        </w:rPr>
        <w:t>Michel Benaroch, Robert J. Kauffman: A Case For Using Real Options Pricing Analysis To Evaluate Information Technology Project Investments . Information Systems Research, Vol. 10, No. 1, pp. 70-86, 1999.</w:t>
      </w:r>
    </w:p>
    <w:p w:rsidR="002A30A9" w:rsidRPr="002A30A9" w:rsidRDefault="002A30A9" w:rsidP="002A30A9">
      <w:pPr>
        <w:pStyle w:val="a6"/>
        <w:numPr>
          <w:ilvl w:val="0"/>
          <w:numId w:val="23"/>
        </w:numPr>
        <w:ind w:hanging="720"/>
        <w:jc w:val="both"/>
        <w:rPr>
          <w:rFonts w:ascii="Times New Roman" w:hAnsi="Times New Roman" w:cs="Times New Roman"/>
          <w:sz w:val="22"/>
          <w:szCs w:val="24"/>
          <w:lang w:val="en-US"/>
        </w:rPr>
      </w:pPr>
      <w:r w:rsidRPr="002A30A9">
        <w:rPr>
          <w:rFonts w:ascii="Times New Roman" w:hAnsi="Times New Roman" w:cs="Times New Roman"/>
          <w:sz w:val="22"/>
          <w:szCs w:val="24"/>
          <w:lang w:val="en-US"/>
        </w:rPr>
        <w:t>Perrakis, S., and P.J. Ryan. “Option pricing bounds in discrete time.” Journal of Finance,</w:t>
      </w:r>
      <w:r w:rsidRPr="002A30A9">
        <w:rPr>
          <w:rFonts w:ascii="Times New Roman" w:hAnsi="Times New Roman" w:cs="Times New Roman"/>
          <w:sz w:val="22"/>
          <w:szCs w:val="24"/>
        </w:rPr>
        <w:t xml:space="preserve"> </w:t>
      </w:r>
      <w:r w:rsidRPr="002A30A9">
        <w:rPr>
          <w:rFonts w:ascii="Times New Roman" w:hAnsi="Times New Roman" w:cs="Times New Roman"/>
          <w:sz w:val="22"/>
          <w:szCs w:val="24"/>
          <w:lang w:val="en-US"/>
        </w:rPr>
        <w:t>39 (1984), 519-525.</w:t>
      </w:r>
    </w:p>
    <w:p w:rsidR="002A30A9" w:rsidRPr="002A30A9" w:rsidRDefault="002A30A9" w:rsidP="002A30A9">
      <w:pPr>
        <w:pStyle w:val="a3"/>
        <w:numPr>
          <w:ilvl w:val="0"/>
          <w:numId w:val="23"/>
        </w:numPr>
        <w:spacing w:line="240" w:lineRule="auto"/>
        <w:ind w:hanging="720"/>
        <w:jc w:val="both"/>
        <w:rPr>
          <w:rFonts w:ascii="Times New Roman" w:hAnsi="Times New Roman" w:cs="Times New Roman"/>
          <w:szCs w:val="24"/>
          <w:lang w:val="en-US"/>
        </w:rPr>
      </w:pPr>
      <w:r w:rsidRPr="002A30A9">
        <w:rPr>
          <w:rFonts w:ascii="Times New Roman" w:hAnsi="Times New Roman" w:cs="Times New Roman"/>
          <w:szCs w:val="24"/>
          <w:lang w:val="en-US"/>
        </w:rPr>
        <w:t>Tseng, C. and G. Barz. “Short-term generation asset valuation.” Proceedings of the 32</w:t>
      </w:r>
      <w:r w:rsidRPr="002A30A9">
        <w:rPr>
          <w:rFonts w:ascii="Times New Roman" w:hAnsi="Times New Roman" w:cs="Times New Roman"/>
          <w:szCs w:val="24"/>
          <w:vertAlign w:val="superscript"/>
          <w:lang w:val="en-US"/>
        </w:rPr>
        <w:t>nd</w:t>
      </w:r>
      <w:r w:rsidRPr="002A30A9">
        <w:rPr>
          <w:rFonts w:ascii="Times New Roman" w:hAnsi="Times New Roman" w:cs="Times New Roman"/>
          <w:szCs w:val="24"/>
          <w:lang w:val="en-US"/>
        </w:rPr>
        <w:t xml:space="preserve"> Hawaii International Conference on System Sciences, (1999).</w:t>
      </w:r>
    </w:p>
    <w:p w:rsidR="00DC3A0C" w:rsidRPr="00C245D2" w:rsidRDefault="00DC3A0C" w:rsidP="002A30A9">
      <w:pPr>
        <w:pStyle w:val="a3"/>
        <w:numPr>
          <w:ilvl w:val="0"/>
          <w:numId w:val="23"/>
        </w:numPr>
        <w:spacing w:line="240" w:lineRule="auto"/>
        <w:ind w:hanging="720"/>
        <w:jc w:val="both"/>
        <w:rPr>
          <w:rFonts w:ascii="Times New Roman" w:hAnsi="Times New Roman" w:cs="Times New Roman"/>
          <w:szCs w:val="24"/>
          <w:lang w:val="en-US"/>
        </w:rPr>
      </w:pPr>
      <w:r w:rsidRPr="00C245D2">
        <w:rPr>
          <w:rFonts w:ascii="Times New Roman" w:hAnsi="Times New Roman" w:cs="Times New Roman"/>
          <w:szCs w:val="24"/>
          <w:lang w:val="en-US"/>
        </w:rPr>
        <w:t>URL: http://managment-study.ru/imitacionnoe-modelirovanie-monte-karlo.html#ixzz3s3f2PHup</w:t>
      </w:r>
    </w:p>
    <w:p w:rsidR="00DC3A0C" w:rsidRDefault="00DC3A0C" w:rsidP="00C245D2">
      <w:pPr>
        <w:ind w:hanging="720"/>
        <w:jc w:val="both"/>
        <w:rPr>
          <w:rFonts w:ascii="Times New Roman" w:hAnsi="Times New Roman" w:cs="Times New Roman"/>
          <w:szCs w:val="24"/>
          <w:lang w:val="en-US"/>
        </w:rPr>
      </w:pPr>
    </w:p>
    <w:p w:rsidR="008953D5" w:rsidRDefault="008953D5">
      <w:pPr>
        <w:rPr>
          <w:rFonts w:ascii="Times New Roman" w:hAnsi="Times New Roman" w:cs="Times New Roman"/>
          <w:szCs w:val="24"/>
          <w:lang w:val="en-US"/>
        </w:rPr>
      </w:pPr>
      <w:r>
        <w:rPr>
          <w:rFonts w:ascii="Times New Roman" w:hAnsi="Times New Roman" w:cs="Times New Roman"/>
          <w:szCs w:val="24"/>
          <w:lang w:val="en-US"/>
        </w:rPr>
        <w:br w:type="page"/>
      </w:r>
    </w:p>
    <w:p w:rsidR="008953D5" w:rsidRDefault="008953D5" w:rsidP="008953D5">
      <w:pPr>
        <w:pStyle w:val="1"/>
        <w:jc w:val="center"/>
      </w:pPr>
      <w:bookmarkStart w:id="63" w:name="_Toc450920859"/>
      <w:r>
        <w:lastRenderedPageBreak/>
        <w:t>Приложения</w:t>
      </w:r>
      <w:bookmarkEnd w:id="63"/>
    </w:p>
    <w:p w:rsidR="00AA696C" w:rsidRDefault="00AA696C" w:rsidP="00AA696C"/>
    <w:p w:rsidR="00AA696C" w:rsidRDefault="00AA696C" w:rsidP="00AA696C">
      <w:pPr>
        <w:ind w:hanging="1134"/>
        <w:rPr>
          <w:rFonts w:ascii="Times New Roman" w:hAnsi="Times New Roman" w:cs="Times New Roman"/>
          <w:sz w:val="24"/>
        </w:rPr>
      </w:pPr>
      <w:r w:rsidRPr="00AA696C">
        <w:rPr>
          <w:rFonts w:ascii="Times New Roman" w:hAnsi="Times New Roman" w:cs="Times New Roman"/>
          <w:noProof/>
          <w:sz w:val="24"/>
          <w:lang w:eastAsia="ru-RU"/>
        </w:rPr>
        <w:drawing>
          <wp:anchor distT="0" distB="0" distL="114300" distR="114300" simplePos="0" relativeHeight="251667456" behindDoc="0" locked="0" layoutInCell="1" allowOverlap="1" wp14:anchorId="59B85E51" wp14:editId="11073CF8">
            <wp:simplePos x="0" y="0"/>
            <wp:positionH relativeFrom="column">
              <wp:posOffset>-1255395</wp:posOffset>
            </wp:positionH>
            <wp:positionV relativeFrom="paragraph">
              <wp:posOffset>826135</wp:posOffset>
            </wp:positionV>
            <wp:extent cx="7963535" cy="7131050"/>
            <wp:effectExtent l="0" t="2857"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7963535" cy="713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96C">
        <w:rPr>
          <w:rFonts w:ascii="Times New Roman" w:hAnsi="Times New Roman" w:cs="Times New Roman"/>
          <w:sz w:val="24"/>
        </w:rPr>
        <w:t>Приложение 1. Таблица расчета экономической эффективности проекта «Батово»</w:t>
      </w:r>
    </w:p>
    <w:p w:rsidR="00AA696C" w:rsidRPr="00AA696C" w:rsidRDefault="006943A7" w:rsidP="00AA696C">
      <w:pPr>
        <w:ind w:hanging="1134"/>
        <w:rPr>
          <w:rFonts w:ascii="Times New Roman" w:hAnsi="Times New Roman" w:cs="Times New Roman"/>
        </w:rPr>
      </w:pPr>
      <w:r w:rsidRPr="00AA696C">
        <w:rPr>
          <w:noProof/>
          <w:lang w:eastAsia="ru-RU"/>
        </w:rPr>
        <w:lastRenderedPageBreak/>
        <w:drawing>
          <wp:anchor distT="0" distB="0" distL="114300" distR="114300" simplePos="0" relativeHeight="251663360" behindDoc="0" locked="0" layoutInCell="1" allowOverlap="1" wp14:anchorId="31BE3F7B" wp14:editId="6A9628BF">
            <wp:simplePos x="0" y="0"/>
            <wp:positionH relativeFrom="column">
              <wp:posOffset>-2606675</wp:posOffset>
            </wp:positionH>
            <wp:positionV relativeFrom="paragraph">
              <wp:posOffset>2165985</wp:posOffset>
            </wp:positionV>
            <wp:extent cx="8864600" cy="5019040"/>
            <wp:effectExtent l="0" t="127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2576" r="13429"/>
                    <a:stretch/>
                  </pic:blipFill>
                  <pic:spPr bwMode="auto">
                    <a:xfrm rot="5400000">
                      <a:off x="0" y="0"/>
                      <a:ext cx="8864600" cy="5019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Продолжение таблицы</w:t>
      </w:r>
    </w:p>
    <w:sectPr w:rsidR="00AA696C" w:rsidRPr="00AA696C" w:rsidSect="006162C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22" w:rsidRDefault="007E1D22" w:rsidP="00F93172">
      <w:pPr>
        <w:spacing w:after="0" w:line="240" w:lineRule="auto"/>
      </w:pPr>
      <w:r>
        <w:separator/>
      </w:r>
    </w:p>
  </w:endnote>
  <w:endnote w:type="continuationSeparator" w:id="0">
    <w:p w:rsidR="007E1D22" w:rsidRDefault="007E1D22" w:rsidP="00F9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14" w:rsidRPr="00E8267A" w:rsidRDefault="00322F14">
    <w:pPr>
      <w:pStyle w:val="af4"/>
      <w:jc w:val="center"/>
      <w:rPr>
        <w:color w:val="000000" w:themeColor="text1"/>
      </w:rPr>
    </w:pPr>
  </w:p>
  <w:p w:rsidR="00322F14" w:rsidRDefault="00322F1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22" w:rsidRDefault="007E1D22" w:rsidP="00F93172">
      <w:pPr>
        <w:spacing w:after="0" w:line="240" w:lineRule="auto"/>
      </w:pPr>
      <w:r>
        <w:separator/>
      </w:r>
    </w:p>
  </w:footnote>
  <w:footnote w:type="continuationSeparator" w:id="0">
    <w:p w:rsidR="007E1D22" w:rsidRDefault="007E1D22" w:rsidP="00F93172">
      <w:pPr>
        <w:spacing w:after="0" w:line="240" w:lineRule="auto"/>
      </w:pPr>
      <w:r>
        <w:continuationSeparator/>
      </w:r>
    </w:p>
  </w:footnote>
  <w:footnote w:id="1">
    <w:p w:rsidR="00322F14" w:rsidRDefault="00322F14">
      <w:pPr>
        <w:pStyle w:val="a6"/>
      </w:pPr>
      <w:r>
        <w:rPr>
          <w:rStyle w:val="a8"/>
        </w:rPr>
        <w:footnoteRef/>
      </w:r>
      <w:r w:rsidRPr="0002362E">
        <w:t>ФЗ «Об инвестиционной деятельности в Российской Федерации, осуществляемо</w:t>
      </w:r>
      <w:r>
        <w:t xml:space="preserve">й в форме капитальных вложений» </w:t>
      </w:r>
      <w:r w:rsidRPr="0002362E">
        <w:t>(в ред. Федеральных законов от 24.07.2007 N 215-ФЗ, от 19.07.2011 N 248-ФЗ)</w:t>
      </w:r>
    </w:p>
  </w:footnote>
  <w:footnote w:id="2">
    <w:p w:rsidR="00322F14" w:rsidRPr="00EE4A14" w:rsidRDefault="00322F14" w:rsidP="005A556D">
      <w:pPr>
        <w:pStyle w:val="a6"/>
        <w:rPr>
          <w:rFonts w:ascii="Times New Roman" w:hAnsi="Times New Roman" w:cs="Times New Roman"/>
        </w:rPr>
      </w:pPr>
      <w:r>
        <w:rPr>
          <w:rStyle w:val="a8"/>
        </w:rPr>
        <w:footnoteRef/>
      </w:r>
      <w:r>
        <w:t xml:space="preserve"> </w:t>
      </w:r>
      <w:r w:rsidRPr="00EE4A14">
        <w:rPr>
          <w:rFonts w:ascii="Times New Roman" w:hAnsi="Times New Roman" w:cs="Times New Roman"/>
        </w:rPr>
        <w:t>Камнев И. М., Жулина А. Ю. Методы обоснования ставки дисконтирования. Журнал Проблемы учёта и финансов №2(6) – 2012 г. Стр. 30-35.</w:t>
      </w:r>
    </w:p>
  </w:footnote>
  <w:footnote w:id="3">
    <w:p w:rsidR="00322F14" w:rsidRPr="00EE4A14" w:rsidRDefault="00322F14" w:rsidP="004E4834">
      <w:pPr>
        <w:pStyle w:val="a6"/>
        <w:rPr>
          <w:rFonts w:ascii="Times New Roman" w:hAnsi="Times New Roman" w:cs="Times New Roman"/>
        </w:rPr>
      </w:pPr>
      <w:r w:rsidRPr="00EE4A14">
        <w:rPr>
          <w:rStyle w:val="a8"/>
          <w:rFonts w:ascii="Times New Roman" w:hAnsi="Times New Roman" w:cs="Times New Roman"/>
        </w:rPr>
        <w:footnoteRef/>
      </w:r>
      <w:r w:rsidRPr="00EE4A14">
        <w:rPr>
          <w:rFonts w:ascii="Times New Roman" w:hAnsi="Times New Roman" w:cs="Times New Roman"/>
        </w:rPr>
        <w:t xml:space="preserve"> Коссов В.В., Лившиц В.Н., Шахназаров А.Г. Методические рекомендации по оценке</w:t>
      </w:r>
    </w:p>
    <w:p w:rsidR="00322F14" w:rsidRDefault="00322F14" w:rsidP="004E4834">
      <w:pPr>
        <w:pStyle w:val="a6"/>
      </w:pPr>
      <w:r w:rsidRPr="00EE4A14">
        <w:rPr>
          <w:rFonts w:ascii="Times New Roman" w:hAnsi="Times New Roman" w:cs="Times New Roman"/>
        </w:rPr>
        <w:t>инвестиционных проектов – М.: Экономика, 2000.</w:t>
      </w:r>
    </w:p>
  </w:footnote>
  <w:footnote w:id="4">
    <w:p w:rsidR="00322F14" w:rsidRPr="00EE4A14" w:rsidRDefault="00322F14" w:rsidP="006B30DF">
      <w:pPr>
        <w:pStyle w:val="a6"/>
        <w:rPr>
          <w:rFonts w:ascii="Times New Roman" w:hAnsi="Times New Roman" w:cs="Times New Roman"/>
        </w:rPr>
      </w:pPr>
      <w:r>
        <w:rPr>
          <w:rStyle w:val="a8"/>
        </w:rPr>
        <w:footnoteRef/>
      </w:r>
      <w:r>
        <w:t xml:space="preserve"> </w:t>
      </w:r>
      <w:r w:rsidRPr="00EE4A14">
        <w:rPr>
          <w:rFonts w:ascii="Times New Roman" w:hAnsi="Times New Roman" w:cs="Times New Roman"/>
        </w:rPr>
        <w:t>Коссов В.В., Лившиц В.Н., Шахназаров А.Г. Методические рекомендации по оценке</w:t>
      </w:r>
    </w:p>
    <w:p w:rsidR="00322F14" w:rsidRPr="00EE4A14" w:rsidRDefault="00322F14" w:rsidP="006B30DF">
      <w:pPr>
        <w:pStyle w:val="a6"/>
        <w:rPr>
          <w:rFonts w:ascii="Times New Roman" w:hAnsi="Times New Roman" w:cs="Times New Roman"/>
        </w:rPr>
      </w:pPr>
      <w:r w:rsidRPr="00EE4A14">
        <w:rPr>
          <w:rFonts w:ascii="Times New Roman" w:hAnsi="Times New Roman" w:cs="Times New Roman"/>
        </w:rPr>
        <w:t xml:space="preserve">инвестиционных проектов – М.: Экономика, 2000 </w:t>
      </w:r>
    </w:p>
  </w:footnote>
  <w:footnote w:id="5">
    <w:p w:rsidR="00322F14" w:rsidRDefault="00322F14" w:rsidP="00A90258">
      <w:pPr>
        <w:pStyle w:val="a6"/>
      </w:pPr>
      <w:r w:rsidRPr="00EE4A14">
        <w:rPr>
          <w:rStyle w:val="a8"/>
          <w:rFonts w:ascii="Times New Roman" w:hAnsi="Times New Roman" w:cs="Times New Roman"/>
        </w:rPr>
        <w:footnoteRef/>
      </w:r>
      <w:r w:rsidRPr="00EE4A14">
        <w:rPr>
          <w:rFonts w:ascii="Times New Roman" w:hAnsi="Times New Roman" w:cs="Times New Roman"/>
        </w:rPr>
        <w:t xml:space="preserve"> Лаврухина Н.В., Перерва О.Л. Стоимостная концепция и оценочные технологии управления инновационными пред-приятиями: учеб. пособие - М., 2013. 243 с.</w:t>
      </w:r>
    </w:p>
  </w:footnote>
  <w:footnote w:id="6">
    <w:p w:rsidR="00322F14" w:rsidRDefault="00322F14" w:rsidP="004E4834">
      <w:pPr>
        <w:pStyle w:val="a6"/>
      </w:pPr>
      <w:r>
        <w:rPr>
          <w:rStyle w:val="a8"/>
        </w:rPr>
        <w:footnoteRef/>
      </w:r>
      <w:r>
        <w:t xml:space="preserve"> </w:t>
      </w:r>
      <w:r w:rsidRPr="00EE4A14">
        <w:rPr>
          <w:rFonts w:ascii="Times New Roman" w:hAnsi="Times New Roman" w:cs="Times New Roman"/>
        </w:rPr>
        <w:t>Лаврухина Н.В. Сравнительный анализ методов оценки экономической эффективности инвестиций. Журнал Теория и практика общественного развития, № 16 - 2014. Стр. 82-86.</w:t>
      </w:r>
    </w:p>
  </w:footnote>
  <w:footnote w:id="7">
    <w:p w:rsidR="00322F14" w:rsidRPr="00EE4A14" w:rsidRDefault="00322F14" w:rsidP="006162C9">
      <w:pPr>
        <w:pStyle w:val="a6"/>
        <w:rPr>
          <w:rFonts w:ascii="Times New Roman" w:hAnsi="Times New Roman" w:cs="Times New Roman"/>
        </w:rPr>
      </w:pPr>
      <w:r>
        <w:rPr>
          <w:rStyle w:val="a8"/>
        </w:rPr>
        <w:footnoteRef/>
      </w:r>
      <w:r>
        <w:t xml:space="preserve"> </w:t>
      </w:r>
      <w:r w:rsidRPr="00EE4A14">
        <w:rPr>
          <w:rFonts w:ascii="Times New Roman" w:hAnsi="Times New Roman" w:cs="Times New Roman"/>
        </w:rPr>
        <w:t>Кондрашова А. Р. Достоинства и недостатки методов эко</w:t>
      </w:r>
      <w:r>
        <w:rPr>
          <w:rFonts w:ascii="Times New Roman" w:hAnsi="Times New Roman" w:cs="Times New Roman"/>
        </w:rPr>
        <w:t>номической оценки инвестиций</w:t>
      </w:r>
      <w:r w:rsidRPr="00EE4A14">
        <w:rPr>
          <w:rFonts w:ascii="Times New Roman" w:hAnsi="Times New Roman" w:cs="Times New Roman"/>
        </w:rPr>
        <w:t>. — 2014. — №7. — С. 351-354</w:t>
      </w:r>
      <w:r>
        <w:rPr>
          <w:rFonts w:ascii="Times New Roman" w:hAnsi="Times New Roman" w:cs="Times New Roman"/>
        </w:rPr>
        <w:t>.</w:t>
      </w:r>
    </w:p>
  </w:footnote>
  <w:footnote w:id="8">
    <w:p w:rsidR="00322F14" w:rsidRPr="00EE4A14" w:rsidRDefault="00322F14" w:rsidP="006162C9">
      <w:pPr>
        <w:pStyle w:val="a6"/>
        <w:rPr>
          <w:lang w:val="en-US"/>
        </w:rPr>
      </w:pPr>
      <w:r w:rsidRPr="00EE4A14">
        <w:rPr>
          <w:rStyle w:val="a8"/>
          <w:rFonts w:ascii="Times New Roman" w:hAnsi="Times New Roman" w:cs="Times New Roman"/>
        </w:rPr>
        <w:footnoteRef/>
      </w:r>
      <w:r w:rsidRPr="00EE4A14">
        <w:rPr>
          <w:rFonts w:ascii="Times New Roman" w:hAnsi="Times New Roman" w:cs="Times New Roman"/>
        </w:rPr>
        <w:t xml:space="preserve"> Рыбина И.А. </w:t>
      </w:r>
      <w:r>
        <w:rPr>
          <w:rFonts w:ascii="Times New Roman" w:hAnsi="Times New Roman" w:cs="Times New Roman"/>
        </w:rPr>
        <w:t>О</w:t>
      </w:r>
      <w:r w:rsidRPr="00EE4A14">
        <w:rPr>
          <w:rFonts w:ascii="Times New Roman" w:hAnsi="Times New Roman" w:cs="Times New Roman"/>
        </w:rPr>
        <w:t>ценка инвестиционных проектов</w:t>
      </w:r>
      <w:r>
        <w:rPr>
          <w:rFonts w:ascii="Times New Roman" w:hAnsi="Times New Roman" w:cs="Times New Roman"/>
        </w:rPr>
        <w:t>:</w:t>
      </w:r>
      <w:r w:rsidRPr="00EE4A14">
        <w:rPr>
          <w:rFonts w:ascii="Times New Roman" w:hAnsi="Times New Roman" w:cs="Times New Roman"/>
        </w:rPr>
        <w:t xml:space="preserve"> </w:t>
      </w:r>
      <w:r>
        <w:rPr>
          <w:rFonts w:ascii="Times New Roman" w:hAnsi="Times New Roman" w:cs="Times New Roman"/>
        </w:rPr>
        <w:t>учебно-методическое пособие. Воронеж</w:t>
      </w:r>
      <w:r w:rsidRPr="00EE4A14">
        <w:rPr>
          <w:rFonts w:ascii="Times New Roman" w:hAnsi="Times New Roman" w:cs="Times New Roman"/>
          <w:lang w:val="en-US"/>
        </w:rPr>
        <w:t xml:space="preserve"> – 2015.</w:t>
      </w:r>
      <w:r w:rsidRPr="00805291">
        <w:rPr>
          <w:rFonts w:ascii="Times New Roman" w:hAnsi="Times New Roman" w:cs="Times New Roman"/>
          <w:lang w:val="en-US"/>
        </w:rPr>
        <w:t xml:space="preserve"> - </w:t>
      </w:r>
      <w:r w:rsidRPr="00EE4A14">
        <w:rPr>
          <w:rFonts w:ascii="Times New Roman" w:hAnsi="Times New Roman" w:cs="Times New Roman"/>
          <w:lang w:val="en-US"/>
        </w:rPr>
        <w:t xml:space="preserve"> </w:t>
      </w:r>
      <w:r>
        <w:rPr>
          <w:rFonts w:ascii="Times New Roman" w:hAnsi="Times New Roman" w:cs="Times New Roman"/>
        </w:rPr>
        <w:t>Стр</w:t>
      </w:r>
      <w:r w:rsidRPr="00EE4A14">
        <w:rPr>
          <w:rFonts w:ascii="Times New Roman" w:hAnsi="Times New Roman" w:cs="Times New Roman"/>
          <w:lang w:val="en-US"/>
        </w:rPr>
        <w:t>. 35-38.</w:t>
      </w:r>
    </w:p>
  </w:footnote>
  <w:footnote w:id="9">
    <w:p w:rsidR="00322F14" w:rsidRPr="004E4834" w:rsidRDefault="00322F14" w:rsidP="008E45E3">
      <w:pPr>
        <w:pStyle w:val="a6"/>
      </w:pPr>
      <w:r>
        <w:rPr>
          <w:rStyle w:val="a8"/>
        </w:rPr>
        <w:footnoteRef/>
      </w:r>
      <w:r w:rsidRPr="008E45E3">
        <w:rPr>
          <w:lang w:val="en-US"/>
        </w:rPr>
        <w:t xml:space="preserve"> </w:t>
      </w:r>
      <w:r w:rsidRPr="00EE4A14">
        <w:rPr>
          <w:rFonts w:ascii="Times New Roman" w:hAnsi="Times New Roman" w:cs="Times New Roman"/>
          <w:lang w:val="en-US"/>
        </w:rPr>
        <w:t>Frank H. Knight: The Meaning of Risk and Uncertainty. In: F.Knight. Risk, Uncertainty, and Profit. Boston</w:t>
      </w:r>
      <w:r w:rsidRPr="0024404A">
        <w:rPr>
          <w:rFonts w:ascii="Times New Roman" w:hAnsi="Times New Roman" w:cs="Times New Roman"/>
        </w:rPr>
        <w:t xml:space="preserve">: </w:t>
      </w:r>
      <w:r w:rsidRPr="00EE4A14">
        <w:rPr>
          <w:rFonts w:ascii="Times New Roman" w:hAnsi="Times New Roman" w:cs="Times New Roman"/>
          <w:lang w:val="en-US"/>
        </w:rPr>
        <w:t>Houghton</w:t>
      </w:r>
      <w:r w:rsidRPr="0024404A">
        <w:rPr>
          <w:rFonts w:ascii="Times New Roman" w:hAnsi="Times New Roman" w:cs="Times New Roman"/>
        </w:rPr>
        <w:t xml:space="preserve"> </w:t>
      </w:r>
      <w:r w:rsidRPr="00EE4A14">
        <w:rPr>
          <w:rFonts w:ascii="Times New Roman" w:hAnsi="Times New Roman" w:cs="Times New Roman"/>
          <w:lang w:val="en-US"/>
        </w:rPr>
        <w:t>Mifflin</w:t>
      </w:r>
      <w:r w:rsidRPr="0024404A">
        <w:rPr>
          <w:rFonts w:ascii="Times New Roman" w:hAnsi="Times New Roman" w:cs="Times New Roman"/>
        </w:rPr>
        <w:t xml:space="preserve"> </w:t>
      </w:r>
      <w:r w:rsidRPr="00EE4A14">
        <w:rPr>
          <w:rFonts w:ascii="Times New Roman" w:hAnsi="Times New Roman" w:cs="Times New Roman"/>
          <w:lang w:val="en-US"/>
        </w:rPr>
        <w:t>Co</w:t>
      </w:r>
      <w:r w:rsidRPr="00EE4A14">
        <w:rPr>
          <w:rFonts w:ascii="Times New Roman" w:hAnsi="Times New Roman" w:cs="Times New Roman"/>
        </w:rPr>
        <w:t xml:space="preserve">, 1921, </w:t>
      </w:r>
      <w:r w:rsidRPr="00EE4A14">
        <w:rPr>
          <w:rFonts w:ascii="Times New Roman" w:hAnsi="Times New Roman" w:cs="Times New Roman"/>
          <w:lang w:val="en-US"/>
        </w:rPr>
        <w:t>p</w:t>
      </w:r>
      <w:r w:rsidRPr="00EE4A14">
        <w:rPr>
          <w:rFonts w:ascii="Times New Roman" w:hAnsi="Times New Roman" w:cs="Times New Roman"/>
        </w:rPr>
        <w:t>.210–235.</w:t>
      </w:r>
    </w:p>
  </w:footnote>
  <w:footnote w:id="10">
    <w:p w:rsidR="00322F14" w:rsidRPr="00EE4A14" w:rsidRDefault="00322F14" w:rsidP="00276538">
      <w:pPr>
        <w:pStyle w:val="a6"/>
        <w:rPr>
          <w:rFonts w:ascii="Times New Roman" w:hAnsi="Times New Roman" w:cs="Times New Roman"/>
        </w:rPr>
      </w:pPr>
      <w:r>
        <w:rPr>
          <w:rStyle w:val="a8"/>
        </w:rPr>
        <w:footnoteRef/>
      </w:r>
      <w:r>
        <w:t xml:space="preserve"> </w:t>
      </w:r>
      <w:r w:rsidRPr="00EE4A14">
        <w:rPr>
          <w:rFonts w:ascii="Times New Roman" w:hAnsi="Times New Roman" w:cs="Times New Roman"/>
        </w:rPr>
        <w:t>Доладов К. Ю.: Экономическая оценка инвестиционного риска при принятии управленческих решений: На примере промышленных предприятий Самарской области. – Самара, 2002. – 187 с.</w:t>
      </w:r>
    </w:p>
  </w:footnote>
  <w:footnote w:id="11">
    <w:p w:rsidR="00322F14" w:rsidRDefault="00322F14">
      <w:pPr>
        <w:pStyle w:val="a6"/>
      </w:pPr>
      <w:r w:rsidRPr="00EE4A14">
        <w:rPr>
          <w:rStyle w:val="a8"/>
          <w:rFonts w:ascii="Times New Roman" w:hAnsi="Times New Roman" w:cs="Times New Roman"/>
        </w:rPr>
        <w:footnoteRef/>
      </w:r>
      <w:r w:rsidRPr="00EE4A14">
        <w:rPr>
          <w:rFonts w:ascii="Times New Roman" w:hAnsi="Times New Roman" w:cs="Times New Roman"/>
        </w:rPr>
        <w:t xml:space="preserve"> Болдин В.П., Сьянов С.А. Финансирование и оценка инвестиционных проектов - 2009 г. Стр. 22-25.</w:t>
      </w:r>
    </w:p>
  </w:footnote>
  <w:footnote w:id="12">
    <w:p w:rsidR="00322F14" w:rsidRPr="00EE4A14" w:rsidRDefault="00322F14">
      <w:pPr>
        <w:pStyle w:val="a6"/>
        <w:rPr>
          <w:rFonts w:ascii="Times New Roman" w:hAnsi="Times New Roman" w:cs="Times New Roman"/>
        </w:rPr>
      </w:pPr>
      <w:r w:rsidRPr="00EE4A14">
        <w:rPr>
          <w:rStyle w:val="a8"/>
          <w:rFonts w:ascii="Times New Roman" w:hAnsi="Times New Roman" w:cs="Times New Roman"/>
        </w:rPr>
        <w:footnoteRef/>
      </w:r>
      <w:r w:rsidRPr="00EE4A14">
        <w:rPr>
          <w:rFonts w:ascii="Times New Roman" w:hAnsi="Times New Roman" w:cs="Times New Roman"/>
          <w:lang w:val="en-US"/>
        </w:rPr>
        <w:t xml:space="preserve"> Halil Sariaslan: Risk analysis in Project Evaluation - Presentation paper. </w:t>
      </w:r>
      <w:r w:rsidRPr="00EE4A14">
        <w:rPr>
          <w:rFonts w:ascii="Times New Roman" w:hAnsi="Times New Roman" w:cs="Times New Roman"/>
        </w:rPr>
        <w:t>Р. 99-118.</w:t>
      </w:r>
    </w:p>
  </w:footnote>
  <w:footnote w:id="13">
    <w:p w:rsidR="00322F14" w:rsidRDefault="00322F14">
      <w:pPr>
        <w:pStyle w:val="a6"/>
      </w:pPr>
      <w:r>
        <w:rPr>
          <w:rStyle w:val="a8"/>
        </w:rPr>
        <w:footnoteRef/>
      </w:r>
      <w:r>
        <w:t xml:space="preserve"> </w:t>
      </w:r>
      <w:r w:rsidRPr="00EE4A14">
        <w:rPr>
          <w:rFonts w:ascii="Times New Roman" w:hAnsi="Times New Roman" w:cs="Times New Roman"/>
        </w:rPr>
        <w:t>Трофимова Л.А., Трофимов В.В.. Управленческие решения (методы принятия и реализации): учебное пособие. - СПб. : Изд-во СПбГУЭФ,2011. –  Стр. 190.</w:t>
      </w:r>
    </w:p>
  </w:footnote>
  <w:footnote w:id="14">
    <w:p w:rsidR="00322F14" w:rsidRPr="00EE4A14" w:rsidRDefault="00322F14" w:rsidP="00AB2C4C">
      <w:pPr>
        <w:pStyle w:val="a6"/>
        <w:rPr>
          <w:rFonts w:ascii="Times New Roman" w:hAnsi="Times New Roman" w:cs="Times New Roman"/>
        </w:rPr>
      </w:pPr>
      <w:r>
        <w:rPr>
          <w:rStyle w:val="a8"/>
        </w:rPr>
        <w:footnoteRef/>
      </w:r>
      <w:r w:rsidRPr="00AB2C4C">
        <w:rPr>
          <w:lang w:val="en-US"/>
        </w:rPr>
        <w:t xml:space="preserve"> </w:t>
      </w:r>
      <w:r w:rsidRPr="00EE4A14">
        <w:rPr>
          <w:rFonts w:ascii="Times New Roman" w:hAnsi="Times New Roman" w:cs="Times New Roman"/>
          <w:lang w:val="en-US"/>
        </w:rPr>
        <w:t xml:space="preserve">Kahraman, Ruan, Tolga: Capital budgeting techniques using discounted fuzzy versus probabilistic cash flows. </w:t>
      </w:r>
      <w:r w:rsidRPr="00EE4A14">
        <w:rPr>
          <w:rFonts w:ascii="Times New Roman" w:hAnsi="Times New Roman" w:cs="Times New Roman"/>
        </w:rPr>
        <w:t>Information Sciences 142 (1), Р. 57-76.</w:t>
      </w:r>
    </w:p>
    <w:p w:rsidR="00322F14" w:rsidRDefault="00322F14" w:rsidP="00AB2C4C">
      <w:pPr>
        <w:pStyle w:val="a6"/>
      </w:pPr>
    </w:p>
  </w:footnote>
  <w:footnote w:id="15">
    <w:p w:rsidR="00322F14" w:rsidRDefault="00322F14" w:rsidP="009715DF">
      <w:pPr>
        <w:pStyle w:val="a6"/>
      </w:pPr>
      <w:r>
        <w:rPr>
          <w:rStyle w:val="a8"/>
        </w:rPr>
        <w:footnoteRef/>
      </w:r>
      <w:r>
        <w:t xml:space="preserve"> </w:t>
      </w:r>
      <w:r w:rsidRPr="00EE4A14">
        <w:rPr>
          <w:rFonts w:ascii="Times New Roman" w:hAnsi="Times New Roman" w:cs="Times New Roman"/>
        </w:rPr>
        <w:t>Волков И., Грачева М. Вероятностные методы анализа рисков – Проектный анализ, Москва - 1999</w:t>
      </w:r>
      <w:r>
        <w:t>.</w:t>
      </w:r>
    </w:p>
  </w:footnote>
  <w:footnote w:id="16">
    <w:p w:rsidR="00322F14" w:rsidRPr="00EE4A14" w:rsidRDefault="00322F14" w:rsidP="006A7576">
      <w:pPr>
        <w:pStyle w:val="a6"/>
        <w:rPr>
          <w:rFonts w:ascii="Times New Roman" w:hAnsi="Times New Roman" w:cs="Times New Roman"/>
          <w:lang w:val="en-US"/>
        </w:rPr>
      </w:pPr>
      <w:r w:rsidRPr="00EE4A14">
        <w:rPr>
          <w:rStyle w:val="a8"/>
          <w:rFonts w:ascii="Times New Roman" w:hAnsi="Times New Roman" w:cs="Times New Roman"/>
        </w:rPr>
        <w:footnoteRef/>
      </w:r>
      <w:r w:rsidRPr="00EE4A14">
        <w:rPr>
          <w:rFonts w:ascii="Times New Roman" w:hAnsi="Times New Roman" w:cs="Times New Roman"/>
          <w:lang w:val="en-US"/>
        </w:rPr>
        <w:t xml:space="preserve"> URL: http://managment-study.ru/imitacionnoe-modelirovanie-monte-karlo.html#ixzz3s3f2PHup</w:t>
      </w:r>
    </w:p>
  </w:footnote>
  <w:footnote w:id="17">
    <w:p w:rsidR="00322F14" w:rsidRPr="00EE4A14" w:rsidRDefault="00322F14" w:rsidP="0059449D">
      <w:pPr>
        <w:pStyle w:val="a6"/>
        <w:tabs>
          <w:tab w:val="left" w:pos="2340"/>
        </w:tabs>
        <w:rPr>
          <w:rFonts w:ascii="Times New Roman" w:hAnsi="Times New Roman" w:cs="Times New Roman"/>
          <w:szCs w:val="18"/>
          <w:lang w:val="en-US"/>
        </w:rPr>
      </w:pPr>
      <w:r w:rsidRPr="00EE4A14">
        <w:rPr>
          <w:rStyle w:val="a8"/>
          <w:rFonts w:ascii="Times New Roman" w:hAnsi="Times New Roman" w:cs="Times New Roman"/>
          <w:sz w:val="18"/>
          <w:szCs w:val="18"/>
        </w:rPr>
        <w:footnoteRef/>
      </w:r>
      <w:r w:rsidRPr="00EE4A14">
        <w:rPr>
          <w:rFonts w:ascii="Times New Roman" w:hAnsi="Times New Roman" w:cs="Times New Roman"/>
          <w:sz w:val="18"/>
          <w:szCs w:val="18"/>
          <w:lang w:val="en-US"/>
        </w:rPr>
        <w:t xml:space="preserve"> </w:t>
      </w:r>
      <w:r>
        <w:rPr>
          <w:rFonts w:ascii="Times New Roman" w:hAnsi="Times New Roman" w:cs="Times New Roman"/>
          <w:szCs w:val="18"/>
          <w:lang w:val="en-US"/>
        </w:rPr>
        <w:t>D</w:t>
      </w:r>
      <w:r w:rsidRPr="00EE4A14">
        <w:rPr>
          <w:rFonts w:ascii="Times New Roman" w:hAnsi="Times New Roman" w:cs="Times New Roman"/>
          <w:szCs w:val="18"/>
          <w:lang w:val="en-US"/>
        </w:rPr>
        <w:t xml:space="preserve">inica Mihai-Cristian: The Real Options Attached to an Investment Project – Economia, Seria Management Volume 14, Issue 2, 2011 </w:t>
      </w:r>
      <w:r w:rsidRPr="00EE4A14">
        <w:rPr>
          <w:rFonts w:ascii="Times New Roman" w:hAnsi="Times New Roman" w:cs="Times New Roman"/>
          <w:szCs w:val="18"/>
        </w:rPr>
        <w:t>Р</w:t>
      </w:r>
      <w:r w:rsidRPr="00EE4A14">
        <w:rPr>
          <w:rFonts w:ascii="Times New Roman" w:hAnsi="Times New Roman" w:cs="Times New Roman"/>
          <w:szCs w:val="18"/>
          <w:lang w:val="en-US"/>
        </w:rPr>
        <w:t>. 511-518.</w:t>
      </w:r>
    </w:p>
  </w:footnote>
  <w:footnote w:id="18">
    <w:p w:rsidR="00322F14" w:rsidRPr="00EE4A14" w:rsidRDefault="00322F14" w:rsidP="0059449D">
      <w:pPr>
        <w:autoSpaceDE w:val="0"/>
        <w:autoSpaceDN w:val="0"/>
        <w:adjustRightInd w:val="0"/>
        <w:spacing w:after="0" w:line="240" w:lineRule="auto"/>
        <w:rPr>
          <w:rFonts w:ascii="Times New Roman" w:hAnsi="Times New Roman" w:cs="Times New Roman"/>
          <w:sz w:val="20"/>
          <w:szCs w:val="18"/>
        </w:rPr>
      </w:pPr>
      <w:r w:rsidRPr="00EE4A14">
        <w:rPr>
          <w:rStyle w:val="a8"/>
          <w:rFonts w:ascii="Times New Roman" w:hAnsi="Times New Roman" w:cs="Times New Roman"/>
          <w:sz w:val="20"/>
          <w:szCs w:val="18"/>
        </w:rPr>
        <w:footnoteRef/>
      </w:r>
      <w:r w:rsidRPr="00EE4A14">
        <w:rPr>
          <w:rFonts w:ascii="Times New Roman" w:hAnsi="Times New Roman" w:cs="Times New Roman"/>
          <w:sz w:val="20"/>
          <w:szCs w:val="18"/>
        </w:rPr>
        <w:t xml:space="preserve"> </w:t>
      </w:r>
      <w:r w:rsidRPr="00EE4A14">
        <w:rPr>
          <w:rFonts w:ascii="Times New Roman" w:hAnsi="Times New Roman" w:cs="Times New Roman"/>
          <w:bCs/>
          <w:color w:val="292929"/>
          <w:sz w:val="20"/>
          <w:szCs w:val="18"/>
        </w:rPr>
        <w:t xml:space="preserve">Сысоев А.Ю. </w:t>
      </w:r>
      <w:r w:rsidRPr="00EE4A14">
        <w:rPr>
          <w:rFonts w:ascii="Times New Roman" w:hAnsi="Times New Roman" w:cs="Times New Roman"/>
          <w:bCs/>
          <w:sz w:val="20"/>
          <w:szCs w:val="18"/>
        </w:rPr>
        <w:t xml:space="preserve">Использование моделей «реальных опционов» при оценке эффективности инвестиционных проектов. Вестник ФА </w:t>
      </w:r>
      <w:r w:rsidRPr="00EE4A14">
        <w:rPr>
          <w:rFonts w:ascii="Times New Roman" w:hAnsi="Times New Roman" w:cs="Times New Roman"/>
          <w:sz w:val="20"/>
          <w:szCs w:val="18"/>
        </w:rPr>
        <w:t xml:space="preserve">№ </w:t>
      </w:r>
      <w:r w:rsidRPr="00EE4A14">
        <w:rPr>
          <w:rFonts w:ascii="Times New Roman" w:hAnsi="Times New Roman" w:cs="Times New Roman"/>
          <w:bCs/>
          <w:sz w:val="20"/>
          <w:szCs w:val="18"/>
        </w:rPr>
        <w:t>4, 2003.</w:t>
      </w:r>
    </w:p>
  </w:footnote>
  <w:footnote w:id="19">
    <w:p w:rsidR="00322F14" w:rsidRDefault="00322F14" w:rsidP="0059449D">
      <w:pPr>
        <w:pStyle w:val="a6"/>
      </w:pPr>
      <w:r w:rsidRPr="00EE4A14">
        <w:rPr>
          <w:rStyle w:val="a8"/>
          <w:rFonts w:ascii="Times New Roman" w:hAnsi="Times New Roman" w:cs="Times New Roman"/>
          <w:szCs w:val="18"/>
        </w:rPr>
        <w:footnoteRef/>
      </w:r>
      <w:r w:rsidRPr="00EE4A14">
        <w:rPr>
          <w:rFonts w:ascii="Times New Roman" w:hAnsi="Times New Roman" w:cs="Times New Roman"/>
          <w:szCs w:val="18"/>
        </w:rPr>
        <w:t xml:space="preserve"> Крюков С.В. Учет реальных опционов при оценке эффективности инвестиционных проектов,  Вестник Ростовского государственного экономического университета «РИНХ» № 2 – 2006.</w:t>
      </w:r>
    </w:p>
  </w:footnote>
  <w:footnote w:id="20">
    <w:p w:rsidR="00322F14" w:rsidRPr="00EE4A14" w:rsidRDefault="00322F14" w:rsidP="0059449D">
      <w:pPr>
        <w:pStyle w:val="a6"/>
        <w:rPr>
          <w:rFonts w:ascii="Times New Roman" w:hAnsi="Times New Roman" w:cs="Times New Roman"/>
          <w:lang w:val="en-US"/>
        </w:rPr>
      </w:pPr>
      <w:r w:rsidRPr="00EE4A14">
        <w:rPr>
          <w:rStyle w:val="a8"/>
          <w:rFonts w:ascii="Times New Roman" w:hAnsi="Times New Roman" w:cs="Times New Roman"/>
        </w:rPr>
        <w:footnoteRef/>
      </w:r>
      <w:r w:rsidRPr="00EE4A14">
        <w:rPr>
          <w:rFonts w:ascii="Times New Roman" w:hAnsi="Times New Roman" w:cs="Times New Roman"/>
          <w:lang w:val="en-US"/>
        </w:rPr>
        <w:t xml:space="preserve"> Bailey Michael D. and Sporleder Thomas L.: The Real Options Approach to Evaluating a Risky Investment by a New Generation Cooperative: Further Processing</w:t>
      </w:r>
    </w:p>
  </w:footnote>
  <w:footnote w:id="21">
    <w:p w:rsidR="00322F14" w:rsidRPr="002B2B43" w:rsidRDefault="00322F14" w:rsidP="0059449D">
      <w:pPr>
        <w:pStyle w:val="a6"/>
        <w:rPr>
          <w:lang w:val="en-US"/>
        </w:rPr>
      </w:pPr>
      <w:r>
        <w:rPr>
          <w:rStyle w:val="a8"/>
        </w:rPr>
        <w:footnoteRef/>
      </w:r>
      <w:r w:rsidRPr="002B2B43">
        <w:rPr>
          <w:lang w:val="en-US"/>
        </w:rPr>
        <w:t xml:space="preserve"> Michel Benaroch</w:t>
      </w:r>
      <w:r>
        <w:rPr>
          <w:lang w:val="en-US"/>
        </w:rPr>
        <w:t xml:space="preserve">, </w:t>
      </w:r>
      <w:r w:rsidRPr="002B2B43">
        <w:rPr>
          <w:lang w:val="en-US"/>
        </w:rPr>
        <w:t>Robert J. Kauffman</w:t>
      </w:r>
      <w:r>
        <w:rPr>
          <w:lang w:val="en-US"/>
        </w:rPr>
        <w:t xml:space="preserve">: </w:t>
      </w:r>
      <w:r w:rsidRPr="002B2B43">
        <w:rPr>
          <w:lang w:val="en-US"/>
        </w:rPr>
        <w:t>A Case For Using Real Options Pricing Analysis</w:t>
      </w:r>
      <w:r>
        <w:rPr>
          <w:lang w:val="en-US"/>
        </w:rPr>
        <w:t xml:space="preserve"> </w:t>
      </w:r>
      <w:r w:rsidRPr="002B2B43">
        <w:rPr>
          <w:lang w:val="en-US"/>
        </w:rPr>
        <w:t>To Evaluate Information Technology Project Investments</w:t>
      </w:r>
      <w:r>
        <w:rPr>
          <w:lang w:val="en-US"/>
        </w:rPr>
        <w:t xml:space="preserve"> . </w:t>
      </w:r>
      <w:r w:rsidRPr="002B2B43">
        <w:rPr>
          <w:lang w:val="en-US"/>
        </w:rPr>
        <w:t>Information Systems Research, Vol. 10, No. 1, pp. 70-86, 1999.</w:t>
      </w:r>
    </w:p>
  </w:footnote>
  <w:footnote w:id="22">
    <w:p w:rsidR="00322F14" w:rsidRPr="005A5E97" w:rsidRDefault="00322F14" w:rsidP="0059449D">
      <w:pPr>
        <w:pStyle w:val="a6"/>
      </w:pPr>
      <w:r>
        <w:rPr>
          <w:rStyle w:val="a8"/>
        </w:rPr>
        <w:footnoteRef/>
      </w:r>
      <w:r w:rsidRPr="00901CD7">
        <w:rPr>
          <w:lang w:val="en-US"/>
        </w:rPr>
        <w:t xml:space="preserve"> Ellen Bjarnadóttir</w:t>
      </w:r>
      <w:r>
        <w:rPr>
          <w:lang w:val="en-US"/>
        </w:rPr>
        <w:t xml:space="preserve">: </w:t>
      </w:r>
      <w:r w:rsidRPr="00901CD7">
        <w:rPr>
          <w:lang w:val="en-US"/>
        </w:rPr>
        <w:t>Real Options in Corporate Finance</w:t>
      </w:r>
      <w:r>
        <w:rPr>
          <w:lang w:val="en-US"/>
        </w:rPr>
        <w:t xml:space="preserve"> - </w:t>
      </w:r>
      <w:r w:rsidRPr="00901CD7">
        <w:rPr>
          <w:lang w:val="en-US"/>
        </w:rPr>
        <w:t>Reykjavík University</w:t>
      </w:r>
      <w:r>
        <w:rPr>
          <w:lang w:val="en-US"/>
        </w:rPr>
        <w:t>, 2013. P</w:t>
      </w:r>
      <w:r w:rsidRPr="005A5E97">
        <w:t>. 15.</w:t>
      </w:r>
    </w:p>
  </w:footnote>
  <w:footnote w:id="23">
    <w:p w:rsidR="00322F14" w:rsidRDefault="00322F14">
      <w:pPr>
        <w:pStyle w:val="a6"/>
      </w:pPr>
      <w:r>
        <w:rPr>
          <w:rStyle w:val="a8"/>
        </w:rPr>
        <w:footnoteRef/>
      </w:r>
      <w:r>
        <w:t xml:space="preserve"> Источник здесь и далее: материалы компании ПАО «Ленэнерго»: бизнес-план проекта «ПС Батово»</w:t>
      </w:r>
    </w:p>
  </w:footnote>
  <w:footnote w:id="24">
    <w:p w:rsidR="00322F14" w:rsidRPr="00643B52" w:rsidRDefault="00322F14" w:rsidP="00805291">
      <w:pPr>
        <w:pStyle w:val="a6"/>
        <w:rPr>
          <w:rFonts w:ascii="Times New Roman" w:hAnsi="Times New Roman" w:cs="Times New Roman"/>
        </w:rPr>
      </w:pPr>
      <w:r>
        <w:rPr>
          <w:rStyle w:val="a8"/>
        </w:rPr>
        <w:footnoteRef/>
      </w:r>
      <w:r>
        <w:t xml:space="preserve"> </w:t>
      </w:r>
      <w:r w:rsidRPr="00643B52">
        <w:rPr>
          <w:rFonts w:ascii="Times New Roman" w:hAnsi="Times New Roman" w:cs="Times New Roman"/>
        </w:rPr>
        <w:t xml:space="preserve">Протокол заседания Совета директоров Общества от 12.01.2016 г. №31. Далее – БП Общества. </w:t>
      </w:r>
    </w:p>
  </w:footnote>
  <w:footnote w:id="25">
    <w:p w:rsidR="00322F14" w:rsidRDefault="00322F14">
      <w:pPr>
        <w:pStyle w:val="a6"/>
      </w:pPr>
      <w:r>
        <w:rPr>
          <w:rStyle w:val="a8"/>
        </w:rPr>
        <w:footnoteRef/>
      </w:r>
      <w:r>
        <w:t xml:space="preserve"> Источник: рассчитано автором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540104"/>
      <w:docPartObj>
        <w:docPartGallery w:val="Page Numbers (Top of Page)"/>
        <w:docPartUnique/>
      </w:docPartObj>
    </w:sdtPr>
    <w:sdtContent>
      <w:p w:rsidR="00322F14" w:rsidRDefault="00322F14">
        <w:pPr>
          <w:pStyle w:val="af2"/>
          <w:jc w:val="center"/>
        </w:pPr>
        <w:r>
          <w:fldChar w:fldCharType="begin"/>
        </w:r>
        <w:r>
          <w:instrText>PAGE   \* MERGEFORMAT</w:instrText>
        </w:r>
        <w:r>
          <w:fldChar w:fldCharType="separate"/>
        </w:r>
        <w:r w:rsidR="00784E82">
          <w:rPr>
            <w:noProof/>
          </w:rPr>
          <w:t>4</w:t>
        </w:r>
        <w:r>
          <w:fldChar w:fldCharType="end"/>
        </w:r>
      </w:p>
    </w:sdtContent>
  </w:sdt>
  <w:p w:rsidR="00322F14" w:rsidRDefault="00322F1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54F"/>
    <w:multiLevelType w:val="hybridMultilevel"/>
    <w:tmpl w:val="32C4E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A304E"/>
    <w:multiLevelType w:val="hybridMultilevel"/>
    <w:tmpl w:val="9A8A2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53F24"/>
    <w:multiLevelType w:val="hybridMultilevel"/>
    <w:tmpl w:val="EEE2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101C"/>
    <w:multiLevelType w:val="hybridMultilevel"/>
    <w:tmpl w:val="B32E6EC2"/>
    <w:lvl w:ilvl="0" w:tplc="8A66CA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FC2DF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121C94"/>
    <w:multiLevelType w:val="hybridMultilevel"/>
    <w:tmpl w:val="4F20D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34217"/>
    <w:multiLevelType w:val="hybridMultilevel"/>
    <w:tmpl w:val="6A6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168E1"/>
    <w:multiLevelType w:val="hybridMultilevel"/>
    <w:tmpl w:val="E206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352F0"/>
    <w:multiLevelType w:val="hybridMultilevel"/>
    <w:tmpl w:val="15D8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D776AD"/>
    <w:multiLevelType w:val="multilevel"/>
    <w:tmpl w:val="7BC22DAC"/>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0">
    <w:nsid w:val="39E54A36"/>
    <w:multiLevelType w:val="hybridMultilevel"/>
    <w:tmpl w:val="67AC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B421AF"/>
    <w:multiLevelType w:val="hybridMultilevel"/>
    <w:tmpl w:val="BBE86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AE7426"/>
    <w:multiLevelType w:val="hybridMultilevel"/>
    <w:tmpl w:val="4CA4A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C867F1"/>
    <w:multiLevelType w:val="hybridMultilevel"/>
    <w:tmpl w:val="B65443E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E02A91"/>
    <w:multiLevelType w:val="hybridMultilevel"/>
    <w:tmpl w:val="57D4D7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6E74746"/>
    <w:multiLevelType w:val="hybridMultilevel"/>
    <w:tmpl w:val="7C9C0410"/>
    <w:lvl w:ilvl="0" w:tplc="04190001">
      <w:start w:val="1"/>
      <w:numFmt w:val="bullet"/>
      <w:lvlText w:val=""/>
      <w:lvlJc w:val="left"/>
      <w:pPr>
        <w:ind w:left="720" w:hanging="360"/>
      </w:pPr>
      <w:rPr>
        <w:rFonts w:ascii="Symbol" w:hAnsi="Symbol" w:hint="default"/>
      </w:rPr>
    </w:lvl>
    <w:lvl w:ilvl="1" w:tplc="5D3E6A8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EE3693"/>
    <w:multiLevelType w:val="hybridMultilevel"/>
    <w:tmpl w:val="282A34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A8B73F3"/>
    <w:multiLevelType w:val="hybridMultilevel"/>
    <w:tmpl w:val="F30C9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45DC8"/>
    <w:multiLevelType w:val="hybridMultilevel"/>
    <w:tmpl w:val="0E2C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0783B"/>
    <w:multiLevelType w:val="hybridMultilevel"/>
    <w:tmpl w:val="A1F4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D05C3"/>
    <w:multiLevelType w:val="hybridMultilevel"/>
    <w:tmpl w:val="2FF0530A"/>
    <w:lvl w:ilvl="0" w:tplc="04190001">
      <w:start w:val="1"/>
      <w:numFmt w:val="bullet"/>
      <w:lvlText w:val=""/>
      <w:lvlJc w:val="left"/>
      <w:pPr>
        <w:tabs>
          <w:tab w:val="num" w:pos="1788"/>
        </w:tabs>
        <w:ind w:left="1788"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69F0598D"/>
    <w:multiLevelType w:val="hybridMultilevel"/>
    <w:tmpl w:val="7B12D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3B6320"/>
    <w:multiLevelType w:val="hybridMultilevel"/>
    <w:tmpl w:val="E37C9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7938D5"/>
    <w:multiLevelType w:val="hybridMultilevel"/>
    <w:tmpl w:val="F25069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E297A8C"/>
    <w:multiLevelType w:val="hybridMultilevel"/>
    <w:tmpl w:val="4F0AB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A5FE3"/>
    <w:multiLevelType w:val="hybridMultilevel"/>
    <w:tmpl w:val="A702A7CC"/>
    <w:lvl w:ilvl="0" w:tplc="0419000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6">
    <w:nsid w:val="75B14E78"/>
    <w:multiLevelType w:val="hybridMultilevel"/>
    <w:tmpl w:val="2BD2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135FFA"/>
    <w:multiLevelType w:val="hybridMultilevel"/>
    <w:tmpl w:val="9CC49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51D7E"/>
    <w:multiLevelType w:val="hybridMultilevel"/>
    <w:tmpl w:val="5BFE7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0400C5"/>
    <w:multiLevelType w:val="hybridMultilevel"/>
    <w:tmpl w:val="71BA7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EE4524"/>
    <w:multiLevelType w:val="hybridMultilevel"/>
    <w:tmpl w:val="55E0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15"/>
  </w:num>
  <w:num w:numId="5">
    <w:abstractNumId w:val="14"/>
  </w:num>
  <w:num w:numId="6">
    <w:abstractNumId w:val="10"/>
  </w:num>
  <w:num w:numId="7">
    <w:abstractNumId w:val="17"/>
  </w:num>
  <w:num w:numId="8">
    <w:abstractNumId w:val="28"/>
  </w:num>
  <w:num w:numId="9">
    <w:abstractNumId w:val="25"/>
  </w:num>
  <w:num w:numId="10">
    <w:abstractNumId w:val="11"/>
  </w:num>
  <w:num w:numId="11">
    <w:abstractNumId w:val="23"/>
  </w:num>
  <w:num w:numId="12">
    <w:abstractNumId w:val="27"/>
  </w:num>
  <w:num w:numId="13">
    <w:abstractNumId w:val="7"/>
  </w:num>
  <w:num w:numId="14">
    <w:abstractNumId w:val="4"/>
  </w:num>
  <w:num w:numId="15">
    <w:abstractNumId w:val="26"/>
  </w:num>
  <w:num w:numId="16">
    <w:abstractNumId w:val="21"/>
  </w:num>
  <w:num w:numId="17">
    <w:abstractNumId w:val="3"/>
  </w:num>
  <w:num w:numId="18">
    <w:abstractNumId w:val="5"/>
  </w:num>
  <w:num w:numId="19">
    <w:abstractNumId w:val="22"/>
  </w:num>
  <w:num w:numId="20">
    <w:abstractNumId w:val="0"/>
  </w:num>
  <w:num w:numId="21">
    <w:abstractNumId w:val="19"/>
  </w:num>
  <w:num w:numId="22">
    <w:abstractNumId w:val="8"/>
  </w:num>
  <w:num w:numId="23">
    <w:abstractNumId w:val="24"/>
  </w:num>
  <w:num w:numId="24">
    <w:abstractNumId w:val="20"/>
  </w:num>
  <w:num w:numId="25">
    <w:abstractNumId w:val="1"/>
  </w:num>
  <w:num w:numId="26">
    <w:abstractNumId w:val="6"/>
  </w:num>
  <w:num w:numId="27">
    <w:abstractNumId w:val="30"/>
  </w:num>
  <w:num w:numId="28">
    <w:abstractNumId w:val="9"/>
  </w:num>
  <w:num w:numId="29">
    <w:abstractNumId w:val="29"/>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19"/>
    <w:rsid w:val="0000042B"/>
    <w:rsid w:val="000033EF"/>
    <w:rsid w:val="00005485"/>
    <w:rsid w:val="000055C9"/>
    <w:rsid w:val="00010308"/>
    <w:rsid w:val="00010815"/>
    <w:rsid w:val="0001141C"/>
    <w:rsid w:val="00011F25"/>
    <w:rsid w:val="00013D9D"/>
    <w:rsid w:val="0001504F"/>
    <w:rsid w:val="00017AD1"/>
    <w:rsid w:val="000225CE"/>
    <w:rsid w:val="0002362E"/>
    <w:rsid w:val="00023753"/>
    <w:rsid w:val="00025011"/>
    <w:rsid w:val="000250A1"/>
    <w:rsid w:val="000254FC"/>
    <w:rsid w:val="00027615"/>
    <w:rsid w:val="00030B92"/>
    <w:rsid w:val="00030DC3"/>
    <w:rsid w:val="00033CD8"/>
    <w:rsid w:val="00035264"/>
    <w:rsid w:val="00035B9D"/>
    <w:rsid w:val="0004060E"/>
    <w:rsid w:val="00040EC7"/>
    <w:rsid w:val="000418D2"/>
    <w:rsid w:val="000432F2"/>
    <w:rsid w:val="00043F49"/>
    <w:rsid w:val="00044939"/>
    <w:rsid w:val="00044C00"/>
    <w:rsid w:val="00045C5A"/>
    <w:rsid w:val="00047793"/>
    <w:rsid w:val="000511D9"/>
    <w:rsid w:val="00051EBE"/>
    <w:rsid w:val="0005634B"/>
    <w:rsid w:val="00057D41"/>
    <w:rsid w:val="000603DD"/>
    <w:rsid w:val="0006043F"/>
    <w:rsid w:val="0006083E"/>
    <w:rsid w:val="00062188"/>
    <w:rsid w:val="00062236"/>
    <w:rsid w:val="00066F15"/>
    <w:rsid w:val="000700F9"/>
    <w:rsid w:val="00072596"/>
    <w:rsid w:val="00072A73"/>
    <w:rsid w:val="00073868"/>
    <w:rsid w:val="00073878"/>
    <w:rsid w:val="00074DEC"/>
    <w:rsid w:val="00081963"/>
    <w:rsid w:val="00084DD5"/>
    <w:rsid w:val="00084EA6"/>
    <w:rsid w:val="00085092"/>
    <w:rsid w:val="000866FF"/>
    <w:rsid w:val="00093D2E"/>
    <w:rsid w:val="00094319"/>
    <w:rsid w:val="0009751A"/>
    <w:rsid w:val="000977A3"/>
    <w:rsid w:val="000A0BAE"/>
    <w:rsid w:val="000A349A"/>
    <w:rsid w:val="000A43C5"/>
    <w:rsid w:val="000B0B6A"/>
    <w:rsid w:val="000B0C83"/>
    <w:rsid w:val="000B1A8C"/>
    <w:rsid w:val="000B3C88"/>
    <w:rsid w:val="000B4366"/>
    <w:rsid w:val="000B6AAB"/>
    <w:rsid w:val="000C0D5E"/>
    <w:rsid w:val="000C201E"/>
    <w:rsid w:val="000C46FE"/>
    <w:rsid w:val="000C6F10"/>
    <w:rsid w:val="000C7449"/>
    <w:rsid w:val="000C7C33"/>
    <w:rsid w:val="000D0C0F"/>
    <w:rsid w:val="000D1A9F"/>
    <w:rsid w:val="000D2628"/>
    <w:rsid w:val="000D3439"/>
    <w:rsid w:val="000D4458"/>
    <w:rsid w:val="000D489C"/>
    <w:rsid w:val="000D4C2A"/>
    <w:rsid w:val="000D5C7B"/>
    <w:rsid w:val="000D610F"/>
    <w:rsid w:val="000D6234"/>
    <w:rsid w:val="000D6670"/>
    <w:rsid w:val="000E028D"/>
    <w:rsid w:val="000E1F5E"/>
    <w:rsid w:val="000E48B3"/>
    <w:rsid w:val="000E492B"/>
    <w:rsid w:val="000E5020"/>
    <w:rsid w:val="000E62E6"/>
    <w:rsid w:val="000E6405"/>
    <w:rsid w:val="000E795C"/>
    <w:rsid w:val="000F07DA"/>
    <w:rsid w:val="000F28F3"/>
    <w:rsid w:val="000F5519"/>
    <w:rsid w:val="000F7A3F"/>
    <w:rsid w:val="0010165A"/>
    <w:rsid w:val="00101C90"/>
    <w:rsid w:val="00102083"/>
    <w:rsid w:val="00102159"/>
    <w:rsid w:val="00110B5F"/>
    <w:rsid w:val="00110FFA"/>
    <w:rsid w:val="0011119A"/>
    <w:rsid w:val="00112381"/>
    <w:rsid w:val="00115243"/>
    <w:rsid w:val="001207BB"/>
    <w:rsid w:val="00122A13"/>
    <w:rsid w:val="001237D3"/>
    <w:rsid w:val="001261A0"/>
    <w:rsid w:val="001270DD"/>
    <w:rsid w:val="00127A08"/>
    <w:rsid w:val="001302E6"/>
    <w:rsid w:val="00131101"/>
    <w:rsid w:val="001316DD"/>
    <w:rsid w:val="001317E0"/>
    <w:rsid w:val="001441E4"/>
    <w:rsid w:val="00144B7A"/>
    <w:rsid w:val="00147CB0"/>
    <w:rsid w:val="001511A9"/>
    <w:rsid w:val="001531E9"/>
    <w:rsid w:val="0015440A"/>
    <w:rsid w:val="001564AA"/>
    <w:rsid w:val="001634FB"/>
    <w:rsid w:val="00164567"/>
    <w:rsid w:val="00164817"/>
    <w:rsid w:val="00164D8D"/>
    <w:rsid w:val="0016689E"/>
    <w:rsid w:val="001669AC"/>
    <w:rsid w:val="00166CEC"/>
    <w:rsid w:val="00172507"/>
    <w:rsid w:val="00172A70"/>
    <w:rsid w:val="001762D7"/>
    <w:rsid w:val="00177536"/>
    <w:rsid w:val="001801D4"/>
    <w:rsid w:val="00180DA0"/>
    <w:rsid w:val="00181A1A"/>
    <w:rsid w:val="001829F6"/>
    <w:rsid w:val="00183804"/>
    <w:rsid w:val="00185831"/>
    <w:rsid w:val="00185BE0"/>
    <w:rsid w:val="001862CD"/>
    <w:rsid w:val="001903AB"/>
    <w:rsid w:val="001907F8"/>
    <w:rsid w:val="00193407"/>
    <w:rsid w:val="00194EAC"/>
    <w:rsid w:val="00195C4A"/>
    <w:rsid w:val="00195F11"/>
    <w:rsid w:val="001A2646"/>
    <w:rsid w:val="001A3737"/>
    <w:rsid w:val="001A4862"/>
    <w:rsid w:val="001A610D"/>
    <w:rsid w:val="001A61DA"/>
    <w:rsid w:val="001B2BAE"/>
    <w:rsid w:val="001B3E2B"/>
    <w:rsid w:val="001B4162"/>
    <w:rsid w:val="001B4CF9"/>
    <w:rsid w:val="001B5518"/>
    <w:rsid w:val="001B60A1"/>
    <w:rsid w:val="001B62E7"/>
    <w:rsid w:val="001B72CF"/>
    <w:rsid w:val="001C0610"/>
    <w:rsid w:val="001C0ED4"/>
    <w:rsid w:val="001C1566"/>
    <w:rsid w:val="001C23CE"/>
    <w:rsid w:val="001C2FB6"/>
    <w:rsid w:val="001C307E"/>
    <w:rsid w:val="001C3CF4"/>
    <w:rsid w:val="001C58FC"/>
    <w:rsid w:val="001C6279"/>
    <w:rsid w:val="001C7F7F"/>
    <w:rsid w:val="001D2C70"/>
    <w:rsid w:val="001D2EE5"/>
    <w:rsid w:val="001D31BF"/>
    <w:rsid w:val="001D321B"/>
    <w:rsid w:val="001D4988"/>
    <w:rsid w:val="001D5CB4"/>
    <w:rsid w:val="001D7592"/>
    <w:rsid w:val="001E02C2"/>
    <w:rsid w:val="001E0F74"/>
    <w:rsid w:val="001E17FD"/>
    <w:rsid w:val="001E3252"/>
    <w:rsid w:val="001E37F5"/>
    <w:rsid w:val="001E6402"/>
    <w:rsid w:val="001F1FE7"/>
    <w:rsid w:val="001F21E6"/>
    <w:rsid w:val="001F2B04"/>
    <w:rsid w:val="001F6059"/>
    <w:rsid w:val="001F6CFB"/>
    <w:rsid w:val="001F701E"/>
    <w:rsid w:val="002019B2"/>
    <w:rsid w:val="00201D31"/>
    <w:rsid w:val="00201DF6"/>
    <w:rsid w:val="0020289C"/>
    <w:rsid w:val="00203AF6"/>
    <w:rsid w:val="00204216"/>
    <w:rsid w:val="002049B7"/>
    <w:rsid w:val="0020597E"/>
    <w:rsid w:val="00206287"/>
    <w:rsid w:val="002070A9"/>
    <w:rsid w:val="00207199"/>
    <w:rsid w:val="00210E8E"/>
    <w:rsid w:val="002110A2"/>
    <w:rsid w:val="00211E3D"/>
    <w:rsid w:val="00212BF1"/>
    <w:rsid w:val="00214532"/>
    <w:rsid w:val="00215D3A"/>
    <w:rsid w:val="002165DD"/>
    <w:rsid w:val="00217B4F"/>
    <w:rsid w:val="00222019"/>
    <w:rsid w:val="002228D4"/>
    <w:rsid w:val="00223F44"/>
    <w:rsid w:val="0023094D"/>
    <w:rsid w:val="0023220C"/>
    <w:rsid w:val="00234605"/>
    <w:rsid w:val="002354D0"/>
    <w:rsid w:val="00236E01"/>
    <w:rsid w:val="00240A8D"/>
    <w:rsid w:val="00242D23"/>
    <w:rsid w:val="0024404A"/>
    <w:rsid w:val="00246EB4"/>
    <w:rsid w:val="00256C74"/>
    <w:rsid w:val="00257F19"/>
    <w:rsid w:val="00263578"/>
    <w:rsid w:val="00263E7A"/>
    <w:rsid w:val="002641D6"/>
    <w:rsid w:val="00271183"/>
    <w:rsid w:val="00272B06"/>
    <w:rsid w:val="002745EF"/>
    <w:rsid w:val="0027469C"/>
    <w:rsid w:val="0027506E"/>
    <w:rsid w:val="00276538"/>
    <w:rsid w:val="002767F5"/>
    <w:rsid w:val="00277277"/>
    <w:rsid w:val="00281DB6"/>
    <w:rsid w:val="0028227E"/>
    <w:rsid w:val="00283062"/>
    <w:rsid w:val="00283318"/>
    <w:rsid w:val="00285021"/>
    <w:rsid w:val="002852E4"/>
    <w:rsid w:val="00285EF7"/>
    <w:rsid w:val="002875B9"/>
    <w:rsid w:val="00291748"/>
    <w:rsid w:val="00294F9F"/>
    <w:rsid w:val="00295ECE"/>
    <w:rsid w:val="002967C9"/>
    <w:rsid w:val="00296D83"/>
    <w:rsid w:val="00297529"/>
    <w:rsid w:val="00297F0A"/>
    <w:rsid w:val="002A30A9"/>
    <w:rsid w:val="002A35F0"/>
    <w:rsid w:val="002A3D87"/>
    <w:rsid w:val="002A6F85"/>
    <w:rsid w:val="002B1029"/>
    <w:rsid w:val="002B173C"/>
    <w:rsid w:val="002B2B43"/>
    <w:rsid w:val="002B2E46"/>
    <w:rsid w:val="002B4DF0"/>
    <w:rsid w:val="002B52EB"/>
    <w:rsid w:val="002B56B5"/>
    <w:rsid w:val="002B7802"/>
    <w:rsid w:val="002C18DD"/>
    <w:rsid w:val="002C3780"/>
    <w:rsid w:val="002C3C7B"/>
    <w:rsid w:val="002C4707"/>
    <w:rsid w:val="002C563E"/>
    <w:rsid w:val="002C5B89"/>
    <w:rsid w:val="002C6187"/>
    <w:rsid w:val="002C7AD4"/>
    <w:rsid w:val="002D1EFB"/>
    <w:rsid w:val="002D214F"/>
    <w:rsid w:val="002D3269"/>
    <w:rsid w:val="002D3AF8"/>
    <w:rsid w:val="002D5616"/>
    <w:rsid w:val="002D67F2"/>
    <w:rsid w:val="002E17EF"/>
    <w:rsid w:val="002E28D2"/>
    <w:rsid w:val="002E3359"/>
    <w:rsid w:val="002E4138"/>
    <w:rsid w:val="002E428D"/>
    <w:rsid w:val="002F0849"/>
    <w:rsid w:val="002F0A5E"/>
    <w:rsid w:val="002F12F0"/>
    <w:rsid w:val="002F3409"/>
    <w:rsid w:val="002F4FAC"/>
    <w:rsid w:val="002F5073"/>
    <w:rsid w:val="002F5827"/>
    <w:rsid w:val="003016C8"/>
    <w:rsid w:val="00301942"/>
    <w:rsid w:val="00303755"/>
    <w:rsid w:val="0030412E"/>
    <w:rsid w:val="00304713"/>
    <w:rsid w:val="00305415"/>
    <w:rsid w:val="00310377"/>
    <w:rsid w:val="003116F1"/>
    <w:rsid w:val="00311BA4"/>
    <w:rsid w:val="0031594B"/>
    <w:rsid w:val="003167D3"/>
    <w:rsid w:val="003169B1"/>
    <w:rsid w:val="003208D1"/>
    <w:rsid w:val="0032095F"/>
    <w:rsid w:val="00320FA2"/>
    <w:rsid w:val="00322F14"/>
    <w:rsid w:val="00323951"/>
    <w:rsid w:val="00325290"/>
    <w:rsid w:val="00330911"/>
    <w:rsid w:val="00331953"/>
    <w:rsid w:val="003334EF"/>
    <w:rsid w:val="00337F11"/>
    <w:rsid w:val="00343A73"/>
    <w:rsid w:val="0034651E"/>
    <w:rsid w:val="00347239"/>
    <w:rsid w:val="00350A1D"/>
    <w:rsid w:val="00351D40"/>
    <w:rsid w:val="00352A04"/>
    <w:rsid w:val="00354A38"/>
    <w:rsid w:val="0036385D"/>
    <w:rsid w:val="00364150"/>
    <w:rsid w:val="00367AD7"/>
    <w:rsid w:val="0037086C"/>
    <w:rsid w:val="003718E7"/>
    <w:rsid w:val="00371CF0"/>
    <w:rsid w:val="00373CF7"/>
    <w:rsid w:val="0037525F"/>
    <w:rsid w:val="00377462"/>
    <w:rsid w:val="0038107D"/>
    <w:rsid w:val="00383985"/>
    <w:rsid w:val="00384A2B"/>
    <w:rsid w:val="00384BE1"/>
    <w:rsid w:val="00385577"/>
    <w:rsid w:val="00385CC5"/>
    <w:rsid w:val="00387D2E"/>
    <w:rsid w:val="0039157D"/>
    <w:rsid w:val="003940D4"/>
    <w:rsid w:val="00397438"/>
    <w:rsid w:val="003A1C31"/>
    <w:rsid w:val="003A784B"/>
    <w:rsid w:val="003B116F"/>
    <w:rsid w:val="003B2106"/>
    <w:rsid w:val="003B3DCC"/>
    <w:rsid w:val="003B43FE"/>
    <w:rsid w:val="003B5DCD"/>
    <w:rsid w:val="003B6013"/>
    <w:rsid w:val="003B76A8"/>
    <w:rsid w:val="003C0773"/>
    <w:rsid w:val="003C101A"/>
    <w:rsid w:val="003D120E"/>
    <w:rsid w:val="003D1370"/>
    <w:rsid w:val="003D3A6D"/>
    <w:rsid w:val="003D49A0"/>
    <w:rsid w:val="003D60D7"/>
    <w:rsid w:val="003D7DC7"/>
    <w:rsid w:val="003E0439"/>
    <w:rsid w:val="003E27EF"/>
    <w:rsid w:val="003E3D74"/>
    <w:rsid w:val="003E5F12"/>
    <w:rsid w:val="003E7B22"/>
    <w:rsid w:val="003E7B6D"/>
    <w:rsid w:val="003F1EBD"/>
    <w:rsid w:val="003F2AF7"/>
    <w:rsid w:val="003F60CD"/>
    <w:rsid w:val="003F69C9"/>
    <w:rsid w:val="004003DC"/>
    <w:rsid w:val="00402417"/>
    <w:rsid w:val="00404FDE"/>
    <w:rsid w:val="00411A29"/>
    <w:rsid w:val="00412D75"/>
    <w:rsid w:val="00414DF2"/>
    <w:rsid w:val="0041512E"/>
    <w:rsid w:val="00417158"/>
    <w:rsid w:val="004247F2"/>
    <w:rsid w:val="00425CE2"/>
    <w:rsid w:val="0042648F"/>
    <w:rsid w:val="00427B49"/>
    <w:rsid w:val="00431489"/>
    <w:rsid w:val="00433600"/>
    <w:rsid w:val="0044182D"/>
    <w:rsid w:val="00444279"/>
    <w:rsid w:val="0044649A"/>
    <w:rsid w:val="00450EF7"/>
    <w:rsid w:val="00450EFB"/>
    <w:rsid w:val="0045292C"/>
    <w:rsid w:val="00452E69"/>
    <w:rsid w:val="0045374A"/>
    <w:rsid w:val="00454618"/>
    <w:rsid w:val="00455FBA"/>
    <w:rsid w:val="00456B4B"/>
    <w:rsid w:val="00460282"/>
    <w:rsid w:val="00460AA3"/>
    <w:rsid w:val="0046346E"/>
    <w:rsid w:val="004638C4"/>
    <w:rsid w:val="00464945"/>
    <w:rsid w:val="004654B1"/>
    <w:rsid w:val="0047011E"/>
    <w:rsid w:val="00470C85"/>
    <w:rsid w:val="00472360"/>
    <w:rsid w:val="0047481A"/>
    <w:rsid w:val="00475305"/>
    <w:rsid w:val="00475E3B"/>
    <w:rsid w:val="00482548"/>
    <w:rsid w:val="00484A07"/>
    <w:rsid w:val="00485C47"/>
    <w:rsid w:val="00486093"/>
    <w:rsid w:val="00487E66"/>
    <w:rsid w:val="00487FB7"/>
    <w:rsid w:val="00490B14"/>
    <w:rsid w:val="004916AA"/>
    <w:rsid w:val="00491D06"/>
    <w:rsid w:val="004941C8"/>
    <w:rsid w:val="004945ED"/>
    <w:rsid w:val="00496E1F"/>
    <w:rsid w:val="004A0156"/>
    <w:rsid w:val="004A07FD"/>
    <w:rsid w:val="004A1C50"/>
    <w:rsid w:val="004A2693"/>
    <w:rsid w:val="004A5BC2"/>
    <w:rsid w:val="004A5D8C"/>
    <w:rsid w:val="004B18EC"/>
    <w:rsid w:val="004B2B2B"/>
    <w:rsid w:val="004B7F65"/>
    <w:rsid w:val="004C0709"/>
    <w:rsid w:val="004C4D21"/>
    <w:rsid w:val="004C529D"/>
    <w:rsid w:val="004D1EEC"/>
    <w:rsid w:val="004D38B9"/>
    <w:rsid w:val="004D6A3F"/>
    <w:rsid w:val="004D7CE9"/>
    <w:rsid w:val="004E1522"/>
    <w:rsid w:val="004E1585"/>
    <w:rsid w:val="004E19AA"/>
    <w:rsid w:val="004E2261"/>
    <w:rsid w:val="004E3D1E"/>
    <w:rsid w:val="004E4834"/>
    <w:rsid w:val="004E4F6F"/>
    <w:rsid w:val="004F1E9F"/>
    <w:rsid w:val="004F46A4"/>
    <w:rsid w:val="004F5F77"/>
    <w:rsid w:val="004F62EE"/>
    <w:rsid w:val="004F7187"/>
    <w:rsid w:val="004F7239"/>
    <w:rsid w:val="00506EDB"/>
    <w:rsid w:val="0051116F"/>
    <w:rsid w:val="0051197D"/>
    <w:rsid w:val="00511FD5"/>
    <w:rsid w:val="00512D49"/>
    <w:rsid w:val="0051742C"/>
    <w:rsid w:val="00520FB4"/>
    <w:rsid w:val="005245EC"/>
    <w:rsid w:val="005260AF"/>
    <w:rsid w:val="00526F67"/>
    <w:rsid w:val="005344D8"/>
    <w:rsid w:val="005347EA"/>
    <w:rsid w:val="005350D7"/>
    <w:rsid w:val="0053770A"/>
    <w:rsid w:val="00537942"/>
    <w:rsid w:val="00541E22"/>
    <w:rsid w:val="0054395D"/>
    <w:rsid w:val="00543F7A"/>
    <w:rsid w:val="0054443E"/>
    <w:rsid w:val="00555B8E"/>
    <w:rsid w:val="00556402"/>
    <w:rsid w:val="0055663C"/>
    <w:rsid w:val="0055729A"/>
    <w:rsid w:val="00560745"/>
    <w:rsid w:val="00561AC8"/>
    <w:rsid w:val="00561D96"/>
    <w:rsid w:val="00563094"/>
    <w:rsid w:val="00563B8E"/>
    <w:rsid w:val="00564A94"/>
    <w:rsid w:val="005658BE"/>
    <w:rsid w:val="00565D7F"/>
    <w:rsid w:val="00566EDF"/>
    <w:rsid w:val="005709A3"/>
    <w:rsid w:val="00571DC8"/>
    <w:rsid w:val="00572976"/>
    <w:rsid w:val="00575807"/>
    <w:rsid w:val="00577027"/>
    <w:rsid w:val="00580018"/>
    <w:rsid w:val="005805E8"/>
    <w:rsid w:val="005819A6"/>
    <w:rsid w:val="00586168"/>
    <w:rsid w:val="005867EF"/>
    <w:rsid w:val="005878DC"/>
    <w:rsid w:val="00594149"/>
    <w:rsid w:val="005941D7"/>
    <w:rsid w:val="0059449D"/>
    <w:rsid w:val="005961F5"/>
    <w:rsid w:val="005A1E64"/>
    <w:rsid w:val="005A203C"/>
    <w:rsid w:val="005A2950"/>
    <w:rsid w:val="005A40FB"/>
    <w:rsid w:val="005A4E7B"/>
    <w:rsid w:val="005A556D"/>
    <w:rsid w:val="005A5E97"/>
    <w:rsid w:val="005B12D6"/>
    <w:rsid w:val="005B1DA3"/>
    <w:rsid w:val="005B2C9D"/>
    <w:rsid w:val="005B3CB7"/>
    <w:rsid w:val="005B4D4D"/>
    <w:rsid w:val="005B7F4B"/>
    <w:rsid w:val="005C2ADC"/>
    <w:rsid w:val="005C3609"/>
    <w:rsid w:val="005C5C04"/>
    <w:rsid w:val="005C6920"/>
    <w:rsid w:val="005D209A"/>
    <w:rsid w:val="005D2791"/>
    <w:rsid w:val="005D4645"/>
    <w:rsid w:val="005D5DBB"/>
    <w:rsid w:val="005D697C"/>
    <w:rsid w:val="005D6E86"/>
    <w:rsid w:val="005E0BDF"/>
    <w:rsid w:val="005E21C3"/>
    <w:rsid w:val="005E31C2"/>
    <w:rsid w:val="005E41EC"/>
    <w:rsid w:val="005F021B"/>
    <w:rsid w:val="005F6F0B"/>
    <w:rsid w:val="005F714E"/>
    <w:rsid w:val="005F74F0"/>
    <w:rsid w:val="00600409"/>
    <w:rsid w:val="006008BA"/>
    <w:rsid w:val="00600B08"/>
    <w:rsid w:val="00600C0E"/>
    <w:rsid w:val="00603D58"/>
    <w:rsid w:val="00605695"/>
    <w:rsid w:val="006056EA"/>
    <w:rsid w:val="00605DF1"/>
    <w:rsid w:val="00606FEE"/>
    <w:rsid w:val="006070DA"/>
    <w:rsid w:val="0060722C"/>
    <w:rsid w:val="0061144B"/>
    <w:rsid w:val="0061319D"/>
    <w:rsid w:val="00613522"/>
    <w:rsid w:val="00615671"/>
    <w:rsid w:val="006162C9"/>
    <w:rsid w:val="00617487"/>
    <w:rsid w:val="00620081"/>
    <w:rsid w:val="00620161"/>
    <w:rsid w:val="0062061E"/>
    <w:rsid w:val="00620640"/>
    <w:rsid w:val="00620CEF"/>
    <w:rsid w:val="006214D0"/>
    <w:rsid w:val="00622B4F"/>
    <w:rsid w:val="0062365F"/>
    <w:rsid w:val="0062372E"/>
    <w:rsid w:val="00625763"/>
    <w:rsid w:val="006258BF"/>
    <w:rsid w:val="0062676F"/>
    <w:rsid w:val="00627515"/>
    <w:rsid w:val="006330E5"/>
    <w:rsid w:val="00634422"/>
    <w:rsid w:val="00635353"/>
    <w:rsid w:val="006358BF"/>
    <w:rsid w:val="00642BE5"/>
    <w:rsid w:val="006432D1"/>
    <w:rsid w:val="00644202"/>
    <w:rsid w:val="00646431"/>
    <w:rsid w:val="00653F1A"/>
    <w:rsid w:val="00661584"/>
    <w:rsid w:val="006623C1"/>
    <w:rsid w:val="0066277F"/>
    <w:rsid w:val="00663972"/>
    <w:rsid w:val="00664CA2"/>
    <w:rsid w:val="00665792"/>
    <w:rsid w:val="00670541"/>
    <w:rsid w:val="00671042"/>
    <w:rsid w:val="006726EA"/>
    <w:rsid w:val="00674308"/>
    <w:rsid w:val="0067741C"/>
    <w:rsid w:val="00677E50"/>
    <w:rsid w:val="006805A6"/>
    <w:rsid w:val="006806FE"/>
    <w:rsid w:val="00680E90"/>
    <w:rsid w:val="00685C56"/>
    <w:rsid w:val="0069264F"/>
    <w:rsid w:val="00692957"/>
    <w:rsid w:val="00692D96"/>
    <w:rsid w:val="006943A7"/>
    <w:rsid w:val="00694430"/>
    <w:rsid w:val="00694E1C"/>
    <w:rsid w:val="0069585C"/>
    <w:rsid w:val="00695CD3"/>
    <w:rsid w:val="006A03F9"/>
    <w:rsid w:val="006A1BEE"/>
    <w:rsid w:val="006A3A8E"/>
    <w:rsid w:val="006A5117"/>
    <w:rsid w:val="006A7576"/>
    <w:rsid w:val="006B09F2"/>
    <w:rsid w:val="006B30DF"/>
    <w:rsid w:val="006B4AB8"/>
    <w:rsid w:val="006B4B08"/>
    <w:rsid w:val="006B577E"/>
    <w:rsid w:val="006C1584"/>
    <w:rsid w:val="006C2219"/>
    <w:rsid w:val="006C22A6"/>
    <w:rsid w:val="006C4063"/>
    <w:rsid w:val="006C5C0D"/>
    <w:rsid w:val="006C7089"/>
    <w:rsid w:val="006D0F26"/>
    <w:rsid w:val="006D29B8"/>
    <w:rsid w:val="006D2C5B"/>
    <w:rsid w:val="006D5EDD"/>
    <w:rsid w:val="006E0981"/>
    <w:rsid w:val="006E1451"/>
    <w:rsid w:val="006E33EA"/>
    <w:rsid w:val="006E3B55"/>
    <w:rsid w:val="006E7569"/>
    <w:rsid w:val="006E78D8"/>
    <w:rsid w:val="006F04D4"/>
    <w:rsid w:val="006F11AC"/>
    <w:rsid w:val="006F4321"/>
    <w:rsid w:val="006F43AB"/>
    <w:rsid w:val="006F4455"/>
    <w:rsid w:val="006F5F85"/>
    <w:rsid w:val="007013C6"/>
    <w:rsid w:val="007016B6"/>
    <w:rsid w:val="0070272C"/>
    <w:rsid w:val="00703D34"/>
    <w:rsid w:val="00703E56"/>
    <w:rsid w:val="00704ADF"/>
    <w:rsid w:val="0070551B"/>
    <w:rsid w:val="007060C8"/>
    <w:rsid w:val="007066AA"/>
    <w:rsid w:val="00707705"/>
    <w:rsid w:val="00710621"/>
    <w:rsid w:val="007111E5"/>
    <w:rsid w:val="007162C6"/>
    <w:rsid w:val="00716F84"/>
    <w:rsid w:val="007175FE"/>
    <w:rsid w:val="007214BA"/>
    <w:rsid w:val="007217FC"/>
    <w:rsid w:val="00722C55"/>
    <w:rsid w:val="00724F63"/>
    <w:rsid w:val="00726E80"/>
    <w:rsid w:val="007338B7"/>
    <w:rsid w:val="00735EB0"/>
    <w:rsid w:val="00736E1A"/>
    <w:rsid w:val="0073760F"/>
    <w:rsid w:val="0073775D"/>
    <w:rsid w:val="00742C82"/>
    <w:rsid w:val="00742E08"/>
    <w:rsid w:val="0074341C"/>
    <w:rsid w:val="007512CF"/>
    <w:rsid w:val="00752C6A"/>
    <w:rsid w:val="00753323"/>
    <w:rsid w:val="00756869"/>
    <w:rsid w:val="00757EEA"/>
    <w:rsid w:val="00760540"/>
    <w:rsid w:val="007622B9"/>
    <w:rsid w:val="0077151A"/>
    <w:rsid w:val="00771B67"/>
    <w:rsid w:val="00772FC8"/>
    <w:rsid w:val="00773B85"/>
    <w:rsid w:val="00774F6E"/>
    <w:rsid w:val="007802FB"/>
    <w:rsid w:val="00780707"/>
    <w:rsid w:val="00781A2C"/>
    <w:rsid w:val="00781DF0"/>
    <w:rsid w:val="00782171"/>
    <w:rsid w:val="00782787"/>
    <w:rsid w:val="00784E82"/>
    <w:rsid w:val="007865D8"/>
    <w:rsid w:val="00793984"/>
    <w:rsid w:val="00793A6C"/>
    <w:rsid w:val="00793E8D"/>
    <w:rsid w:val="00795510"/>
    <w:rsid w:val="007957A3"/>
    <w:rsid w:val="007A0C64"/>
    <w:rsid w:val="007A30E0"/>
    <w:rsid w:val="007B0211"/>
    <w:rsid w:val="007B13F5"/>
    <w:rsid w:val="007B1E13"/>
    <w:rsid w:val="007B203C"/>
    <w:rsid w:val="007B2ADB"/>
    <w:rsid w:val="007B2B67"/>
    <w:rsid w:val="007B4B54"/>
    <w:rsid w:val="007B79E9"/>
    <w:rsid w:val="007C0ED5"/>
    <w:rsid w:val="007C1AD7"/>
    <w:rsid w:val="007C1B9B"/>
    <w:rsid w:val="007C1C92"/>
    <w:rsid w:val="007C5403"/>
    <w:rsid w:val="007C6459"/>
    <w:rsid w:val="007D0027"/>
    <w:rsid w:val="007D038C"/>
    <w:rsid w:val="007D1C99"/>
    <w:rsid w:val="007D5E8B"/>
    <w:rsid w:val="007D5FDC"/>
    <w:rsid w:val="007E1D22"/>
    <w:rsid w:val="007E20E3"/>
    <w:rsid w:val="007E378B"/>
    <w:rsid w:val="007E40D6"/>
    <w:rsid w:val="007E6255"/>
    <w:rsid w:val="007F03BA"/>
    <w:rsid w:val="007F2BB1"/>
    <w:rsid w:val="007F31B4"/>
    <w:rsid w:val="007F59B1"/>
    <w:rsid w:val="00802F3E"/>
    <w:rsid w:val="00805291"/>
    <w:rsid w:val="00805EAB"/>
    <w:rsid w:val="00811163"/>
    <w:rsid w:val="0081154B"/>
    <w:rsid w:val="008137C4"/>
    <w:rsid w:val="00813A4C"/>
    <w:rsid w:val="00815859"/>
    <w:rsid w:val="00817785"/>
    <w:rsid w:val="00817787"/>
    <w:rsid w:val="00820F71"/>
    <w:rsid w:val="008221A9"/>
    <w:rsid w:val="008226BE"/>
    <w:rsid w:val="00823B6A"/>
    <w:rsid w:val="0082410A"/>
    <w:rsid w:val="00825169"/>
    <w:rsid w:val="008263B5"/>
    <w:rsid w:val="0082652E"/>
    <w:rsid w:val="008329C9"/>
    <w:rsid w:val="0083621C"/>
    <w:rsid w:val="00837011"/>
    <w:rsid w:val="0083724A"/>
    <w:rsid w:val="00841EED"/>
    <w:rsid w:val="0084282E"/>
    <w:rsid w:val="00843940"/>
    <w:rsid w:val="00843A8A"/>
    <w:rsid w:val="008442C7"/>
    <w:rsid w:val="00844DFA"/>
    <w:rsid w:val="0084581E"/>
    <w:rsid w:val="00845A74"/>
    <w:rsid w:val="00846BE6"/>
    <w:rsid w:val="0085020C"/>
    <w:rsid w:val="00850892"/>
    <w:rsid w:val="008515D1"/>
    <w:rsid w:val="00851801"/>
    <w:rsid w:val="0085330E"/>
    <w:rsid w:val="00854B5D"/>
    <w:rsid w:val="00862063"/>
    <w:rsid w:val="00862246"/>
    <w:rsid w:val="0086527D"/>
    <w:rsid w:val="00876135"/>
    <w:rsid w:val="00876420"/>
    <w:rsid w:val="00877A58"/>
    <w:rsid w:val="00881CC4"/>
    <w:rsid w:val="008825B8"/>
    <w:rsid w:val="008913DF"/>
    <w:rsid w:val="00891738"/>
    <w:rsid w:val="00892E74"/>
    <w:rsid w:val="008939A4"/>
    <w:rsid w:val="008939E3"/>
    <w:rsid w:val="00893F8F"/>
    <w:rsid w:val="008953D5"/>
    <w:rsid w:val="00895533"/>
    <w:rsid w:val="0089620A"/>
    <w:rsid w:val="008963B6"/>
    <w:rsid w:val="008964C0"/>
    <w:rsid w:val="008971F1"/>
    <w:rsid w:val="008976C8"/>
    <w:rsid w:val="008A0398"/>
    <w:rsid w:val="008A0E4B"/>
    <w:rsid w:val="008A3DB5"/>
    <w:rsid w:val="008A4A52"/>
    <w:rsid w:val="008A62B9"/>
    <w:rsid w:val="008B08BE"/>
    <w:rsid w:val="008B1965"/>
    <w:rsid w:val="008B341D"/>
    <w:rsid w:val="008B3500"/>
    <w:rsid w:val="008B4BD2"/>
    <w:rsid w:val="008B6103"/>
    <w:rsid w:val="008B71BE"/>
    <w:rsid w:val="008C0146"/>
    <w:rsid w:val="008C016B"/>
    <w:rsid w:val="008C03F3"/>
    <w:rsid w:val="008C1412"/>
    <w:rsid w:val="008C3029"/>
    <w:rsid w:val="008C30CB"/>
    <w:rsid w:val="008C42FA"/>
    <w:rsid w:val="008C6937"/>
    <w:rsid w:val="008C73C3"/>
    <w:rsid w:val="008C7DFB"/>
    <w:rsid w:val="008D2EE0"/>
    <w:rsid w:val="008D424C"/>
    <w:rsid w:val="008D4BEA"/>
    <w:rsid w:val="008D4C73"/>
    <w:rsid w:val="008D6787"/>
    <w:rsid w:val="008E1B6F"/>
    <w:rsid w:val="008E2194"/>
    <w:rsid w:val="008E45E3"/>
    <w:rsid w:val="008E6558"/>
    <w:rsid w:val="008F097D"/>
    <w:rsid w:val="008F46CC"/>
    <w:rsid w:val="008F4CB3"/>
    <w:rsid w:val="008F7E77"/>
    <w:rsid w:val="008F7E9C"/>
    <w:rsid w:val="00900C6A"/>
    <w:rsid w:val="00901756"/>
    <w:rsid w:val="00901CD7"/>
    <w:rsid w:val="00903297"/>
    <w:rsid w:val="0090351C"/>
    <w:rsid w:val="00904BE3"/>
    <w:rsid w:val="00904F58"/>
    <w:rsid w:val="00906288"/>
    <w:rsid w:val="009066A3"/>
    <w:rsid w:val="00910467"/>
    <w:rsid w:val="00911B71"/>
    <w:rsid w:val="0091514B"/>
    <w:rsid w:val="009164E0"/>
    <w:rsid w:val="009206E4"/>
    <w:rsid w:val="00921490"/>
    <w:rsid w:val="0092178C"/>
    <w:rsid w:val="009217B9"/>
    <w:rsid w:val="00921CE3"/>
    <w:rsid w:val="0092486A"/>
    <w:rsid w:val="00924D0A"/>
    <w:rsid w:val="009250C9"/>
    <w:rsid w:val="0092648D"/>
    <w:rsid w:val="009267CA"/>
    <w:rsid w:val="0092701F"/>
    <w:rsid w:val="00927EFB"/>
    <w:rsid w:val="00931762"/>
    <w:rsid w:val="00933855"/>
    <w:rsid w:val="009344E6"/>
    <w:rsid w:val="00936586"/>
    <w:rsid w:val="00936C77"/>
    <w:rsid w:val="009377FA"/>
    <w:rsid w:val="0094070A"/>
    <w:rsid w:val="00940C21"/>
    <w:rsid w:val="00940CB5"/>
    <w:rsid w:val="00941181"/>
    <w:rsid w:val="00941255"/>
    <w:rsid w:val="0094242E"/>
    <w:rsid w:val="009460B4"/>
    <w:rsid w:val="009461AE"/>
    <w:rsid w:val="00946EBF"/>
    <w:rsid w:val="00946FC7"/>
    <w:rsid w:val="00952FAE"/>
    <w:rsid w:val="00957AD9"/>
    <w:rsid w:val="00957C96"/>
    <w:rsid w:val="0096333D"/>
    <w:rsid w:val="0096430A"/>
    <w:rsid w:val="009663C2"/>
    <w:rsid w:val="00967F07"/>
    <w:rsid w:val="009715DF"/>
    <w:rsid w:val="00971BDF"/>
    <w:rsid w:val="00975D67"/>
    <w:rsid w:val="009762F5"/>
    <w:rsid w:val="00977F11"/>
    <w:rsid w:val="0098296E"/>
    <w:rsid w:val="009859C4"/>
    <w:rsid w:val="0099059D"/>
    <w:rsid w:val="009921CA"/>
    <w:rsid w:val="00993E17"/>
    <w:rsid w:val="009956A6"/>
    <w:rsid w:val="00995AA3"/>
    <w:rsid w:val="009969B5"/>
    <w:rsid w:val="00996C25"/>
    <w:rsid w:val="009973BC"/>
    <w:rsid w:val="009A24CE"/>
    <w:rsid w:val="009A27CA"/>
    <w:rsid w:val="009A3C8F"/>
    <w:rsid w:val="009A6A99"/>
    <w:rsid w:val="009A7426"/>
    <w:rsid w:val="009B021C"/>
    <w:rsid w:val="009B4610"/>
    <w:rsid w:val="009B4EDB"/>
    <w:rsid w:val="009B7914"/>
    <w:rsid w:val="009C077F"/>
    <w:rsid w:val="009C08E0"/>
    <w:rsid w:val="009C1E94"/>
    <w:rsid w:val="009C2E21"/>
    <w:rsid w:val="009C2EC8"/>
    <w:rsid w:val="009C33AF"/>
    <w:rsid w:val="009D03A2"/>
    <w:rsid w:val="009D03F0"/>
    <w:rsid w:val="009D1613"/>
    <w:rsid w:val="009D4A95"/>
    <w:rsid w:val="009D5F6A"/>
    <w:rsid w:val="009D729C"/>
    <w:rsid w:val="009D7349"/>
    <w:rsid w:val="009E0DCC"/>
    <w:rsid w:val="009E1461"/>
    <w:rsid w:val="009E193A"/>
    <w:rsid w:val="009F0B8C"/>
    <w:rsid w:val="009F4797"/>
    <w:rsid w:val="009F4B12"/>
    <w:rsid w:val="009F5A93"/>
    <w:rsid w:val="009F7472"/>
    <w:rsid w:val="00A00F05"/>
    <w:rsid w:val="00A01B86"/>
    <w:rsid w:val="00A04851"/>
    <w:rsid w:val="00A05EDA"/>
    <w:rsid w:val="00A119E8"/>
    <w:rsid w:val="00A1463A"/>
    <w:rsid w:val="00A1626E"/>
    <w:rsid w:val="00A202B7"/>
    <w:rsid w:val="00A215D8"/>
    <w:rsid w:val="00A246AC"/>
    <w:rsid w:val="00A25891"/>
    <w:rsid w:val="00A25AA6"/>
    <w:rsid w:val="00A25DFF"/>
    <w:rsid w:val="00A302A5"/>
    <w:rsid w:val="00A31C98"/>
    <w:rsid w:val="00A32794"/>
    <w:rsid w:val="00A339E5"/>
    <w:rsid w:val="00A34F4F"/>
    <w:rsid w:val="00A35084"/>
    <w:rsid w:val="00A37896"/>
    <w:rsid w:val="00A41C7E"/>
    <w:rsid w:val="00A42240"/>
    <w:rsid w:val="00A45260"/>
    <w:rsid w:val="00A46215"/>
    <w:rsid w:val="00A46C6E"/>
    <w:rsid w:val="00A50B79"/>
    <w:rsid w:val="00A5225E"/>
    <w:rsid w:val="00A534C2"/>
    <w:rsid w:val="00A621FA"/>
    <w:rsid w:val="00A63B3E"/>
    <w:rsid w:val="00A66530"/>
    <w:rsid w:val="00A710A0"/>
    <w:rsid w:val="00A71DFA"/>
    <w:rsid w:val="00A72D79"/>
    <w:rsid w:val="00A760FC"/>
    <w:rsid w:val="00A761E5"/>
    <w:rsid w:val="00A76AA2"/>
    <w:rsid w:val="00A76E3A"/>
    <w:rsid w:val="00A80A30"/>
    <w:rsid w:val="00A821CA"/>
    <w:rsid w:val="00A8301E"/>
    <w:rsid w:val="00A84116"/>
    <w:rsid w:val="00A90258"/>
    <w:rsid w:val="00A90FCD"/>
    <w:rsid w:val="00A926F8"/>
    <w:rsid w:val="00A93D26"/>
    <w:rsid w:val="00A93E0E"/>
    <w:rsid w:val="00A94595"/>
    <w:rsid w:val="00A95D19"/>
    <w:rsid w:val="00AA072E"/>
    <w:rsid w:val="00AA117F"/>
    <w:rsid w:val="00AA1FE9"/>
    <w:rsid w:val="00AA2D89"/>
    <w:rsid w:val="00AA5F25"/>
    <w:rsid w:val="00AA696C"/>
    <w:rsid w:val="00AA754F"/>
    <w:rsid w:val="00AA7729"/>
    <w:rsid w:val="00AB04AE"/>
    <w:rsid w:val="00AB058B"/>
    <w:rsid w:val="00AB1629"/>
    <w:rsid w:val="00AB269D"/>
    <w:rsid w:val="00AB2960"/>
    <w:rsid w:val="00AB2C4C"/>
    <w:rsid w:val="00AB30F4"/>
    <w:rsid w:val="00AB40E2"/>
    <w:rsid w:val="00AB5495"/>
    <w:rsid w:val="00AB7CFE"/>
    <w:rsid w:val="00AC1431"/>
    <w:rsid w:val="00AC17BF"/>
    <w:rsid w:val="00AC4F2D"/>
    <w:rsid w:val="00AC5083"/>
    <w:rsid w:val="00AC6C46"/>
    <w:rsid w:val="00AD0E18"/>
    <w:rsid w:val="00AD1729"/>
    <w:rsid w:val="00AD1CBF"/>
    <w:rsid w:val="00AD3DA0"/>
    <w:rsid w:val="00AD4510"/>
    <w:rsid w:val="00AD53A4"/>
    <w:rsid w:val="00AD7834"/>
    <w:rsid w:val="00AD7B92"/>
    <w:rsid w:val="00AE0068"/>
    <w:rsid w:val="00AE0C07"/>
    <w:rsid w:val="00AE10D1"/>
    <w:rsid w:val="00AE246B"/>
    <w:rsid w:val="00AE4431"/>
    <w:rsid w:val="00AE53C6"/>
    <w:rsid w:val="00AE66C4"/>
    <w:rsid w:val="00AF0EA0"/>
    <w:rsid w:val="00AF5AB5"/>
    <w:rsid w:val="00AF6A63"/>
    <w:rsid w:val="00B019A2"/>
    <w:rsid w:val="00B01D0A"/>
    <w:rsid w:val="00B03663"/>
    <w:rsid w:val="00B0522D"/>
    <w:rsid w:val="00B06227"/>
    <w:rsid w:val="00B11819"/>
    <w:rsid w:val="00B135F9"/>
    <w:rsid w:val="00B14107"/>
    <w:rsid w:val="00B14F67"/>
    <w:rsid w:val="00B23093"/>
    <w:rsid w:val="00B23290"/>
    <w:rsid w:val="00B24C11"/>
    <w:rsid w:val="00B24F68"/>
    <w:rsid w:val="00B25BE7"/>
    <w:rsid w:val="00B33EEF"/>
    <w:rsid w:val="00B34DFA"/>
    <w:rsid w:val="00B37EEF"/>
    <w:rsid w:val="00B4103D"/>
    <w:rsid w:val="00B41F5E"/>
    <w:rsid w:val="00B501FE"/>
    <w:rsid w:val="00B510A4"/>
    <w:rsid w:val="00B510C3"/>
    <w:rsid w:val="00B52363"/>
    <w:rsid w:val="00B53027"/>
    <w:rsid w:val="00B558B1"/>
    <w:rsid w:val="00B60427"/>
    <w:rsid w:val="00B61F43"/>
    <w:rsid w:val="00B6523E"/>
    <w:rsid w:val="00B6667D"/>
    <w:rsid w:val="00B70391"/>
    <w:rsid w:val="00B70EEF"/>
    <w:rsid w:val="00B72B92"/>
    <w:rsid w:val="00B744B6"/>
    <w:rsid w:val="00B74551"/>
    <w:rsid w:val="00B74A21"/>
    <w:rsid w:val="00B75CBC"/>
    <w:rsid w:val="00B76F83"/>
    <w:rsid w:val="00B7716A"/>
    <w:rsid w:val="00B805CE"/>
    <w:rsid w:val="00B80E6F"/>
    <w:rsid w:val="00B81051"/>
    <w:rsid w:val="00B8184B"/>
    <w:rsid w:val="00B827DF"/>
    <w:rsid w:val="00B830B9"/>
    <w:rsid w:val="00B840FC"/>
    <w:rsid w:val="00B84BC9"/>
    <w:rsid w:val="00B864BA"/>
    <w:rsid w:val="00B911AE"/>
    <w:rsid w:val="00B91679"/>
    <w:rsid w:val="00B91FB5"/>
    <w:rsid w:val="00B93250"/>
    <w:rsid w:val="00B939B0"/>
    <w:rsid w:val="00B9436D"/>
    <w:rsid w:val="00B9763F"/>
    <w:rsid w:val="00B97CC8"/>
    <w:rsid w:val="00BA112A"/>
    <w:rsid w:val="00BA1A6B"/>
    <w:rsid w:val="00BA27DA"/>
    <w:rsid w:val="00BA282F"/>
    <w:rsid w:val="00BA322E"/>
    <w:rsid w:val="00BA4315"/>
    <w:rsid w:val="00BA4B63"/>
    <w:rsid w:val="00BA4FB3"/>
    <w:rsid w:val="00BA7B1F"/>
    <w:rsid w:val="00BB18CB"/>
    <w:rsid w:val="00BB78DC"/>
    <w:rsid w:val="00BB7BBE"/>
    <w:rsid w:val="00BC0A5C"/>
    <w:rsid w:val="00BC1E28"/>
    <w:rsid w:val="00BC4AC7"/>
    <w:rsid w:val="00BC6ADE"/>
    <w:rsid w:val="00BC6C82"/>
    <w:rsid w:val="00BC7126"/>
    <w:rsid w:val="00BD324B"/>
    <w:rsid w:val="00BD4A86"/>
    <w:rsid w:val="00BE176B"/>
    <w:rsid w:val="00BE2D55"/>
    <w:rsid w:val="00BE3B96"/>
    <w:rsid w:val="00BE3E00"/>
    <w:rsid w:val="00BE575A"/>
    <w:rsid w:val="00BE6137"/>
    <w:rsid w:val="00BE641D"/>
    <w:rsid w:val="00BE6F19"/>
    <w:rsid w:val="00BE71FF"/>
    <w:rsid w:val="00BE7343"/>
    <w:rsid w:val="00BF304F"/>
    <w:rsid w:val="00BF3A48"/>
    <w:rsid w:val="00BF4B3F"/>
    <w:rsid w:val="00BF67A9"/>
    <w:rsid w:val="00BF6956"/>
    <w:rsid w:val="00BF6B5E"/>
    <w:rsid w:val="00C0284E"/>
    <w:rsid w:val="00C03B95"/>
    <w:rsid w:val="00C0400C"/>
    <w:rsid w:val="00C041DD"/>
    <w:rsid w:val="00C04C13"/>
    <w:rsid w:val="00C0632D"/>
    <w:rsid w:val="00C06B22"/>
    <w:rsid w:val="00C06F3F"/>
    <w:rsid w:val="00C101DF"/>
    <w:rsid w:val="00C14273"/>
    <w:rsid w:val="00C149DF"/>
    <w:rsid w:val="00C177FE"/>
    <w:rsid w:val="00C22132"/>
    <w:rsid w:val="00C228C2"/>
    <w:rsid w:val="00C235DA"/>
    <w:rsid w:val="00C245D2"/>
    <w:rsid w:val="00C264FC"/>
    <w:rsid w:val="00C30FF2"/>
    <w:rsid w:val="00C3549D"/>
    <w:rsid w:val="00C43D23"/>
    <w:rsid w:val="00C46BA6"/>
    <w:rsid w:val="00C5523D"/>
    <w:rsid w:val="00C57639"/>
    <w:rsid w:val="00C576BB"/>
    <w:rsid w:val="00C602CF"/>
    <w:rsid w:val="00C64368"/>
    <w:rsid w:val="00C64666"/>
    <w:rsid w:val="00C657B6"/>
    <w:rsid w:val="00C66AFE"/>
    <w:rsid w:val="00C70B71"/>
    <w:rsid w:val="00C71C0C"/>
    <w:rsid w:val="00C71E61"/>
    <w:rsid w:val="00C7467B"/>
    <w:rsid w:val="00C75F7E"/>
    <w:rsid w:val="00C7605A"/>
    <w:rsid w:val="00C82C74"/>
    <w:rsid w:val="00C830C7"/>
    <w:rsid w:val="00C83237"/>
    <w:rsid w:val="00C837D5"/>
    <w:rsid w:val="00C84C23"/>
    <w:rsid w:val="00C857A4"/>
    <w:rsid w:val="00C8693A"/>
    <w:rsid w:val="00C9439F"/>
    <w:rsid w:val="00C9565C"/>
    <w:rsid w:val="00C95BC1"/>
    <w:rsid w:val="00C95BEA"/>
    <w:rsid w:val="00C97C94"/>
    <w:rsid w:val="00CA02B6"/>
    <w:rsid w:val="00CA0B0B"/>
    <w:rsid w:val="00CA2253"/>
    <w:rsid w:val="00CA508A"/>
    <w:rsid w:val="00CA5A13"/>
    <w:rsid w:val="00CA72EA"/>
    <w:rsid w:val="00CB159D"/>
    <w:rsid w:val="00CB39B8"/>
    <w:rsid w:val="00CB3A76"/>
    <w:rsid w:val="00CB4099"/>
    <w:rsid w:val="00CB4D46"/>
    <w:rsid w:val="00CB60AD"/>
    <w:rsid w:val="00CC22CB"/>
    <w:rsid w:val="00CC35E6"/>
    <w:rsid w:val="00CC4D19"/>
    <w:rsid w:val="00CC5600"/>
    <w:rsid w:val="00CC5B4E"/>
    <w:rsid w:val="00CC78E8"/>
    <w:rsid w:val="00CD1BF0"/>
    <w:rsid w:val="00CD1F02"/>
    <w:rsid w:val="00CD34AD"/>
    <w:rsid w:val="00CD5C08"/>
    <w:rsid w:val="00CD6187"/>
    <w:rsid w:val="00CD6B58"/>
    <w:rsid w:val="00CD76E9"/>
    <w:rsid w:val="00CD7B5F"/>
    <w:rsid w:val="00CE0379"/>
    <w:rsid w:val="00CE04E7"/>
    <w:rsid w:val="00CE24B8"/>
    <w:rsid w:val="00CE39CB"/>
    <w:rsid w:val="00CE3EB9"/>
    <w:rsid w:val="00CE5476"/>
    <w:rsid w:val="00CE5CAC"/>
    <w:rsid w:val="00CE677A"/>
    <w:rsid w:val="00CE7428"/>
    <w:rsid w:val="00CF0990"/>
    <w:rsid w:val="00CF3DB8"/>
    <w:rsid w:val="00CF4EC6"/>
    <w:rsid w:val="00CF52C0"/>
    <w:rsid w:val="00CF5D0C"/>
    <w:rsid w:val="00CF6CE0"/>
    <w:rsid w:val="00CF7A77"/>
    <w:rsid w:val="00D02654"/>
    <w:rsid w:val="00D02D50"/>
    <w:rsid w:val="00D0457D"/>
    <w:rsid w:val="00D05893"/>
    <w:rsid w:val="00D10001"/>
    <w:rsid w:val="00D1511F"/>
    <w:rsid w:val="00D16E66"/>
    <w:rsid w:val="00D21090"/>
    <w:rsid w:val="00D264F1"/>
    <w:rsid w:val="00D2709B"/>
    <w:rsid w:val="00D302BE"/>
    <w:rsid w:val="00D31EF1"/>
    <w:rsid w:val="00D334FC"/>
    <w:rsid w:val="00D33744"/>
    <w:rsid w:val="00D34949"/>
    <w:rsid w:val="00D34F7C"/>
    <w:rsid w:val="00D3532C"/>
    <w:rsid w:val="00D359FC"/>
    <w:rsid w:val="00D40B0E"/>
    <w:rsid w:val="00D40D4F"/>
    <w:rsid w:val="00D417FA"/>
    <w:rsid w:val="00D42551"/>
    <w:rsid w:val="00D43A32"/>
    <w:rsid w:val="00D43E4B"/>
    <w:rsid w:val="00D45EE1"/>
    <w:rsid w:val="00D46232"/>
    <w:rsid w:val="00D476DB"/>
    <w:rsid w:val="00D47CCD"/>
    <w:rsid w:val="00D47D0B"/>
    <w:rsid w:val="00D50146"/>
    <w:rsid w:val="00D50BE6"/>
    <w:rsid w:val="00D5210F"/>
    <w:rsid w:val="00D53249"/>
    <w:rsid w:val="00D5349A"/>
    <w:rsid w:val="00D53517"/>
    <w:rsid w:val="00D54BC2"/>
    <w:rsid w:val="00D5607A"/>
    <w:rsid w:val="00D60EC0"/>
    <w:rsid w:val="00D61BB9"/>
    <w:rsid w:val="00D64C3F"/>
    <w:rsid w:val="00D6707C"/>
    <w:rsid w:val="00D7085F"/>
    <w:rsid w:val="00D755AF"/>
    <w:rsid w:val="00D82B39"/>
    <w:rsid w:val="00D8414D"/>
    <w:rsid w:val="00D8470B"/>
    <w:rsid w:val="00D87534"/>
    <w:rsid w:val="00D87DD2"/>
    <w:rsid w:val="00D93980"/>
    <w:rsid w:val="00D9398B"/>
    <w:rsid w:val="00D93FFF"/>
    <w:rsid w:val="00D946DD"/>
    <w:rsid w:val="00D969C1"/>
    <w:rsid w:val="00D9728D"/>
    <w:rsid w:val="00DA3F31"/>
    <w:rsid w:val="00DA5968"/>
    <w:rsid w:val="00DA7939"/>
    <w:rsid w:val="00DB2717"/>
    <w:rsid w:val="00DB2F46"/>
    <w:rsid w:val="00DB5AC7"/>
    <w:rsid w:val="00DB71E9"/>
    <w:rsid w:val="00DB7D78"/>
    <w:rsid w:val="00DC2335"/>
    <w:rsid w:val="00DC3A0C"/>
    <w:rsid w:val="00DC5027"/>
    <w:rsid w:val="00DC7F59"/>
    <w:rsid w:val="00DD1629"/>
    <w:rsid w:val="00DD1AFF"/>
    <w:rsid w:val="00DD3237"/>
    <w:rsid w:val="00DD3403"/>
    <w:rsid w:val="00DD4A6C"/>
    <w:rsid w:val="00DD4B2B"/>
    <w:rsid w:val="00DD59A6"/>
    <w:rsid w:val="00DD6DBC"/>
    <w:rsid w:val="00DD76D3"/>
    <w:rsid w:val="00DD77B0"/>
    <w:rsid w:val="00DE0497"/>
    <w:rsid w:val="00DE2D27"/>
    <w:rsid w:val="00DE3C56"/>
    <w:rsid w:val="00DE3FB6"/>
    <w:rsid w:val="00DE5219"/>
    <w:rsid w:val="00DE57E6"/>
    <w:rsid w:val="00DE777F"/>
    <w:rsid w:val="00DF4368"/>
    <w:rsid w:val="00DF4586"/>
    <w:rsid w:val="00DF4D0C"/>
    <w:rsid w:val="00DF5214"/>
    <w:rsid w:val="00DF61EA"/>
    <w:rsid w:val="00DF6E71"/>
    <w:rsid w:val="00DF729B"/>
    <w:rsid w:val="00DF77B3"/>
    <w:rsid w:val="00DF7BD3"/>
    <w:rsid w:val="00E00BF5"/>
    <w:rsid w:val="00E01F8F"/>
    <w:rsid w:val="00E04256"/>
    <w:rsid w:val="00E04E01"/>
    <w:rsid w:val="00E07D77"/>
    <w:rsid w:val="00E176D4"/>
    <w:rsid w:val="00E2195F"/>
    <w:rsid w:val="00E21A9D"/>
    <w:rsid w:val="00E24D1E"/>
    <w:rsid w:val="00E255A6"/>
    <w:rsid w:val="00E255C1"/>
    <w:rsid w:val="00E25F39"/>
    <w:rsid w:val="00E3078B"/>
    <w:rsid w:val="00E30CE6"/>
    <w:rsid w:val="00E32440"/>
    <w:rsid w:val="00E327C8"/>
    <w:rsid w:val="00E359C7"/>
    <w:rsid w:val="00E36FDF"/>
    <w:rsid w:val="00E4091C"/>
    <w:rsid w:val="00E43A08"/>
    <w:rsid w:val="00E452DD"/>
    <w:rsid w:val="00E50468"/>
    <w:rsid w:val="00E50C71"/>
    <w:rsid w:val="00E530CC"/>
    <w:rsid w:val="00E53442"/>
    <w:rsid w:val="00E53C6A"/>
    <w:rsid w:val="00E540D5"/>
    <w:rsid w:val="00E5569F"/>
    <w:rsid w:val="00E5660F"/>
    <w:rsid w:val="00E57E84"/>
    <w:rsid w:val="00E6004D"/>
    <w:rsid w:val="00E620C4"/>
    <w:rsid w:val="00E640D1"/>
    <w:rsid w:val="00E64144"/>
    <w:rsid w:val="00E658DB"/>
    <w:rsid w:val="00E669A1"/>
    <w:rsid w:val="00E703A4"/>
    <w:rsid w:val="00E71EFE"/>
    <w:rsid w:val="00E73963"/>
    <w:rsid w:val="00E74612"/>
    <w:rsid w:val="00E748DC"/>
    <w:rsid w:val="00E76E8D"/>
    <w:rsid w:val="00E802A2"/>
    <w:rsid w:val="00E81EFB"/>
    <w:rsid w:val="00E8267A"/>
    <w:rsid w:val="00E82D69"/>
    <w:rsid w:val="00E85A3D"/>
    <w:rsid w:val="00E86D06"/>
    <w:rsid w:val="00E87CA9"/>
    <w:rsid w:val="00E94D90"/>
    <w:rsid w:val="00E94DAE"/>
    <w:rsid w:val="00E95D2E"/>
    <w:rsid w:val="00EA009B"/>
    <w:rsid w:val="00EA08F2"/>
    <w:rsid w:val="00EA0D6C"/>
    <w:rsid w:val="00EA1D39"/>
    <w:rsid w:val="00EA4CBB"/>
    <w:rsid w:val="00EA524A"/>
    <w:rsid w:val="00EA5E64"/>
    <w:rsid w:val="00EA6D73"/>
    <w:rsid w:val="00EB1243"/>
    <w:rsid w:val="00EB390D"/>
    <w:rsid w:val="00EB7466"/>
    <w:rsid w:val="00EC3E94"/>
    <w:rsid w:val="00EC45D8"/>
    <w:rsid w:val="00EC6625"/>
    <w:rsid w:val="00ED28F6"/>
    <w:rsid w:val="00ED5065"/>
    <w:rsid w:val="00ED50C9"/>
    <w:rsid w:val="00ED5BDB"/>
    <w:rsid w:val="00ED5E29"/>
    <w:rsid w:val="00ED6953"/>
    <w:rsid w:val="00ED71EB"/>
    <w:rsid w:val="00EE050E"/>
    <w:rsid w:val="00EE0D0C"/>
    <w:rsid w:val="00EE1BDC"/>
    <w:rsid w:val="00EE1F43"/>
    <w:rsid w:val="00EE2A90"/>
    <w:rsid w:val="00EE4228"/>
    <w:rsid w:val="00EE4A14"/>
    <w:rsid w:val="00EE5362"/>
    <w:rsid w:val="00EE57CB"/>
    <w:rsid w:val="00EF00FF"/>
    <w:rsid w:val="00EF01C8"/>
    <w:rsid w:val="00EF299E"/>
    <w:rsid w:val="00EF5E17"/>
    <w:rsid w:val="00EF750B"/>
    <w:rsid w:val="00F04C0D"/>
    <w:rsid w:val="00F0546F"/>
    <w:rsid w:val="00F05E15"/>
    <w:rsid w:val="00F07173"/>
    <w:rsid w:val="00F07807"/>
    <w:rsid w:val="00F1028C"/>
    <w:rsid w:val="00F10E34"/>
    <w:rsid w:val="00F14B7C"/>
    <w:rsid w:val="00F17D84"/>
    <w:rsid w:val="00F20E2F"/>
    <w:rsid w:val="00F22CF6"/>
    <w:rsid w:val="00F30F42"/>
    <w:rsid w:val="00F31EAD"/>
    <w:rsid w:val="00F33298"/>
    <w:rsid w:val="00F3399A"/>
    <w:rsid w:val="00F377B2"/>
    <w:rsid w:val="00F411EB"/>
    <w:rsid w:val="00F44D93"/>
    <w:rsid w:val="00F44E7C"/>
    <w:rsid w:val="00F471D5"/>
    <w:rsid w:val="00F4757B"/>
    <w:rsid w:val="00F475E1"/>
    <w:rsid w:val="00F4774B"/>
    <w:rsid w:val="00F47C74"/>
    <w:rsid w:val="00F50876"/>
    <w:rsid w:val="00F50D0F"/>
    <w:rsid w:val="00F521C2"/>
    <w:rsid w:val="00F528AB"/>
    <w:rsid w:val="00F551E8"/>
    <w:rsid w:val="00F55213"/>
    <w:rsid w:val="00F554CE"/>
    <w:rsid w:val="00F55D42"/>
    <w:rsid w:val="00F5798C"/>
    <w:rsid w:val="00F57A8A"/>
    <w:rsid w:val="00F67B3A"/>
    <w:rsid w:val="00F70D7A"/>
    <w:rsid w:val="00F71B56"/>
    <w:rsid w:val="00F728D2"/>
    <w:rsid w:val="00F73233"/>
    <w:rsid w:val="00F73948"/>
    <w:rsid w:val="00F7401A"/>
    <w:rsid w:val="00F76091"/>
    <w:rsid w:val="00F809AB"/>
    <w:rsid w:val="00F83794"/>
    <w:rsid w:val="00F86373"/>
    <w:rsid w:val="00F91091"/>
    <w:rsid w:val="00F92519"/>
    <w:rsid w:val="00F92E76"/>
    <w:rsid w:val="00F93172"/>
    <w:rsid w:val="00F93E9B"/>
    <w:rsid w:val="00F94141"/>
    <w:rsid w:val="00F942FE"/>
    <w:rsid w:val="00F94F85"/>
    <w:rsid w:val="00F975F1"/>
    <w:rsid w:val="00FA53C7"/>
    <w:rsid w:val="00FA6E43"/>
    <w:rsid w:val="00FB1929"/>
    <w:rsid w:val="00FB32A9"/>
    <w:rsid w:val="00FB3643"/>
    <w:rsid w:val="00FB5E9B"/>
    <w:rsid w:val="00FC1560"/>
    <w:rsid w:val="00FC2183"/>
    <w:rsid w:val="00FC3E71"/>
    <w:rsid w:val="00FC6FBF"/>
    <w:rsid w:val="00FD1974"/>
    <w:rsid w:val="00FD3000"/>
    <w:rsid w:val="00FD3F3A"/>
    <w:rsid w:val="00FD5E2C"/>
    <w:rsid w:val="00FD6E57"/>
    <w:rsid w:val="00FE15FB"/>
    <w:rsid w:val="00FE3398"/>
    <w:rsid w:val="00FE33CC"/>
    <w:rsid w:val="00FE4E2C"/>
    <w:rsid w:val="00FE50F3"/>
    <w:rsid w:val="00FE5254"/>
    <w:rsid w:val="00FE79DE"/>
    <w:rsid w:val="00FE7B56"/>
    <w:rsid w:val="00FF16DC"/>
    <w:rsid w:val="00FF31A7"/>
    <w:rsid w:val="00FF376C"/>
    <w:rsid w:val="00FF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BF4F4-5F00-43E2-9EED-E1A6625B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39"/>
  </w:style>
  <w:style w:type="paragraph" w:styleId="1">
    <w:name w:val="heading 1"/>
    <w:basedOn w:val="a"/>
    <w:next w:val="a"/>
    <w:link w:val="10"/>
    <w:uiPriority w:val="9"/>
    <w:qFormat/>
    <w:rsid w:val="00665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4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76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3D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0529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805291"/>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0529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AC8"/>
    <w:pPr>
      <w:ind w:left="720"/>
      <w:contextualSpacing/>
    </w:pPr>
  </w:style>
  <w:style w:type="character" w:customStyle="1" w:styleId="10">
    <w:name w:val="Заголовок 1 Знак"/>
    <w:basedOn w:val="a0"/>
    <w:link w:val="1"/>
    <w:uiPriority w:val="9"/>
    <w:rsid w:val="00665792"/>
    <w:rPr>
      <w:rFonts w:asciiTheme="majorHAnsi" w:eastAsiaTheme="majorEastAsia" w:hAnsiTheme="majorHAnsi" w:cstheme="majorBidi"/>
      <w:b/>
      <w:bCs/>
      <w:color w:val="365F91" w:themeColor="accent1" w:themeShade="BF"/>
      <w:sz w:val="28"/>
      <w:szCs w:val="28"/>
    </w:rPr>
  </w:style>
  <w:style w:type="paragraph" w:styleId="a4">
    <w:name w:val="Body Text Indent"/>
    <w:basedOn w:val="a"/>
    <w:link w:val="a5"/>
    <w:uiPriority w:val="99"/>
    <w:unhideWhenUsed/>
    <w:rsid w:val="00D53517"/>
    <w:pPr>
      <w:spacing w:line="360" w:lineRule="auto"/>
      <w:ind w:firstLine="708"/>
    </w:pPr>
    <w:rPr>
      <w:rFonts w:ascii="Times New Roman" w:hAnsi="Times New Roman" w:cs="Times New Roman"/>
    </w:rPr>
  </w:style>
  <w:style w:type="character" w:customStyle="1" w:styleId="a5">
    <w:name w:val="Основной текст с отступом Знак"/>
    <w:basedOn w:val="a0"/>
    <w:link w:val="a4"/>
    <w:uiPriority w:val="99"/>
    <w:rsid w:val="00D53517"/>
    <w:rPr>
      <w:rFonts w:ascii="Times New Roman" w:hAnsi="Times New Roman" w:cs="Times New Roman"/>
    </w:rPr>
  </w:style>
  <w:style w:type="character" w:customStyle="1" w:styleId="20">
    <w:name w:val="Заголовок 2 Знак"/>
    <w:basedOn w:val="a0"/>
    <w:link w:val="2"/>
    <w:uiPriority w:val="9"/>
    <w:rsid w:val="008F46CC"/>
    <w:rPr>
      <w:rFonts w:asciiTheme="majorHAnsi" w:eastAsiaTheme="majorEastAsia" w:hAnsiTheme="majorHAnsi" w:cstheme="majorBidi"/>
      <w:b/>
      <w:bCs/>
      <w:color w:val="4F81BD" w:themeColor="accent1"/>
      <w:sz w:val="26"/>
      <w:szCs w:val="26"/>
    </w:rPr>
  </w:style>
  <w:style w:type="paragraph" w:styleId="a6">
    <w:name w:val="footnote text"/>
    <w:basedOn w:val="a"/>
    <w:link w:val="a7"/>
    <w:uiPriority w:val="99"/>
    <w:unhideWhenUsed/>
    <w:rsid w:val="00F93172"/>
    <w:pPr>
      <w:spacing w:after="0" w:line="240" w:lineRule="auto"/>
    </w:pPr>
    <w:rPr>
      <w:sz w:val="20"/>
      <w:szCs w:val="20"/>
    </w:rPr>
  </w:style>
  <w:style w:type="character" w:customStyle="1" w:styleId="a7">
    <w:name w:val="Текст сноски Знак"/>
    <w:basedOn w:val="a0"/>
    <w:link w:val="a6"/>
    <w:uiPriority w:val="99"/>
    <w:rsid w:val="00F93172"/>
    <w:rPr>
      <w:sz w:val="20"/>
      <w:szCs w:val="20"/>
    </w:rPr>
  </w:style>
  <w:style w:type="character" w:styleId="a8">
    <w:name w:val="footnote reference"/>
    <w:basedOn w:val="a0"/>
    <w:uiPriority w:val="99"/>
    <w:semiHidden/>
    <w:unhideWhenUsed/>
    <w:rsid w:val="00F93172"/>
    <w:rPr>
      <w:vertAlign w:val="superscript"/>
    </w:rPr>
  </w:style>
  <w:style w:type="paragraph" w:styleId="21">
    <w:name w:val="Body Text Indent 2"/>
    <w:basedOn w:val="a"/>
    <w:link w:val="22"/>
    <w:uiPriority w:val="99"/>
    <w:unhideWhenUsed/>
    <w:rsid w:val="00F55213"/>
    <w:pPr>
      <w:spacing w:line="360" w:lineRule="auto"/>
      <w:ind w:left="708"/>
    </w:pPr>
    <w:rPr>
      <w:rFonts w:ascii="Times New Roman" w:hAnsi="Times New Roman" w:cs="Times New Roman"/>
    </w:rPr>
  </w:style>
  <w:style w:type="character" w:customStyle="1" w:styleId="22">
    <w:name w:val="Основной текст с отступом 2 Знак"/>
    <w:basedOn w:val="a0"/>
    <w:link w:val="21"/>
    <w:uiPriority w:val="99"/>
    <w:rsid w:val="00F55213"/>
    <w:rPr>
      <w:rFonts w:ascii="Times New Roman" w:hAnsi="Times New Roman" w:cs="Times New Roman"/>
    </w:rPr>
  </w:style>
  <w:style w:type="table" w:styleId="a9">
    <w:name w:val="Table Grid"/>
    <w:basedOn w:val="a1"/>
    <w:uiPriority w:val="59"/>
    <w:rsid w:val="000C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976C8"/>
    <w:rPr>
      <w:rFonts w:asciiTheme="majorHAnsi" w:eastAsiaTheme="majorEastAsia" w:hAnsiTheme="majorHAnsi" w:cstheme="majorBidi"/>
      <w:b/>
      <w:bCs/>
      <w:color w:val="4F81BD" w:themeColor="accent1"/>
    </w:rPr>
  </w:style>
  <w:style w:type="character" w:styleId="aa">
    <w:name w:val="Placeholder Text"/>
    <w:basedOn w:val="a0"/>
    <w:uiPriority w:val="99"/>
    <w:semiHidden/>
    <w:rsid w:val="00AD53A4"/>
    <w:rPr>
      <w:color w:val="808080"/>
    </w:rPr>
  </w:style>
  <w:style w:type="paragraph" w:styleId="ab">
    <w:name w:val="Balloon Text"/>
    <w:basedOn w:val="a"/>
    <w:link w:val="ac"/>
    <w:uiPriority w:val="99"/>
    <w:semiHidden/>
    <w:unhideWhenUsed/>
    <w:rsid w:val="00AD53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53A4"/>
    <w:rPr>
      <w:rFonts w:ascii="Tahoma" w:hAnsi="Tahoma" w:cs="Tahoma"/>
      <w:sz w:val="16"/>
      <w:szCs w:val="16"/>
    </w:rPr>
  </w:style>
  <w:style w:type="paragraph" w:styleId="31">
    <w:name w:val="Body Text Indent 3"/>
    <w:basedOn w:val="a"/>
    <w:link w:val="32"/>
    <w:uiPriority w:val="99"/>
    <w:unhideWhenUsed/>
    <w:rsid w:val="005A556D"/>
    <w:pPr>
      <w:spacing w:line="360" w:lineRule="auto"/>
      <w:ind w:firstLine="851"/>
    </w:pPr>
    <w:rPr>
      <w:rFonts w:ascii="Times New Roman" w:hAnsi="Times New Roman" w:cs="Times New Roman"/>
    </w:rPr>
  </w:style>
  <w:style w:type="character" w:customStyle="1" w:styleId="32">
    <w:name w:val="Основной текст с отступом 3 Знак"/>
    <w:basedOn w:val="a0"/>
    <w:link w:val="31"/>
    <w:uiPriority w:val="99"/>
    <w:rsid w:val="005A556D"/>
    <w:rPr>
      <w:rFonts w:ascii="Times New Roman" w:hAnsi="Times New Roman" w:cs="Times New Roman"/>
    </w:rPr>
  </w:style>
  <w:style w:type="paragraph" w:styleId="ad">
    <w:name w:val="Body Text"/>
    <w:basedOn w:val="a"/>
    <w:link w:val="ae"/>
    <w:uiPriority w:val="99"/>
    <w:unhideWhenUsed/>
    <w:rsid w:val="00AB2960"/>
    <w:pPr>
      <w:spacing w:line="360" w:lineRule="auto"/>
    </w:pPr>
    <w:rPr>
      <w:rFonts w:ascii="Times New Roman" w:hAnsi="Times New Roman" w:cs="Times New Roman"/>
      <w:sz w:val="24"/>
      <w:szCs w:val="24"/>
    </w:rPr>
  </w:style>
  <w:style w:type="character" w:customStyle="1" w:styleId="ae">
    <w:name w:val="Основной текст Знак"/>
    <w:basedOn w:val="a0"/>
    <w:link w:val="ad"/>
    <w:uiPriority w:val="99"/>
    <w:rsid w:val="00AB2960"/>
    <w:rPr>
      <w:rFonts w:ascii="Times New Roman" w:hAnsi="Times New Roman" w:cs="Times New Roman"/>
      <w:sz w:val="24"/>
      <w:szCs w:val="24"/>
    </w:rPr>
  </w:style>
  <w:style w:type="paragraph" w:styleId="af">
    <w:name w:val="caption"/>
    <w:basedOn w:val="a"/>
    <w:next w:val="a"/>
    <w:uiPriority w:val="35"/>
    <w:unhideWhenUsed/>
    <w:qFormat/>
    <w:rsid w:val="000055C9"/>
    <w:pPr>
      <w:spacing w:line="240" w:lineRule="auto"/>
    </w:pPr>
    <w:rPr>
      <w:b/>
      <w:bCs/>
      <w:color w:val="4F81BD" w:themeColor="accent1"/>
      <w:sz w:val="18"/>
      <w:szCs w:val="18"/>
    </w:rPr>
  </w:style>
  <w:style w:type="character" w:customStyle="1" w:styleId="40">
    <w:name w:val="Заголовок 4 Знак"/>
    <w:basedOn w:val="a0"/>
    <w:link w:val="4"/>
    <w:uiPriority w:val="9"/>
    <w:rsid w:val="00603D58"/>
    <w:rPr>
      <w:rFonts w:asciiTheme="majorHAnsi" w:eastAsiaTheme="majorEastAsia" w:hAnsiTheme="majorHAnsi" w:cstheme="majorBidi"/>
      <w:b/>
      <w:bCs/>
      <w:i/>
      <w:iCs/>
      <w:color w:val="4F81BD" w:themeColor="accent1"/>
    </w:rPr>
  </w:style>
  <w:style w:type="paragraph" w:styleId="23">
    <w:name w:val="Body Text 2"/>
    <w:basedOn w:val="a"/>
    <w:link w:val="24"/>
    <w:uiPriority w:val="99"/>
    <w:semiHidden/>
    <w:unhideWhenUsed/>
    <w:rsid w:val="00F44D93"/>
    <w:pPr>
      <w:spacing w:after="120" w:line="480" w:lineRule="auto"/>
    </w:pPr>
  </w:style>
  <w:style w:type="character" w:customStyle="1" w:styleId="24">
    <w:name w:val="Основной текст 2 Знак"/>
    <w:basedOn w:val="a0"/>
    <w:link w:val="23"/>
    <w:uiPriority w:val="99"/>
    <w:semiHidden/>
    <w:rsid w:val="00F44D93"/>
  </w:style>
  <w:style w:type="paragraph" w:styleId="af0">
    <w:name w:val="TOC Heading"/>
    <w:basedOn w:val="1"/>
    <w:next w:val="a"/>
    <w:uiPriority w:val="39"/>
    <w:semiHidden/>
    <w:unhideWhenUsed/>
    <w:qFormat/>
    <w:rsid w:val="002B173C"/>
    <w:pPr>
      <w:outlineLvl w:val="9"/>
    </w:pPr>
    <w:rPr>
      <w:lang w:eastAsia="ru-RU"/>
    </w:rPr>
  </w:style>
  <w:style w:type="paragraph" w:styleId="11">
    <w:name w:val="toc 1"/>
    <w:basedOn w:val="a"/>
    <w:next w:val="a"/>
    <w:autoRedefine/>
    <w:uiPriority w:val="39"/>
    <w:unhideWhenUsed/>
    <w:rsid w:val="00010815"/>
    <w:pPr>
      <w:tabs>
        <w:tab w:val="right" w:leader="dot" w:pos="9345"/>
      </w:tabs>
      <w:spacing w:after="0" w:line="360" w:lineRule="auto"/>
      <w:ind w:firstLine="851"/>
      <w:jc w:val="both"/>
    </w:pPr>
    <w:rPr>
      <w:rFonts w:ascii="Times New Roman" w:hAnsi="Times New Roman" w:cs="Times New Roman"/>
      <w:sz w:val="24"/>
    </w:rPr>
  </w:style>
  <w:style w:type="paragraph" w:styleId="25">
    <w:name w:val="toc 2"/>
    <w:basedOn w:val="a"/>
    <w:next w:val="a"/>
    <w:autoRedefine/>
    <w:uiPriority w:val="39"/>
    <w:unhideWhenUsed/>
    <w:rsid w:val="002B173C"/>
    <w:pPr>
      <w:spacing w:after="100"/>
      <w:ind w:left="220"/>
    </w:pPr>
  </w:style>
  <w:style w:type="paragraph" w:styleId="33">
    <w:name w:val="toc 3"/>
    <w:basedOn w:val="a"/>
    <w:next w:val="a"/>
    <w:autoRedefine/>
    <w:uiPriority w:val="39"/>
    <w:unhideWhenUsed/>
    <w:rsid w:val="002B173C"/>
    <w:pPr>
      <w:spacing w:after="100"/>
      <w:ind w:left="440"/>
    </w:pPr>
  </w:style>
  <w:style w:type="character" w:styleId="af1">
    <w:name w:val="Hyperlink"/>
    <w:basedOn w:val="a0"/>
    <w:uiPriority w:val="99"/>
    <w:unhideWhenUsed/>
    <w:rsid w:val="002B173C"/>
    <w:rPr>
      <w:color w:val="0000FF" w:themeColor="hyperlink"/>
      <w:u w:val="single"/>
    </w:rPr>
  </w:style>
  <w:style w:type="paragraph" w:styleId="af2">
    <w:name w:val="header"/>
    <w:basedOn w:val="a"/>
    <w:link w:val="af3"/>
    <w:uiPriority w:val="99"/>
    <w:unhideWhenUsed/>
    <w:rsid w:val="002B173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B173C"/>
  </w:style>
  <w:style w:type="paragraph" w:styleId="af4">
    <w:name w:val="footer"/>
    <w:basedOn w:val="a"/>
    <w:link w:val="af5"/>
    <w:uiPriority w:val="99"/>
    <w:unhideWhenUsed/>
    <w:rsid w:val="002B173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B173C"/>
  </w:style>
  <w:style w:type="paragraph" w:styleId="34">
    <w:name w:val="Body Text 3"/>
    <w:basedOn w:val="a"/>
    <w:link w:val="35"/>
    <w:uiPriority w:val="99"/>
    <w:unhideWhenUsed/>
    <w:rsid w:val="00C245D2"/>
    <w:pPr>
      <w:jc w:val="center"/>
    </w:pPr>
    <w:rPr>
      <w:rFonts w:ascii="Times New Roman" w:hAnsi="Times New Roman" w:cs="Times New Roman"/>
      <w:sz w:val="48"/>
      <w:szCs w:val="24"/>
    </w:rPr>
  </w:style>
  <w:style w:type="character" w:customStyle="1" w:styleId="35">
    <w:name w:val="Основной текст 3 Знак"/>
    <w:basedOn w:val="a0"/>
    <w:link w:val="34"/>
    <w:uiPriority w:val="99"/>
    <w:rsid w:val="00C245D2"/>
    <w:rPr>
      <w:rFonts w:ascii="Times New Roman" w:hAnsi="Times New Roman" w:cs="Times New Roman"/>
      <w:sz w:val="48"/>
      <w:szCs w:val="24"/>
    </w:rPr>
  </w:style>
  <w:style w:type="character" w:customStyle="1" w:styleId="50">
    <w:name w:val="Заголовок 5 Знак"/>
    <w:basedOn w:val="a0"/>
    <w:link w:val="5"/>
    <w:uiPriority w:val="9"/>
    <w:semiHidden/>
    <w:rsid w:val="0080529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80529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05291"/>
    <w:rPr>
      <w:rFonts w:asciiTheme="majorHAnsi" w:eastAsiaTheme="majorEastAsia" w:hAnsiTheme="majorHAnsi" w:cstheme="majorBidi"/>
      <w:i/>
      <w:iCs/>
      <w:color w:val="243F60" w:themeColor="accent1" w:themeShade="7F"/>
    </w:rPr>
  </w:style>
  <w:style w:type="table" w:styleId="af6">
    <w:name w:val="Light Shading"/>
    <w:basedOn w:val="a1"/>
    <w:uiPriority w:val="60"/>
    <w:rsid w:val="008052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st Table 6 Colorful"/>
    <w:basedOn w:val="a1"/>
    <w:uiPriority w:val="51"/>
    <w:rsid w:val="0080529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57524B-AD3B-4506-8995-06D37B3B6DF7}" type="doc">
      <dgm:prSet loTypeId="urn:microsoft.com/office/officeart/2005/8/layout/cycle5" loCatId="cycle" qsTypeId="urn:microsoft.com/office/officeart/2005/8/quickstyle/simple4" qsCatId="simple" csTypeId="urn:microsoft.com/office/officeart/2005/8/colors/accent0_3" csCatId="mainScheme" phldr="1"/>
      <dgm:spPr/>
      <dgm:t>
        <a:bodyPr/>
        <a:lstStyle/>
        <a:p>
          <a:endParaRPr lang="ru-RU"/>
        </a:p>
      </dgm:t>
    </dgm:pt>
    <dgm:pt modelId="{7BAB459A-3A74-4E16-8317-EB874B39EFB4}">
      <dgm:prSet phldrT="[Текст]" custT="1"/>
      <dgm:spPr/>
      <dgm:t>
        <a:bodyPr lIns="18000" tIns="18000" rIns="18000" bIns="18000"/>
        <a:lstStyle/>
        <a:p>
          <a:r>
            <a:rPr lang="ru-RU" sz="1100"/>
            <a:t>Отбор переменных</a:t>
          </a:r>
        </a:p>
      </dgm:t>
    </dgm:pt>
    <dgm:pt modelId="{0D12E5F8-C0DD-42AE-AAC7-0B5FBEB66D3E}" type="parTrans" cxnId="{49D1BEB6-A01E-4D1D-A26A-958036A18898}">
      <dgm:prSet/>
      <dgm:spPr/>
      <dgm:t>
        <a:bodyPr/>
        <a:lstStyle/>
        <a:p>
          <a:endParaRPr lang="ru-RU"/>
        </a:p>
      </dgm:t>
    </dgm:pt>
    <dgm:pt modelId="{C5C30AFC-62D5-439D-9B63-BABD38983696}" type="sibTrans" cxnId="{49D1BEB6-A01E-4D1D-A26A-958036A18898}">
      <dgm:prSet/>
      <dgm:spPr/>
      <dgm:t>
        <a:bodyPr/>
        <a:lstStyle/>
        <a:p>
          <a:endParaRPr lang="ru-RU"/>
        </a:p>
      </dgm:t>
    </dgm:pt>
    <dgm:pt modelId="{6A72DA9D-6F8C-4669-8B62-C0873984ACB4}">
      <dgm:prSet phldrT="[Текст]" custT="1"/>
      <dgm:spPr/>
      <dgm:t>
        <a:bodyPr lIns="18000" tIns="18000" rIns="18000" bIns="18000"/>
        <a:lstStyle/>
        <a:p>
          <a:r>
            <a:rPr lang="ru-RU" sz="1100"/>
            <a:t>Определение вероятностного распределения</a:t>
          </a:r>
        </a:p>
      </dgm:t>
    </dgm:pt>
    <dgm:pt modelId="{62C51BD3-D1E4-486A-8E1F-2A467E7D7002}" type="parTrans" cxnId="{3CA97144-945B-47E3-B73E-5ABF4DE0DDD3}">
      <dgm:prSet/>
      <dgm:spPr/>
      <dgm:t>
        <a:bodyPr/>
        <a:lstStyle/>
        <a:p>
          <a:endParaRPr lang="ru-RU"/>
        </a:p>
      </dgm:t>
    </dgm:pt>
    <dgm:pt modelId="{6E893C8C-402F-48C5-9B2C-94F269E5B96A}" type="sibTrans" cxnId="{3CA97144-945B-47E3-B73E-5ABF4DE0DDD3}">
      <dgm:prSet/>
      <dgm:spPr/>
      <dgm:t>
        <a:bodyPr/>
        <a:lstStyle/>
        <a:p>
          <a:endParaRPr lang="ru-RU"/>
        </a:p>
      </dgm:t>
    </dgm:pt>
    <dgm:pt modelId="{99B4C61D-2BCC-4A0F-B754-7DB90BA63D3B}">
      <dgm:prSet phldrT="[Текст]" custT="1"/>
      <dgm:spPr/>
      <dgm:t>
        <a:bodyPr lIns="18000" tIns="18000" rIns="18000" bIns="18000"/>
        <a:lstStyle/>
        <a:p>
          <a:r>
            <a:rPr lang="ru-RU" sz="1100"/>
            <a:t>Установление корреляций</a:t>
          </a:r>
        </a:p>
      </dgm:t>
    </dgm:pt>
    <dgm:pt modelId="{F8E30805-619F-40C0-B92E-ACA860C04193}" type="parTrans" cxnId="{3DBE73D5-4DF1-457E-85CA-32AFC4FC239E}">
      <dgm:prSet/>
      <dgm:spPr/>
      <dgm:t>
        <a:bodyPr/>
        <a:lstStyle/>
        <a:p>
          <a:endParaRPr lang="ru-RU"/>
        </a:p>
      </dgm:t>
    </dgm:pt>
    <dgm:pt modelId="{C985A137-9C74-4E27-B294-CB56E4436505}" type="sibTrans" cxnId="{3DBE73D5-4DF1-457E-85CA-32AFC4FC239E}">
      <dgm:prSet/>
      <dgm:spPr/>
      <dgm:t>
        <a:bodyPr/>
        <a:lstStyle/>
        <a:p>
          <a:endParaRPr lang="ru-RU"/>
        </a:p>
      </dgm:t>
    </dgm:pt>
    <dgm:pt modelId="{7A7F162F-2500-405D-9C17-2C285F5DC20A}">
      <dgm:prSet phldrT="[Текст]" custT="1"/>
      <dgm:spPr/>
      <dgm:t>
        <a:bodyPr lIns="18000" tIns="18000" rIns="18000" bIns="18000"/>
        <a:lstStyle/>
        <a:p>
          <a:r>
            <a:rPr lang="ru-RU" sz="1100"/>
            <a:t>Процесс имитаций</a:t>
          </a:r>
        </a:p>
      </dgm:t>
    </dgm:pt>
    <dgm:pt modelId="{8341D82E-A89D-4078-B4D8-38B2068EBD6C}" type="parTrans" cxnId="{CC8B8C61-1564-451C-92B5-AB65DAC6B7FB}">
      <dgm:prSet/>
      <dgm:spPr/>
      <dgm:t>
        <a:bodyPr/>
        <a:lstStyle/>
        <a:p>
          <a:endParaRPr lang="ru-RU"/>
        </a:p>
      </dgm:t>
    </dgm:pt>
    <dgm:pt modelId="{234D5C2D-0159-451E-84D3-2331B1E3B033}" type="sibTrans" cxnId="{CC8B8C61-1564-451C-92B5-AB65DAC6B7FB}">
      <dgm:prSet/>
      <dgm:spPr/>
      <dgm:t>
        <a:bodyPr/>
        <a:lstStyle/>
        <a:p>
          <a:endParaRPr lang="ru-RU"/>
        </a:p>
      </dgm:t>
    </dgm:pt>
    <dgm:pt modelId="{71112661-B909-4AA4-BC73-CF217FA5DB86}">
      <dgm:prSet phldrT="[Текст]" custT="1"/>
      <dgm:spPr/>
      <dgm:t>
        <a:bodyPr lIns="18000" tIns="18000" rIns="18000" bIns="18000"/>
        <a:lstStyle/>
        <a:p>
          <a:r>
            <a:rPr lang="ru-RU" sz="1100"/>
            <a:t>Построение прогнозной модели</a:t>
          </a:r>
        </a:p>
      </dgm:t>
    </dgm:pt>
    <dgm:pt modelId="{3A676A18-DA19-4B33-B90C-F5253E4F3F7A}" type="parTrans" cxnId="{3847099D-5D9F-4F71-B465-B7978B1F2CBA}">
      <dgm:prSet/>
      <dgm:spPr/>
      <dgm:t>
        <a:bodyPr/>
        <a:lstStyle/>
        <a:p>
          <a:endParaRPr lang="ru-RU"/>
        </a:p>
      </dgm:t>
    </dgm:pt>
    <dgm:pt modelId="{046A3DCC-D8C8-4B92-9038-046DBB04066D}" type="sibTrans" cxnId="{3847099D-5D9F-4F71-B465-B7978B1F2CBA}">
      <dgm:prSet/>
      <dgm:spPr/>
      <dgm:t>
        <a:bodyPr/>
        <a:lstStyle/>
        <a:p>
          <a:endParaRPr lang="ru-RU"/>
        </a:p>
      </dgm:t>
    </dgm:pt>
    <dgm:pt modelId="{F6A34CEC-E9D7-4A62-BB02-7A1443AED021}">
      <dgm:prSet custT="1"/>
      <dgm:spPr/>
      <dgm:t>
        <a:bodyPr lIns="18000" tIns="18000" rIns="18000" bIns="18000"/>
        <a:lstStyle/>
        <a:p>
          <a:r>
            <a:rPr lang="ru-RU" sz="1100"/>
            <a:t>Анализ результатов</a:t>
          </a:r>
        </a:p>
      </dgm:t>
    </dgm:pt>
    <dgm:pt modelId="{F02F05A8-84BC-44D8-A53F-50772A5530EC}" type="parTrans" cxnId="{234B08F4-96C5-467B-8343-D25BBFA0B35B}">
      <dgm:prSet/>
      <dgm:spPr/>
      <dgm:t>
        <a:bodyPr/>
        <a:lstStyle/>
        <a:p>
          <a:endParaRPr lang="ru-RU"/>
        </a:p>
      </dgm:t>
    </dgm:pt>
    <dgm:pt modelId="{409DED0A-E4F5-41FF-AB0F-DF0100FD4E2A}" type="sibTrans" cxnId="{234B08F4-96C5-467B-8343-D25BBFA0B35B}">
      <dgm:prSet/>
      <dgm:spPr/>
      <dgm:t>
        <a:bodyPr/>
        <a:lstStyle/>
        <a:p>
          <a:endParaRPr lang="ru-RU"/>
        </a:p>
      </dgm:t>
    </dgm:pt>
    <dgm:pt modelId="{3F37229D-5A64-4569-8F78-2670AC6C980E}" type="pres">
      <dgm:prSet presAssocID="{E057524B-AD3B-4506-8995-06D37B3B6DF7}" presName="cycle" presStyleCnt="0">
        <dgm:presLayoutVars>
          <dgm:dir/>
          <dgm:resizeHandles val="exact"/>
        </dgm:presLayoutVars>
      </dgm:prSet>
      <dgm:spPr/>
      <dgm:t>
        <a:bodyPr/>
        <a:lstStyle/>
        <a:p>
          <a:endParaRPr lang="ru-RU"/>
        </a:p>
      </dgm:t>
    </dgm:pt>
    <dgm:pt modelId="{1594EB3A-42DA-4140-8781-99B488673542}" type="pres">
      <dgm:prSet presAssocID="{7BAB459A-3A74-4E16-8317-EB874B39EFB4}" presName="node" presStyleLbl="node1" presStyleIdx="0" presStyleCnt="6" custScaleX="306536" custScaleY="70995" custRadScaleRad="101781" custRadScaleInc="-74902">
        <dgm:presLayoutVars>
          <dgm:bulletEnabled val="1"/>
        </dgm:presLayoutVars>
      </dgm:prSet>
      <dgm:spPr/>
      <dgm:t>
        <a:bodyPr/>
        <a:lstStyle/>
        <a:p>
          <a:endParaRPr lang="ru-RU"/>
        </a:p>
      </dgm:t>
    </dgm:pt>
    <dgm:pt modelId="{825F4F8A-8F62-45B4-B5C4-30C791EC84CC}" type="pres">
      <dgm:prSet presAssocID="{7BAB459A-3A74-4E16-8317-EB874B39EFB4}" presName="spNode" presStyleCnt="0"/>
      <dgm:spPr/>
    </dgm:pt>
    <dgm:pt modelId="{EABC3EBB-CA7D-42FC-B708-CC4804A9A3E6}" type="pres">
      <dgm:prSet presAssocID="{C5C30AFC-62D5-439D-9B63-BABD38983696}" presName="sibTrans" presStyleLbl="sibTrans1D1" presStyleIdx="0" presStyleCnt="6"/>
      <dgm:spPr/>
      <dgm:t>
        <a:bodyPr/>
        <a:lstStyle/>
        <a:p>
          <a:endParaRPr lang="ru-RU"/>
        </a:p>
      </dgm:t>
    </dgm:pt>
    <dgm:pt modelId="{B1B98AEB-FB1A-4C8F-95E9-C1581351A115}" type="pres">
      <dgm:prSet presAssocID="{6A72DA9D-6F8C-4669-8B62-C0873984ACB4}" presName="node" presStyleLbl="node1" presStyleIdx="1" presStyleCnt="6" custScaleX="306536" custScaleY="70995" custRadScaleRad="112314" custRadScaleInc="72485">
        <dgm:presLayoutVars>
          <dgm:bulletEnabled val="1"/>
        </dgm:presLayoutVars>
      </dgm:prSet>
      <dgm:spPr/>
      <dgm:t>
        <a:bodyPr/>
        <a:lstStyle/>
        <a:p>
          <a:endParaRPr lang="ru-RU"/>
        </a:p>
      </dgm:t>
    </dgm:pt>
    <dgm:pt modelId="{8078C105-1136-4DBF-A7DA-83F7F52A4B25}" type="pres">
      <dgm:prSet presAssocID="{6A72DA9D-6F8C-4669-8B62-C0873984ACB4}" presName="spNode" presStyleCnt="0"/>
      <dgm:spPr/>
    </dgm:pt>
    <dgm:pt modelId="{7F4A9DE5-381C-414B-9203-83EE93264B8B}" type="pres">
      <dgm:prSet presAssocID="{6E893C8C-402F-48C5-9B2C-94F269E5B96A}" presName="sibTrans" presStyleLbl="sibTrans1D1" presStyleIdx="1" presStyleCnt="6"/>
      <dgm:spPr/>
      <dgm:t>
        <a:bodyPr/>
        <a:lstStyle/>
        <a:p>
          <a:endParaRPr lang="ru-RU"/>
        </a:p>
      </dgm:t>
    </dgm:pt>
    <dgm:pt modelId="{160890EB-23FD-4100-8969-8D200BAEAA33}" type="pres">
      <dgm:prSet presAssocID="{99B4C61D-2BCC-4A0F-B754-7DB90BA63D3B}" presName="node" presStyleLbl="node1" presStyleIdx="2" presStyleCnt="6" custScaleX="306536" custScaleY="70995" custRadScaleRad="113129" custRadScaleInc="-68238">
        <dgm:presLayoutVars>
          <dgm:bulletEnabled val="1"/>
        </dgm:presLayoutVars>
      </dgm:prSet>
      <dgm:spPr/>
      <dgm:t>
        <a:bodyPr/>
        <a:lstStyle/>
        <a:p>
          <a:endParaRPr lang="ru-RU"/>
        </a:p>
      </dgm:t>
    </dgm:pt>
    <dgm:pt modelId="{D531D2F5-E413-4AFF-B5E3-DD5D4B78E44B}" type="pres">
      <dgm:prSet presAssocID="{99B4C61D-2BCC-4A0F-B754-7DB90BA63D3B}" presName="spNode" presStyleCnt="0"/>
      <dgm:spPr/>
    </dgm:pt>
    <dgm:pt modelId="{EE0C692E-7C97-4386-BBDF-93C1C9A35166}" type="pres">
      <dgm:prSet presAssocID="{C985A137-9C74-4E27-B294-CB56E4436505}" presName="sibTrans" presStyleLbl="sibTrans1D1" presStyleIdx="2" presStyleCnt="6"/>
      <dgm:spPr/>
      <dgm:t>
        <a:bodyPr/>
        <a:lstStyle/>
        <a:p>
          <a:endParaRPr lang="ru-RU"/>
        </a:p>
      </dgm:t>
    </dgm:pt>
    <dgm:pt modelId="{3FE17ED8-5299-4F3D-B89C-3890AEE8FC6B}" type="pres">
      <dgm:prSet presAssocID="{7A7F162F-2500-405D-9C17-2C285F5DC20A}" presName="node" presStyleLbl="node1" presStyleIdx="3" presStyleCnt="6" custScaleX="306536" custScaleY="70995" custRadScaleRad="95095" custRadScaleInc="42808">
        <dgm:presLayoutVars>
          <dgm:bulletEnabled val="1"/>
        </dgm:presLayoutVars>
      </dgm:prSet>
      <dgm:spPr/>
      <dgm:t>
        <a:bodyPr/>
        <a:lstStyle/>
        <a:p>
          <a:endParaRPr lang="ru-RU"/>
        </a:p>
      </dgm:t>
    </dgm:pt>
    <dgm:pt modelId="{F9F2EBD8-E01A-4D82-85F1-808EFFDCB458}" type="pres">
      <dgm:prSet presAssocID="{7A7F162F-2500-405D-9C17-2C285F5DC20A}" presName="spNode" presStyleCnt="0"/>
      <dgm:spPr/>
    </dgm:pt>
    <dgm:pt modelId="{CA5B1F2B-602F-4059-83E8-5D20AE036E57}" type="pres">
      <dgm:prSet presAssocID="{234D5C2D-0159-451E-84D3-2331B1E3B033}" presName="sibTrans" presStyleLbl="sibTrans1D1" presStyleIdx="3" presStyleCnt="6"/>
      <dgm:spPr/>
      <dgm:t>
        <a:bodyPr/>
        <a:lstStyle/>
        <a:p>
          <a:endParaRPr lang="ru-RU"/>
        </a:p>
      </dgm:t>
    </dgm:pt>
    <dgm:pt modelId="{0BCB3FB2-74DF-4686-AE86-1317922880E6}" type="pres">
      <dgm:prSet presAssocID="{F6A34CEC-E9D7-4A62-BB02-7A1443AED021}" presName="node" presStyleLbl="node1" presStyleIdx="4" presStyleCnt="6" custScaleX="306536" custScaleY="70995" custRadScaleRad="152128" custRadScaleInc="89667">
        <dgm:presLayoutVars>
          <dgm:bulletEnabled val="1"/>
        </dgm:presLayoutVars>
      </dgm:prSet>
      <dgm:spPr/>
      <dgm:t>
        <a:bodyPr/>
        <a:lstStyle/>
        <a:p>
          <a:endParaRPr lang="ru-RU"/>
        </a:p>
      </dgm:t>
    </dgm:pt>
    <dgm:pt modelId="{25005787-D6AA-41F8-AD6B-A2D7FA56B6ED}" type="pres">
      <dgm:prSet presAssocID="{F6A34CEC-E9D7-4A62-BB02-7A1443AED021}" presName="spNode" presStyleCnt="0"/>
      <dgm:spPr/>
    </dgm:pt>
    <dgm:pt modelId="{6B8E753B-8863-42ED-9660-4A6FC528A07F}" type="pres">
      <dgm:prSet presAssocID="{409DED0A-E4F5-41FF-AB0F-DF0100FD4E2A}" presName="sibTrans" presStyleLbl="sibTrans1D1" presStyleIdx="4" presStyleCnt="6"/>
      <dgm:spPr/>
      <dgm:t>
        <a:bodyPr/>
        <a:lstStyle/>
        <a:p>
          <a:endParaRPr lang="ru-RU"/>
        </a:p>
      </dgm:t>
    </dgm:pt>
    <dgm:pt modelId="{F3ABB5BF-9A07-44F5-A794-F48732F382D4}" type="pres">
      <dgm:prSet presAssocID="{71112661-B909-4AA4-BC73-CF217FA5DB86}" presName="node" presStyleLbl="node1" presStyleIdx="5" presStyleCnt="6" custScaleX="306536" custScaleY="70995" custRadScaleRad="152357" custRadScaleInc="-87255">
        <dgm:presLayoutVars>
          <dgm:bulletEnabled val="1"/>
        </dgm:presLayoutVars>
      </dgm:prSet>
      <dgm:spPr/>
      <dgm:t>
        <a:bodyPr/>
        <a:lstStyle/>
        <a:p>
          <a:endParaRPr lang="ru-RU"/>
        </a:p>
      </dgm:t>
    </dgm:pt>
    <dgm:pt modelId="{3B641B95-5646-43A3-8B8E-CAC4B73C3C0F}" type="pres">
      <dgm:prSet presAssocID="{71112661-B909-4AA4-BC73-CF217FA5DB86}" presName="spNode" presStyleCnt="0"/>
      <dgm:spPr/>
    </dgm:pt>
    <dgm:pt modelId="{03C7E315-88C2-4DEE-A25B-0901FDCD854B}" type="pres">
      <dgm:prSet presAssocID="{046A3DCC-D8C8-4B92-9038-046DBB04066D}" presName="sibTrans" presStyleLbl="sibTrans1D1" presStyleIdx="5" presStyleCnt="6"/>
      <dgm:spPr/>
      <dgm:t>
        <a:bodyPr/>
        <a:lstStyle/>
        <a:p>
          <a:endParaRPr lang="ru-RU"/>
        </a:p>
      </dgm:t>
    </dgm:pt>
  </dgm:ptLst>
  <dgm:cxnLst>
    <dgm:cxn modelId="{6C6A494D-3261-48EE-9838-E1F27EBD4962}" type="presOf" srcId="{99B4C61D-2BCC-4A0F-B754-7DB90BA63D3B}" destId="{160890EB-23FD-4100-8969-8D200BAEAA33}" srcOrd="0" destOrd="0" presId="urn:microsoft.com/office/officeart/2005/8/layout/cycle5"/>
    <dgm:cxn modelId="{5F6CCE92-5768-437A-94D0-428CAEE83A92}" type="presOf" srcId="{6A72DA9D-6F8C-4669-8B62-C0873984ACB4}" destId="{B1B98AEB-FB1A-4C8F-95E9-C1581351A115}" srcOrd="0" destOrd="0" presId="urn:microsoft.com/office/officeart/2005/8/layout/cycle5"/>
    <dgm:cxn modelId="{49D1BEB6-A01E-4D1D-A26A-958036A18898}" srcId="{E057524B-AD3B-4506-8995-06D37B3B6DF7}" destId="{7BAB459A-3A74-4E16-8317-EB874B39EFB4}" srcOrd="0" destOrd="0" parTransId="{0D12E5F8-C0DD-42AE-AAC7-0B5FBEB66D3E}" sibTransId="{C5C30AFC-62D5-439D-9B63-BABD38983696}"/>
    <dgm:cxn modelId="{34D1BEBA-3373-4965-8752-415D0E19546C}" type="presOf" srcId="{046A3DCC-D8C8-4B92-9038-046DBB04066D}" destId="{03C7E315-88C2-4DEE-A25B-0901FDCD854B}" srcOrd="0" destOrd="0" presId="urn:microsoft.com/office/officeart/2005/8/layout/cycle5"/>
    <dgm:cxn modelId="{D3B1F743-2BA2-4543-841B-7A0882FF4656}" type="presOf" srcId="{C985A137-9C74-4E27-B294-CB56E4436505}" destId="{EE0C692E-7C97-4386-BBDF-93C1C9A35166}" srcOrd="0" destOrd="0" presId="urn:microsoft.com/office/officeart/2005/8/layout/cycle5"/>
    <dgm:cxn modelId="{9620675B-A399-484C-8E49-B113C05C55BA}" type="presOf" srcId="{E057524B-AD3B-4506-8995-06D37B3B6DF7}" destId="{3F37229D-5A64-4569-8F78-2670AC6C980E}" srcOrd="0" destOrd="0" presId="urn:microsoft.com/office/officeart/2005/8/layout/cycle5"/>
    <dgm:cxn modelId="{3847099D-5D9F-4F71-B465-B7978B1F2CBA}" srcId="{E057524B-AD3B-4506-8995-06D37B3B6DF7}" destId="{71112661-B909-4AA4-BC73-CF217FA5DB86}" srcOrd="5" destOrd="0" parTransId="{3A676A18-DA19-4B33-B90C-F5253E4F3F7A}" sibTransId="{046A3DCC-D8C8-4B92-9038-046DBB04066D}"/>
    <dgm:cxn modelId="{505B1AAE-31BA-4F83-B68F-4145763AA7B9}" type="presOf" srcId="{71112661-B909-4AA4-BC73-CF217FA5DB86}" destId="{F3ABB5BF-9A07-44F5-A794-F48732F382D4}" srcOrd="0" destOrd="0" presId="urn:microsoft.com/office/officeart/2005/8/layout/cycle5"/>
    <dgm:cxn modelId="{E3732C82-1633-4ECA-9580-B362BE36981E}" type="presOf" srcId="{7A7F162F-2500-405D-9C17-2C285F5DC20A}" destId="{3FE17ED8-5299-4F3D-B89C-3890AEE8FC6B}" srcOrd="0" destOrd="0" presId="urn:microsoft.com/office/officeart/2005/8/layout/cycle5"/>
    <dgm:cxn modelId="{9BB714B5-4A09-4E48-B3AF-B25A32A01B49}" type="presOf" srcId="{F6A34CEC-E9D7-4A62-BB02-7A1443AED021}" destId="{0BCB3FB2-74DF-4686-AE86-1317922880E6}" srcOrd="0" destOrd="0" presId="urn:microsoft.com/office/officeart/2005/8/layout/cycle5"/>
    <dgm:cxn modelId="{8732A520-5734-4101-BA87-A72344D15C95}" type="presOf" srcId="{C5C30AFC-62D5-439D-9B63-BABD38983696}" destId="{EABC3EBB-CA7D-42FC-B708-CC4804A9A3E6}" srcOrd="0" destOrd="0" presId="urn:microsoft.com/office/officeart/2005/8/layout/cycle5"/>
    <dgm:cxn modelId="{BCB8DE4E-2367-4512-B17C-59DE8AE6CDE5}" type="presOf" srcId="{234D5C2D-0159-451E-84D3-2331B1E3B033}" destId="{CA5B1F2B-602F-4059-83E8-5D20AE036E57}" srcOrd="0" destOrd="0" presId="urn:microsoft.com/office/officeart/2005/8/layout/cycle5"/>
    <dgm:cxn modelId="{0F354E87-5EF8-4568-A445-467AA9E0BC7F}" type="presOf" srcId="{409DED0A-E4F5-41FF-AB0F-DF0100FD4E2A}" destId="{6B8E753B-8863-42ED-9660-4A6FC528A07F}" srcOrd="0" destOrd="0" presId="urn:microsoft.com/office/officeart/2005/8/layout/cycle5"/>
    <dgm:cxn modelId="{CC8B8C61-1564-451C-92B5-AB65DAC6B7FB}" srcId="{E057524B-AD3B-4506-8995-06D37B3B6DF7}" destId="{7A7F162F-2500-405D-9C17-2C285F5DC20A}" srcOrd="3" destOrd="0" parTransId="{8341D82E-A89D-4078-B4D8-38B2068EBD6C}" sibTransId="{234D5C2D-0159-451E-84D3-2331B1E3B033}"/>
    <dgm:cxn modelId="{234B08F4-96C5-467B-8343-D25BBFA0B35B}" srcId="{E057524B-AD3B-4506-8995-06D37B3B6DF7}" destId="{F6A34CEC-E9D7-4A62-BB02-7A1443AED021}" srcOrd="4" destOrd="0" parTransId="{F02F05A8-84BC-44D8-A53F-50772A5530EC}" sibTransId="{409DED0A-E4F5-41FF-AB0F-DF0100FD4E2A}"/>
    <dgm:cxn modelId="{9AB22E56-4943-46D4-AA86-26F012ABD927}" type="presOf" srcId="{6E893C8C-402F-48C5-9B2C-94F269E5B96A}" destId="{7F4A9DE5-381C-414B-9203-83EE93264B8B}" srcOrd="0" destOrd="0" presId="urn:microsoft.com/office/officeart/2005/8/layout/cycle5"/>
    <dgm:cxn modelId="{844707B3-2E2D-4957-A4F9-3729D6232034}" type="presOf" srcId="{7BAB459A-3A74-4E16-8317-EB874B39EFB4}" destId="{1594EB3A-42DA-4140-8781-99B488673542}" srcOrd="0" destOrd="0" presId="urn:microsoft.com/office/officeart/2005/8/layout/cycle5"/>
    <dgm:cxn modelId="{3CA97144-945B-47E3-B73E-5ABF4DE0DDD3}" srcId="{E057524B-AD3B-4506-8995-06D37B3B6DF7}" destId="{6A72DA9D-6F8C-4669-8B62-C0873984ACB4}" srcOrd="1" destOrd="0" parTransId="{62C51BD3-D1E4-486A-8E1F-2A467E7D7002}" sibTransId="{6E893C8C-402F-48C5-9B2C-94F269E5B96A}"/>
    <dgm:cxn modelId="{3DBE73D5-4DF1-457E-85CA-32AFC4FC239E}" srcId="{E057524B-AD3B-4506-8995-06D37B3B6DF7}" destId="{99B4C61D-2BCC-4A0F-B754-7DB90BA63D3B}" srcOrd="2" destOrd="0" parTransId="{F8E30805-619F-40C0-B92E-ACA860C04193}" sibTransId="{C985A137-9C74-4E27-B294-CB56E4436505}"/>
    <dgm:cxn modelId="{B96118B8-8F0E-4330-B1CD-7BB92C4BA8D8}" type="presParOf" srcId="{3F37229D-5A64-4569-8F78-2670AC6C980E}" destId="{1594EB3A-42DA-4140-8781-99B488673542}" srcOrd="0" destOrd="0" presId="urn:microsoft.com/office/officeart/2005/8/layout/cycle5"/>
    <dgm:cxn modelId="{A5AE84A3-E69C-498C-A23F-E4155AC8FE80}" type="presParOf" srcId="{3F37229D-5A64-4569-8F78-2670AC6C980E}" destId="{825F4F8A-8F62-45B4-B5C4-30C791EC84CC}" srcOrd="1" destOrd="0" presId="urn:microsoft.com/office/officeart/2005/8/layout/cycle5"/>
    <dgm:cxn modelId="{B204981C-C406-466F-909F-11934065A640}" type="presParOf" srcId="{3F37229D-5A64-4569-8F78-2670AC6C980E}" destId="{EABC3EBB-CA7D-42FC-B708-CC4804A9A3E6}" srcOrd="2" destOrd="0" presId="urn:microsoft.com/office/officeart/2005/8/layout/cycle5"/>
    <dgm:cxn modelId="{7458A433-326F-43E3-935F-F2D9AF50C0E1}" type="presParOf" srcId="{3F37229D-5A64-4569-8F78-2670AC6C980E}" destId="{B1B98AEB-FB1A-4C8F-95E9-C1581351A115}" srcOrd="3" destOrd="0" presId="urn:microsoft.com/office/officeart/2005/8/layout/cycle5"/>
    <dgm:cxn modelId="{6865E69F-65D2-411F-85FE-E78105183C1C}" type="presParOf" srcId="{3F37229D-5A64-4569-8F78-2670AC6C980E}" destId="{8078C105-1136-4DBF-A7DA-83F7F52A4B25}" srcOrd="4" destOrd="0" presId="urn:microsoft.com/office/officeart/2005/8/layout/cycle5"/>
    <dgm:cxn modelId="{A0C7A4FD-1B51-4369-A1CE-F135216709A6}" type="presParOf" srcId="{3F37229D-5A64-4569-8F78-2670AC6C980E}" destId="{7F4A9DE5-381C-414B-9203-83EE93264B8B}" srcOrd="5" destOrd="0" presId="urn:microsoft.com/office/officeart/2005/8/layout/cycle5"/>
    <dgm:cxn modelId="{224778BA-4732-44B8-87D4-F69764A45D6C}" type="presParOf" srcId="{3F37229D-5A64-4569-8F78-2670AC6C980E}" destId="{160890EB-23FD-4100-8969-8D200BAEAA33}" srcOrd="6" destOrd="0" presId="urn:microsoft.com/office/officeart/2005/8/layout/cycle5"/>
    <dgm:cxn modelId="{98C712D8-EF9E-4068-800E-D5A9C3A2F605}" type="presParOf" srcId="{3F37229D-5A64-4569-8F78-2670AC6C980E}" destId="{D531D2F5-E413-4AFF-B5E3-DD5D4B78E44B}" srcOrd="7" destOrd="0" presId="urn:microsoft.com/office/officeart/2005/8/layout/cycle5"/>
    <dgm:cxn modelId="{2D420BC9-3397-4A3E-AA05-84840338FBBB}" type="presParOf" srcId="{3F37229D-5A64-4569-8F78-2670AC6C980E}" destId="{EE0C692E-7C97-4386-BBDF-93C1C9A35166}" srcOrd="8" destOrd="0" presId="urn:microsoft.com/office/officeart/2005/8/layout/cycle5"/>
    <dgm:cxn modelId="{48B8F632-30B1-4545-BE5E-0AC8FD147B18}" type="presParOf" srcId="{3F37229D-5A64-4569-8F78-2670AC6C980E}" destId="{3FE17ED8-5299-4F3D-B89C-3890AEE8FC6B}" srcOrd="9" destOrd="0" presId="urn:microsoft.com/office/officeart/2005/8/layout/cycle5"/>
    <dgm:cxn modelId="{2B397864-B86E-41CA-94BE-3543FAA3ECCF}" type="presParOf" srcId="{3F37229D-5A64-4569-8F78-2670AC6C980E}" destId="{F9F2EBD8-E01A-4D82-85F1-808EFFDCB458}" srcOrd="10" destOrd="0" presId="urn:microsoft.com/office/officeart/2005/8/layout/cycle5"/>
    <dgm:cxn modelId="{1F72FF5E-80C8-4E2E-99AF-0E4908F58219}" type="presParOf" srcId="{3F37229D-5A64-4569-8F78-2670AC6C980E}" destId="{CA5B1F2B-602F-4059-83E8-5D20AE036E57}" srcOrd="11" destOrd="0" presId="urn:microsoft.com/office/officeart/2005/8/layout/cycle5"/>
    <dgm:cxn modelId="{81FA463A-840A-4602-A62A-CC9A2FC50137}" type="presParOf" srcId="{3F37229D-5A64-4569-8F78-2670AC6C980E}" destId="{0BCB3FB2-74DF-4686-AE86-1317922880E6}" srcOrd="12" destOrd="0" presId="urn:microsoft.com/office/officeart/2005/8/layout/cycle5"/>
    <dgm:cxn modelId="{B2D8DFF0-9A3B-4410-9D16-CD3B29CB44CD}" type="presParOf" srcId="{3F37229D-5A64-4569-8F78-2670AC6C980E}" destId="{25005787-D6AA-41F8-AD6B-A2D7FA56B6ED}" srcOrd="13" destOrd="0" presId="urn:microsoft.com/office/officeart/2005/8/layout/cycle5"/>
    <dgm:cxn modelId="{9E19169B-8499-48E3-9CB3-5819F33DE2CC}" type="presParOf" srcId="{3F37229D-5A64-4569-8F78-2670AC6C980E}" destId="{6B8E753B-8863-42ED-9660-4A6FC528A07F}" srcOrd="14" destOrd="0" presId="urn:microsoft.com/office/officeart/2005/8/layout/cycle5"/>
    <dgm:cxn modelId="{BA2359FF-70B1-493E-9107-E846296B3EB2}" type="presParOf" srcId="{3F37229D-5A64-4569-8F78-2670AC6C980E}" destId="{F3ABB5BF-9A07-44F5-A794-F48732F382D4}" srcOrd="15" destOrd="0" presId="urn:microsoft.com/office/officeart/2005/8/layout/cycle5"/>
    <dgm:cxn modelId="{36FA200D-D536-4A0D-8DE5-68280C65702E}" type="presParOf" srcId="{3F37229D-5A64-4569-8F78-2670AC6C980E}" destId="{3B641B95-5646-43A3-8B8E-CAC4B73C3C0F}" srcOrd="16" destOrd="0" presId="urn:microsoft.com/office/officeart/2005/8/layout/cycle5"/>
    <dgm:cxn modelId="{784900BC-2425-4A95-87DE-36FC00F2FAB8}" type="presParOf" srcId="{3F37229D-5A64-4569-8F78-2670AC6C980E}" destId="{03C7E315-88C2-4DEE-A25B-0901FDCD854B}" srcOrd="17"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94EB3A-42DA-4140-8781-99B488673542}">
      <dsp:nvSpPr>
        <dsp:cNvPr id="0" name=""/>
        <dsp:cNvSpPr/>
      </dsp:nvSpPr>
      <dsp:spPr>
        <a:xfrm>
          <a:off x="1485899" y="88300"/>
          <a:ext cx="2240028" cy="337219"/>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000" tIns="18000" rIns="18000" bIns="18000" numCol="1" spcCol="1270" anchor="ctr" anchorCtr="0">
          <a:noAutofit/>
        </a:bodyPr>
        <a:lstStyle/>
        <a:p>
          <a:pPr lvl="0" algn="ctr" defTabSz="488950">
            <a:lnSpc>
              <a:spcPct val="90000"/>
            </a:lnSpc>
            <a:spcBef>
              <a:spcPct val="0"/>
            </a:spcBef>
            <a:spcAft>
              <a:spcPct val="35000"/>
            </a:spcAft>
          </a:pPr>
          <a:r>
            <a:rPr lang="ru-RU" sz="1100" kern="1200"/>
            <a:t>Отбор переменных</a:t>
          </a:r>
        </a:p>
      </dsp:txBody>
      <dsp:txXfrm>
        <a:off x="1502361" y="104762"/>
        <a:ext cx="2207104" cy="304295"/>
      </dsp:txXfrm>
    </dsp:sp>
    <dsp:sp modelId="{EABC3EBB-CA7D-42FC-B708-CC4804A9A3E6}">
      <dsp:nvSpPr>
        <dsp:cNvPr id="0" name=""/>
        <dsp:cNvSpPr/>
      </dsp:nvSpPr>
      <dsp:spPr>
        <a:xfrm>
          <a:off x="1780180" y="424851"/>
          <a:ext cx="2238366" cy="2238366"/>
        </a:xfrm>
        <a:custGeom>
          <a:avLst/>
          <a:gdLst/>
          <a:ahLst/>
          <a:cxnLst/>
          <a:rect l="0" t="0" r="0" b="0"/>
          <a:pathLst>
            <a:path>
              <a:moveTo>
                <a:pt x="1345039" y="23026"/>
              </a:moveTo>
              <a:arcTo wR="1119183" hR="1119183" stAng="16898549" swAng="1832819"/>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1B98AEB-FB1A-4C8F-95E9-C1581351A115}">
      <dsp:nvSpPr>
        <dsp:cNvPr id="0" name=""/>
        <dsp:cNvSpPr/>
      </dsp:nvSpPr>
      <dsp:spPr>
        <a:xfrm>
          <a:off x="2991613" y="852720"/>
          <a:ext cx="2240028" cy="337219"/>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000" tIns="18000" rIns="18000" bIns="18000" numCol="1" spcCol="1270" anchor="ctr" anchorCtr="0">
          <a:noAutofit/>
        </a:bodyPr>
        <a:lstStyle/>
        <a:p>
          <a:pPr lvl="0" algn="ctr" defTabSz="488950">
            <a:lnSpc>
              <a:spcPct val="90000"/>
            </a:lnSpc>
            <a:spcBef>
              <a:spcPct val="0"/>
            </a:spcBef>
            <a:spcAft>
              <a:spcPct val="35000"/>
            </a:spcAft>
          </a:pPr>
          <a:r>
            <a:rPr lang="ru-RU" sz="1100" kern="1200"/>
            <a:t>Определение вероятностного распределения</a:t>
          </a:r>
        </a:p>
      </dsp:txBody>
      <dsp:txXfrm>
        <a:off x="3008075" y="869182"/>
        <a:ext cx="2207104" cy="304295"/>
      </dsp:txXfrm>
    </dsp:sp>
    <dsp:sp modelId="{7F4A9DE5-381C-414B-9203-83EE93264B8B}">
      <dsp:nvSpPr>
        <dsp:cNvPr id="0" name=""/>
        <dsp:cNvSpPr/>
      </dsp:nvSpPr>
      <dsp:spPr>
        <a:xfrm>
          <a:off x="1925314" y="267966"/>
          <a:ext cx="2238366" cy="2238366"/>
        </a:xfrm>
        <a:custGeom>
          <a:avLst/>
          <a:gdLst/>
          <a:ahLst/>
          <a:cxnLst/>
          <a:rect l="0" t="0" r="0" b="0"/>
          <a:pathLst>
            <a:path>
              <a:moveTo>
                <a:pt x="2231147" y="992270"/>
              </a:moveTo>
              <a:arcTo wR="1119183" hR="1119183" stAng="21209326" swAng="65942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60890EB-23FD-4100-8969-8D200BAEAA33}">
      <dsp:nvSpPr>
        <dsp:cNvPr id="0" name=""/>
        <dsp:cNvSpPr/>
      </dsp:nvSpPr>
      <dsp:spPr>
        <a:xfrm>
          <a:off x="2995252" y="1545171"/>
          <a:ext cx="2240028" cy="337219"/>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000" tIns="18000" rIns="18000" bIns="18000" numCol="1" spcCol="1270" anchor="ctr" anchorCtr="0">
          <a:noAutofit/>
        </a:bodyPr>
        <a:lstStyle/>
        <a:p>
          <a:pPr lvl="0" algn="ctr" defTabSz="488950">
            <a:lnSpc>
              <a:spcPct val="90000"/>
            </a:lnSpc>
            <a:spcBef>
              <a:spcPct val="0"/>
            </a:spcBef>
            <a:spcAft>
              <a:spcPct val="35000"/>
            </a:spcAft>
          </a:pPr>
          <a:r>
            <a:rPr lang="ru-RU" sz="1100" kern="1200"/>
            <a:t>Установление корреляций</a:t>
          </a:r>
        </a:p>
      </dsp:txBody>
      <dsp:txXfrm>
        <a:off x="3011714" y="1561633"/>
        <a:ext cx="2207104" cy="304295"/>
      </dsp:txXfrm>
    </dsp:sp>
    <dsp:sp modelId="{EE0C692E-7C97-4386-BBDF-93C1C9A35166}">
      <dsp:nvSpPr>
        <dsp:cNvPr id="0" name=""/>
        <dsp:cNvSpPr/>
      </dsp:nvSpPr>
      <dsp:spPr>
        <a:xfrm>
          <a:off x="1836368" y="9117"/>
          <a:ext cx="2238366" cy="2238366"/>
        </a:xfrm>
        <a:custGeom>
          <a:avLst/>
          <a:gdLst/>
          <a:ahLst/>
          <a:cxnLst/>
          <a:rect l="0" t="0" r="0" b="0"/>
          <a:pathLst>
            <a:path>
              <a:moveTo>
                <a:pt x="1831286" y="1982595"/>
              </a:moveTo>
              <a:arcTo wR="1119183" hR="1119183" stAng="3029143" swAng="151682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FE17ED8-5299-4F3D-B89C-3890AEE8FC6B}">
      <dsp:nvSpPr>
        <dsp:cNvPr id="0" name=""/>
        <dsp:cNvSpPr/>
      </dsp:nvSpPr>
      <dsp:spPr>
        <a:xfrm>
          <a:off x="1621905" y="2241129"/>
          <a:ext cx="2240028" cy="337219"/>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000" tIns="18000" rIns="18000" bIns="18000" numCol="1" spcCol="1270" anchor="ctr" anchorCtr="0">
          <a:noAutofit/>
        </a:bodyPr>
        <a:lstStyle/>
        <a:p>
          <a:pPr lvl="0" algn="ctr" defTabSz="488950">
            <a:lnSpc>
              <a:spcPct val="90000"/>
            </a:lnSpc>
            <a:spcBef>
              <a:spcPct val="0"/>
            </a:spcBef>
            <a:spcAft>
              <a:spcPct val="35000"/>
            </a:spcAft>
          </a:pPr>
          <a:r>
            <a:rPr lang="ru-RU" sz="1100" kern="1200"/>
            <a:t>Процесс имитаций</a:t>
          </a:r>
        </a:p>
      </dsp:txBody>
      <dsp:txXfrm>
        <a:off x="1638367" y="2257591"/>
        <a:ext cx="2207104" cy="304295"/>
      </dsp:txXfrm>
    </dsp:sp>
    <dsp:sp modelId="{CA5B1F2B-602F-4059-83E8-5D20AE036E57}">
      <dsp:nvSpPr>
        <dsp:cNvPr id="0" name=""/>
        <dsp:cNvSpPr/>
      </dsp:nvSpPr>
      <dsp:spPr>
        <a:xfrm>
          <a:off x="1303417" y="3683"/>
          <a:ext cx="2238366" cy="2238366"/>
        </a:xfrm>
        <a:custGeom>
          <a:avLst/>
          <a:gdLst/>
          <a:ahLst/>
          <a:cxnLst/>
          <a:rect l="0" t="0" r="0" b="0"/>
          <a:pathLst>
            <a:path>
              <a:moveTo>
                <a:pt x="903906" y="2217466"/>
              </a:moveTo>
              <a:arcTo wR="1119183" hR="1119183" stAng="6065405" swAng="1646652"/>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BCB3FB2-74DF-4686-AE86-1317922880E6}">
      <dsp:nvSpPr>
        <dsp:cNvPr id="0" name=""/>
        <dsp:cNvSpPr/>
      </dsp:nvSpPr>
      <dsp:spPr>
        <a:xfrm>
          <a:off x="115375" y="1544626"/>
          <a:ext cx="2240028" cy="337219"/>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000" tIns="18000" rIns="18000" bIns="18000" numCol="1" spcCol="1270" anchor="ctr" anchorCtr="0">
          <a:noAutofit/>
        </a:bodyPr>
        <a:lstStyle/>
        <a:p>
          <a:pPr lvl="0" algn="ctr" defTabSz="488950">
            <a:lnSpc>
              <a:spcPct val="90000"/>
            </a:lnSpc>
            <a:spcBef>
              <a:spcPct val="0"/>
            </a:spcBef>
            <a:spcAft>
              <a:spcPct val="35000"/>
            </a:spcAft>
          </a:pPr>
          <a:r>
            <a:rPr lang="ru-RU" sz="1100" kern="1200"/>
            <a:t>Анализ результатов</a:t>
          </a:r>
        </a:p>
      </dsp:txBody>
      <dsp:txXfrm>
        <a:off x="131837" y="1561088"/>
        <a:ext cx="2207104" cy="304295"/>
      </dsp:txXfrm>
    </dsp:sp>
    <dsp:sp modelId="{6B8E753B-8863-42ED-9660-4A6FC528A07F}">
      <dsp:nvSpPr>
        <dsp:cNvPr id="0" name=""/>
        <dsp:cNvSpPr/>
      </dsp:nvSpPr>
      <dsp:spPr>
        <a:xfrm>
          <a:off x="1190603" y="228283"/>
          <a:ext cx="2238366" cy="2238366"/>
        </a:xfrm>
        <a:custGeom>
          <a:avLst/>
          <a:gdLst/>
          <a:ahLst/>
          <a:cxnLst/>
          <a:rect l="0" t="0" r="0" b="0"/>
          <a:pathLst>
            <a:path>
              <a:moveTo>
                <a:pt x="6465" y="1239307"/>
              </a:moveTo>
              <a:arcTo wR="1119183" hR="1119183" stAng="10430307" swAng="723385"/>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3ABB5BF-9A07-44F5-A794-F48732F382D4}">
      <dsp:nvSpPr>
        <dsp:cNvPr id="0" name=""/>
        <dsp:cNvSpPr/>
      </dsp:nvSpPr>
      <dsp:spPr>
        <a:xfrm>
          <a:off x="115929" y="818216"/>
          <a:ext cx="2240028" cy="337219"/>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000" tIns="18000" rIns="18000" bIns="18000" numCol="1" spcCol="1270" anchor="ctr" anchorCtr="0">
          <a:noAutofit/>
        </a:bodyPr>
        <a:lstStyle/>
        <a:p>
          <a:pPr lvl="0" algn="ctr" defTabSz="488950">
            <a:lnSpc>
              <a:spcPct val="90000"/>
            </a:lnSpc>
            <a:spcBef>
              <a:spcPct val="0"/>
            </a:spcBef>
            <a:spcAft>
              <a:spcPct val="35000"/>
            </a:spcAft>
          </a:pPr>
          <a:r>
            <a:rPr lang="ru-RU" sz="1100" kern="1200"/>
            <a:t>Построение прогнозной модели</a:t>
          </a:r>
        </a:p>
      </dsp:txBody>
      <dsp:txXfrm>
        <a:off x="132391" y="834678"/>
        <a:ext cx="2207104" cy="304295"/>
      </dsp:txXfrm>
    </dsp:sp>
    <dsp:sp modelId="{03C7E315-88C2-4DEE-A25B-0901FDCD854B}">
      <dsp:nvSpPr>
        <dsp:cNvPr id="0" name=""/>
        <dsp:cNvSpPr/>
      </dsp:nvSpPr>
      <dsp:spPr>
        <a:xfrm>
          <a:off x="1290006" y="419096"/>
          <a:ext cx="2238366" cy="2238366"/>
        </a:xfrm>
        <a:custGeom>
          <a:avLst/>
          <a:gdLst/>
          <a:ahLst/>
          <a:cxnLst/>
          <a:rect l="0" t="0" r="0" b="0"/>
          <a:pathLst>
            <a:path>
              <a:moveTo>
                <a:pt x="378986" y="279731"/>
              </a:moveTo>
              <a:arcTo wR="1119183" hR="1119183" stAng="13715722" swAng="1602730"/>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5471-4567-4DE7-8DB7-35B1DE50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4294966122</TotalTime>
  <Pages>53</Pages>
  <Words>13920</Words>
  <Characters>79347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2016-05-19T07:30:00Z</cp:lastPrinted>
  <dcterms:created xsi:type="dcterms:W3CDTF">2016-05-12T19:23:00Z</dcterms:created>
  <dcterms:modified xsi:type="dcterms:W3CDTF">2016-05-19T08:59:00Z</dcterms:modified>
</cp:coreProperties>
</file>