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CA58EC" w14:textId="77777777" w:rsidR="003A3BCA" w:rsidRDefault="003A3BCA">
      <w:pPr>
        <w:widowControl w:val="0"/>
        <w:pBdr>
          <w:top w:val="nil"/>
          <w:left w:val="nil"/>
          <w:bottom w:val="nil"/>
          <w:right w:val="nil"/>
          <w:between w:val="nil"/>
        </w:pBdr>
        <w:spacing w:line="276" w:lineRule="auto"/>
      </w:pPr>
    </w:p>
    <w:p w14:paraId="7DC23B1C" w14:textId="77777777" w:rsidR="003A3BCA" w:rsidRDefault="008276B6">
      <w:pPr>
        <w:pBdr>
          <w:top w:val="nil"/>
          <w:left w:val="nil"/>
          <w:bottom w:val="nil"/>
          <w:right w:val="nil"/>
          <w:between w:val="nil"/>
        </w:pBdr>
        <w:spacing w:before="240" w:after="240" w:line="360" w:lineRule="auto"/>
        <w:ind w:right="6" w:firstLine="720"/>
        <w:jc w:val="center"/>
        <w:rPr>
          <w:color w:val="000000"/>
        </w:rPr>
      </w:pPr>
      <w:r>
        <w:rPr>
          <w:color w:val="000000"/>
        </w:rPr>
        <w:t>Federal State Institution of Higher Professional Education</w:t>
      </w:r>
    </w:p>
    <w:p w14:paraId="1F629829" w14:textId="77777777" w:rsidR="003A3BCA" w:rsidRDefault="008276B6">
      <w:pPr>
        <w:pBdr>
          <w:top w:val="nil"/>
          <w:left w:val="nil"/>
          <w:bottom w:val="nil"/>
          <w:right w:val="nil"/>
          <w:between w:val="nil"/>
        </w:pBdr>
        <w:spacing w:before="240" w:after="240" w:line="360" w:lineRule="auto"/>
        <w:ind w:right="6" w:firstLine="720"/>
        <w:jc w:val="center"/>
        <w:rPr>
          <w:color w:val="000000"/>
        </w:rPr>
      </w:pPr>
      <w:r>
        <w:rPr>
          <w:color w:val="000000"/>
        </w:rPr>
        <w:t>Saint-Petersburg University</w:t>
      </w:r>
    </w:p>
    <w:p w14:paraId="24742175" w14:textId="77777777" w:rsidR="003A3BCA" w:rsidRDefault="008276B6">
      <w:pPr>
        <w:pBdr>
          <w:top w:val="nil"/>
          <w:left w:val="nil"/>
          <w:bottom w:val="nil"/>
          <w:right w:val="nil"/>
          <w:between w:val="nil"/>
        </w:pBdr>
        <w:spacing w:before="240" w:after="240" w:line="360" w:lineRule="auto"/>
        <w:ind w:right="6" w:firstLine="720"/>
        <w:jc w:val="center"/>
        <w:rPr>
          <w:color w:val="000000"/>
        </w:rPr>
      </w:pPr>
      <w:r>
        <w:rPr>
          <w:color w:val="000000"/>
        </w:rPr>
        <w:t xml:space="preserve">Graduate School of Management  </w:t>
      </w:r>
      <w:r>
        <w:rPr>
          <w:color w:val="000000"/>
        </w:rPr>
        <w:br/>
      </w:r>
    </w:p>
    <w:p w14:paraId="163440B3" w14:textId="4A5110D1" w:rsidR="003A3BCA" w:rsidRDefault="008276B6">
      <w:pPr>
        <w:pBdr>
          <w:top w:val="nil"/>
          <w:left w:val="nil"/>
          <w:bottom w:val="nil"/>
          <w:right w:val="nil"/>
          <w:between w:val="nil"/>
        </w:pBdr>
        <w:spacing w:before="240" w:after="240" w:line="360" w:lineRule="auto"/>
        <w:ind w:right="6" w:firstLine="720"/>
        <w:jc w:val="center"/>
        <w:rPr>
          <w:color w:val="000000"/>
        </w:rPr>
      </w:pPr>
      <w:r>
        <w:rPr>
          <w:color w:val="000000"/>
        </w:rPr>
        <w:t xml:space="preserve">Strategic </w:t>
      </w:r>
      <w:r w:rsidR="00A7004E">
        <w:rPr>
          <w:color w:val="000000"/>
        </w:rPr>
        <w:t>R</w:t>
      </w:r>
      <w:r>
        <w:rPr>
          <w:color w:val="000000"/>
        </w:rPr>
        <w:t xml:space="preserve">ecommendations to </w:t>
      </w:r>
      <w:r w:rsidR="00A7004E">
        <w:rPr>
          <w:color w:val="000000"/>
        </w:rPr>
        <w:t>I</w:t>
      </w:r>
      <w:r>
        <w:rPr>
          <w:color w:val="000000"/>
        </w:rPr>
        <w:t xml:space="preserve">ncrease </w:t>
      </w:r>
      <w:r w:rsidR="00A7004E">
        <w:rPr>
          <w:color w:val="000000"/>
        </w:rPr>
        <w:t>D</w:t>
      </w:r>
      <w:r>
        <w:rPr>
          <w:color w:val="000000"/>
        </w:rPr>
        <w:t xml:space="preserve">omestic and </w:t>
      </w:r>
      <w:r w:rsidR="00A7004E">
        <w:rPr>
          <w:color w:val="000000"/>
        </w:rPr>
        <w:t>I</w:t>
      </w:r>
      <w:r>
        <w:rPr>
          <w:color w:val="000000"/>
        </w:rPr>
        <w:t xml:space="preserve">nternational </w:t>
      </w:r>
      <w:r w:rsidR="00A7004E">
        <w:rPr>
          <w:color w:val="000000"/>
        </w:rPr>
        <w:t>C</w:t>
      </w:r>
      <w:r>
        <w:rPr>
          <w:color w:val="000000"/>
        </w:rPr>
        <w:t xml:space="preserve">ompetitiveness for a </w:t>
      </w:r>
      <w:r w:rsidR="00A7004E">
        <w:rPr>
          <w:color w:val="000000"/>
        </w:rPr>
        <w:t>F</w:t>
      </w:r>
      <w:r>
        <w:rPr>
          <w:color w:val="000000"/>
        </w:rPr>
        <w:t xml:space="preserve">ootball </w:t>
      </w:r>
      <w:r w:rsidR="00A7004E">
        <w:rPr>
          <w:color w:val="000000"/>
        </w:rPr>
        <w:t>C</w:t>
      </w:r>
      <w:r>
        <w:rPr>
          <w:color w:val="000000"/>
        </w:rPr>
        <w:t xml:space="preserve">lub: </w:t>
      </w:r>
      <w:r w:rsidR="00A7792D">
        <w:rPr>
          <w:color w:val="000000"/>
        </w:rPr>
        <w:t>t</w:t>
      </w:r>
      <w:r w:rsidR="00C351C1">
        <w:rPr>
          <w:color w:val="000000"/>
        </w:rPr>
        <w:t>he</w:t>
      </w:r>
      <w:r>
        <w:rPr>
          <w:color w:val="000000"/>
        </w:rPr>
        <w:t xml:space="preserve"> </w:t>
      </w:r>
      <w:r w:rsidR="00A7004E">
        <w:rPr>
          <w:color w:val="000000"/>
        </w:rPr>
        <w:t>C</w:t>
      </w:r>
      <w:r>
        <w:rPr>
          <w:color w:val="000000"/>
        </w:rPr>
        <w:t>ase of Manchester United</w:t>
      </w:r>
    </w:p>
    <w:p w14:paraId="6DA2D988" w14:textId="77777777" w:rsidR="003A3BCA" w:rsidRDefault="008276B6">
      <w:pPr>
        <w:pBdr>
          <w:top w:val="nil"/>
          <w:left w:val="nil"/>
          <w:bottom w:val="nil"/>
          <w:right w:val="nil"/>
          <w:between w:val="nil"/>
        </w:pBdr>
        <w:spacing w:before="240" w:after="240" w:line="360" w:lineRule="auto"/>
        <w:ind w:right="6" w:firstLine="720"/>
        <w:jc w:val="center"/>
        <w:rPr>
          <w:color w:val="000000"/>
        </w:rPr>
      </w:pPr>
      <w:r>
        <w:rPr>
          <w:color w:val="000000"/>
        </w:rPr>
        <w:br/>
      </w:r>
      <w:r>
        <w:rPr>
          <w:color w:val="000000"/>
        </w:rPr>
        <w:br/>
        <w:t>Diploma Thesis made by:</w:t>
      </w:r>
    </w:p>
    <w:p w14:paraId="1B8033B0" w14:textId="77777777" w:rsidR="003A3BCA" w:rsidRDefault="008276B6">
      <w:pPr>
        <w:pBdr>
          <w:top w:val="nil"/>
          <w:left w:val="nil"/>
          <w:bottom w:val="nil"/>
          <w:right w:val="nil"/>
          <w:between w:val="nil"/>
        </w:pBdr>
        <w:spacing w:after="120" w:line="360" w:lineRule="auto"/>
        <w:ind w:left="4677" w:right="6"/>
        <w:rPr>
          <w:color w:val="000000"/>
        </w:rPr>
      </w:pPr>
      <w:r>
        <w:rPr>
          <w:color w:val="000000"/>
        </w:rPr>
        <w:t>the 4</w:t>
      </w:r>
      <w:r>
        <w:rPr>
          <w:color w:val="000000"/>
          <w:vertAlign w:val="superscript"/>
        </w:rPr>
        <w:t>th</w:t>
      </w:r>
      <w:r>
        <w:rPr>
          <w:color w:val="000000"/>
        </w:rPr>
        <w:t xml:space="preserve"> year student of the bachelor program “International Management”,</w:t>
      </w:r>
    </w:p>
    <w:p w14:paraId="204BB564" w14:textId="77777777" w:rsidR="003A3BCA" w:rsidRDefault="008276B6">
      <w:pPr>
        <w:pBdr>
          <w:top w:val="nil"/>
          <w:left w:val="nil"/>
          <w:bottom w:val="nil"/>
          <w:right w:val="nil"/>
          <w:between w:val="nil"/>
        </w:pBdr>
        <w:spacing w:after="120" w:line="360" w:lineRule="auto"/>
        <w:ind w:left="4677" w:right="6"/>
        <w:rPr>
          <w:color w:val="000000"/>
        </w:rPr>
      </w:pPr>
      <w:r>
        <w:rPr>
          <w:color w:val="000000"/>
        </w:rPr>
        <w:t xml:space="preserve">Daniel </w:t>
      </w:r>
      <w:proofErr w:type="spellStart"/>
      <w:r>
        <w:rPr>
          <w:color w:val="000000"/>
        </w:rPr>
        <w:t>Mladenov</w:t>
      </w:r>
      <w:proofErr w:type="spellEnd"/>
    </w:p>
    <w:p w14:paraId="137A77A0" w14:textId="77777777" w:rsidR="003A3BCA" w:rsidRDefault="003A3BCA">
      <w:pPr>
        <w:pBdr>
          <w:top w:val="nil"/>
          <w:left w:val="nil"/>
          <w:bottom w:val="nil"/>
          <w:right w:val="nil"/>
          <w:between w:val="nil"/>
        </w:pBdr>
        <w:spacing w:after="120" w:line="360" w:lineRule="auto"/>
        <w:ind w:left="4677" w:right="6"/>
        <w:rPr>
          <w:color w:val="000000"/>
        </w:rPr>
      </w:pPr>
    </w:p>
    <w:p w14:paraId="5C4BF4BD" w14:textId="77777777" w:rsidR="003A3BCA" w:rsidRDefault="003A3BCA">
      <w:pPr>
        <w:pBdr>
          <w:top w:val="nil"/>
          <w:left w:val="nil"/>
          <w:bottom w:val="nil"/>
          <w:right w:val="nil"/>
          <w:between w:val="nil"/>
        </w:pBdr>
        <w:spacing w:after="120" w:line="360" w:lineRule="auto"/>
        <w:ind w:left="4677" w:right="6"/>
        <w:rPr>
          <w:color w:val="000000"/>
        </w:rPr>
      </w:pPr>
    </w:p>
    <w:p w14:paraId="68F8D8AA" w14:textId="08516FF9" w:rsidR="003A3BCA" w:rsidRDefault="008276B6">
      <w:pPr>
        <w:pBdr>
          <w:top w:val="nil"/>
          <w:left w:val="nil"/>
          <w:bottom w:val="nil"/>
          <w:right w:val="nil"/>
          <w:between w:val="nil"/>
        </w:pBdr>
        <w:spacing w:after="120" w:line="360" w:lineRule="auto"/>
        <w:ind w:left="4677" w:right="6"/>
        <w:rPr>
          <w:color w:val="000000"/>
        </w:rPr>
      </w:pPr>
      <w:r>
        <w:rPr>
          <w:color w:val="000000"/>
        </w:rPr>
        <w:t>Scientific advisor:</w:t>
      </w:r>
      <w:r>
        <w:rPr>
          <w:color w:val="000000"/>
        </w:rPr>
        <w:br/>
        <w:t>Associate Professor, Department of Strategic and International Management</w:t>
      </w:r>
    </w:p>
    <w:p w14:paraId="2D9CE214" w14:textId="77777777" w:rsidR="003A3BCA" w:rsidRDefault="008276B6">
      <w:pPr>
        <w:pBdr>
          <w:top w:val="nil"/>
          <w:left w:val="nil"/>
          <w:bottom w:val="nil"/>
          <w:right w:val="nil"/>
          <w:between w:val="nil"/>
        </w:pBdr>
        <w:spacing w:after="120" w:line="360" w:lineRule="auto"/>
        <w:ind w:left="4677" w:right="6"/>
        <w:rPr>
          <w:color w:val="000000"/>
        </w:rPr>
      </w:pPr>
      <w:r>
        <w:rPr>
          <w:color w:val="000000"/>
        </w:rPr>
        <w:t>Ph.D. Karina Alexandrovna Bogatyreva</w:t>
      </w:r>
    </w:p>
    <w:p w14:paraId="7699D774" w14:textId="1437E2C7" w:rsidR="003A3BCA" w:rsidRDefault="0077032A">
      <w:pPr>
        <w:pBdr>
          <w:top w:val="nil"/>
          <w:left w:val="nil"/>
          <w:bottom w:val="nil"/>
          <w:right w:val="nil"/>
          <w:between w:val="nil"/>
        </w:pBdr>
        <w:spacing w:after="120" w:line="360" w:lineRule="auto"/>
        <w:ind w:left="4677" w:right="6"/>
        <w:rPr>
          <w:color w:val="000000"/>
        </w:rPr>
      </w:pPr>
      <w:hyperlink r:id="rId8">
        <w:r w:rsidR="008276B6">
          <w:rPr>
            <w:color w:val="0000FF"/>
            <w:u w:val="single"/>
          </w:rPr>
          <w:t>k.bogatyreva@gsom.spbu.ru</w:t>
        </w:r>
      </w:hyperlink>
    </w:p>
    <w:p w14:paraId="06EB7435" w14:textId="3F03B02E" w:rsidR="003A3BCA" w:rsidRDefault="00D3249C">
      <w:pPr>
        <w:pBdr>
          <w:top w:val="nil"/>
          <w:left w:val="nil"/>
          <w:bottom w:val="nil"/>
          <w:right w:val="nil"/>
          <w:between w:val="nil"/>
        </w:pBdr>
        <w:spacing w:before="240" w:after="240" w:line="360" w:lineRule="auto"/>
        <w:ind w:right="6"/>
        <w:jc w:val="center"/>
        <w:rPr>
          <w:color w:val="000000"/>
        </w:rPr>
      </w:pPr>
      <w:r>
        <w:rPr>
          <w:noProof/>
          <w:sz w:val="26"/>
          <w:szCs w:val="26"/>
        </w:rPr>
        <w:drawing>
          <wp:anchor distT="0" distB="0" distL="114300" distR="114300" simplePos="0" relativeHeight="251661312" behindDoc="0" locked="0" layoutInCell="1" allowOverlap="1" wp14:anchorId="54036104" wp14:editId="779F5113">
            <wp:simplePos x="0" y="0"/>
            <wp:positionH relativeFrom="column">
              <wp:posOffset>2984763</wp:posOffset>
            </wp:positionH>
            <wp:positionV relativeFrom="paragraph">
              <wp:posOffset>72696</wp:posOffset>
            </wp:positionV>
            <wp:extent cx="975360" cy="530225"/>
            <wp:effectExtent l="0" t="0" r="0" b="3175"/>
            <wp:wrapNone/>
            <wp:docPr id="1654468750" name="Picture 1" descr="A close up of a signatur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4468750" name="Picture 1" descr="A close up of a signature&#10;&#10;Description automatically generated with low confidenc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75360" cy="530225"/>
                    </a:xfrm>
                    <a:prstGeom prst="rect">
                      <a:avLst/>
                    </a:prstGeom>
                    <a:noFill/>
                  </pic:spPr>
                </pic:pic>
              </a:graphicData>
            </a:graphic>
          </wp:anchor>
        </w:drawing>
      </w:r>
    </w:p>
    <w:p w14:paraId="11D5BA7F" w14:textId="77777777" w:rsidR="003A3BCA" w:rsidRDefault="003A3BCA">
      <w:pPr>
        <w:pBdr>
          <w:top w:val="nil"/>
          <w:left w:val="nil"/>
          <w:bottom w:val="nil"/>
          <w:right w:val="nil"/>
          <w:between w:val="nil"/>
        </w:pBdr>
        <w:spacing w:before="240" w:after="240" w:line="360" w:lineRule="auto"/>
        <w:ind w:right="6"/>
        <w:jc w:val="center"/>
        <w:rPr>
          <w:color w:val="000000"/>
        </w:rPr>
      </w:pPr>
    </w:p>
    <w:p w14:paraId="4F60582D" w14:textId="77777777" w:rsidR="003A3BCA" w:rsidRDefault="003A3BCA">
      <w:pPr>
        <w:pBdr>
          <w:top w:val="nil"/>
          <w:left w:val="nil"/>
          <w:bottom w:val="nil"/>
          <w:right w:val="nil"/>
          <w:between w:val="nil"/>
        </w:pBdr>
        <w:spacing w:before="240" w:after="240" w:line="360" w:lineRule="auto"/>
        <w:ind w:right="6"/>
        <w:rPr>
          <w:color w:val="000000"/>
        </w:rPr>
      </w:pPr>
    </w:p>
    <w:p w14:paraId="3E239F79" w14:textId="77777777" w:rsidR="003A3BCA" w:rsidRDefault="008276B6">
      <w:pPr>
        <w:pBdr>
          <w:top w:val="nil"/>
          <w:left w:val="nil"/>
          <w:bottom w:val="nil"/>
          <w:right w:val="nil"/>
          <w:between w:val="nil"/>
        </w:pBdr>
        <w:spacing w:before="240" w:after="240" w:line="360" w:lineRule="auto"/>
        <w:ind w:right="6"/>
        <w:jc w:val="center"/>
        <w:rPr>
          <w:color w:val="000000"/>
        </w:rPr>
      </w:pPr>
      <w:r>
        <w:rPr>
          <w:color w:val="000000"/>
        </w:rPr>
        <w:t>Saint-Petersburg</w:t>
      </w:r>
      <w:r>
        <w:rPr>
          <w:color w:val="000000"/>
        </w:rPr>
        <w:br/>
        <w:t>2023</w:t>
      </w:r>
    </w:p>
    <w:p w14:paraId="77A9B8B9" w14:textId="77777777" w:rsidR="003A3BCA" w:rsidRDefault="008276B6">
      <w:pPr>
        <w:keepNext/>
        <w:keepLines/>
        <w:pBdr>
          <w:top w:val="nil"/>
          <w:left w:val="nil"/>
          <w:bottom w:val="nil"/>
          <w:right w:val="nil"/>
          <w:between w:val="nil"/>
        </w:pBdr>
        <w:spacing w:before="480" w:line="360" w:lineRule="auto"/>
        <w:rPr>
          <w:b/>
          <w:color w:val="2F5496"/>
          <w:sz w:val="28"/>
          <w:szCs w:val="28"/>
        </w:rPr>
      </w:pPr>
      <w:r>
        <w:rPr>
          <w:b/>
          <w:color w:val="2F5496"/>
          <w:sz w:val="28"/>
          <w:szCs w:val="28"/>
        </w:rPr>
        <w:lastRenderedPageBreak/>
        <w:t>Table of Contents</w:t>
      </w:r>
    </w:p>
    <w:sdt>
      <w:sdtPr>
        <w:rPr>
          <w:rFonts w:ascii="Times New Roman" w:eastAsia="Times New Roman" w:hAnsi="Times New Roman" w:cs="Times New Roman"/>
          <w:b w:val="0"/>
          <w:bCs w:val="0"/>
          <w:i w:val="0"/>
          <w:iCs w:val="0"/>
          <w:lang w:eastAsia="en-GB"/>
        </w:rPr>
        <w:id w:val="-1067877412"/>
        <w:docPartObj>
          <w:docPartGallery w:val="Table of Contents"/>
          <w:docPartUnique/>
        </w:docPartObj>
      </w:sdtPr>
      <w:sdtEndPr/>
      <w:sdtContent>
        <w:p w14:paraId="1F8A5D07" w14:textId="177F16B5" w:rsidR="007567F3" w:rsidRDefault="008276B6">
          <w:pPr>
            <w:pStyle w:val="TOC1"/>
            <w:tabs>
              <w:tab w:val="right" w:leader="dot" w:pos="9016"/>
            </w:tabs>
            <w:rPr>
              <w:rFonts w:eastAsiaTheme="minorEastAsia" w:cstheme="minorBidi"/>
              <w:b w:val="0"/>
              <w:bCs w:val="0"/>
              <w:i w:val="0"/>
              <w:iCs w:val="0"/>
              <w:noProof/>
              <w:lang w:val="en-BG" w:eastAsia="en-GB"/>
            </w:rPr>
          </w:pPr>
          <w:r>
            <w:fldChar w:fldCharType="begin"/>
          </w:r>
          <w:r>
            <w:instrText xml:space="preserve"> TOC \h \u \z \t "Heading 1,1,Heading 2,2,Heading 3,3,"</w:instrText>
          </w:r>
          <w:r>
            <w:fldChar w:fldCharType="separate"/>
          </w:r>
          <w:hyperlink w:anchor="_Toc136274658" w:history="1">
            <w:r w:rsidR="007567F3" w:rsidRPr="00EB549C">
              <w:rPr>
                <w:rStyle w:val="Hyperlink"/>
                <w:rFonts w:ascii="Times New Roman" w:eastAsia="Times New Roman" w:hAnsi="Times New Roman" w:cs="Times New Roman"/>
                <w:noProof/>
              </w:rPr>
              <w:t>Statement on the independent completion of the course work</w:t>
            </w:r>
            <w:r w:rsidR="007567F3">
              <w:rPr>
                <w:noProof/>
                <w:webHidden/>
              </w:rPr>
              <w:tab/>
            </w:r>
            <w:r w:rsidR="007567F3">
              <w:rPr>
                <w:noProof/>
                <w:webHidden/>
              </w:rPr>
              <w:fldChar w:fldCharType="begin"/>
            </w:r>
            <w:r w:rsidR="007567F3">
              <w:rPr>
                <w:noProof/>
                <w:webHidden/>
              </w:rPr>
              <w:instrText xml:space="preserve"> PAGEREF _Toc136274658 \h </w:instrText>
            </w:r>
            <w:r w:rsidR="007567F3">
              <w:rPr>
                <w:noProof/>
                <w:webHidden/>
              </w:rPr>
            </w:r>
            <w:r w:rsidR="007567F3">
              <w:rPr>
                <w:noProof/>
                <w:webHidden/>
              </w:rPr>
              <w:fldChar w:fldCharType="separate"/>
            </w:r>
            <w:r w:rsidR="00073231">
              <w:rPr>
                <w:noProof/>
                <w:webHidden/>
              </w:rPr>
              <w:t>3</w:t>
            </w:r>
            <w:r w:rsidR="007567F3">
              <w:rPr>
                <w:noProof/>
                <w:webHidden/>
              </w:rPr>
              <w:fldChar w:fldCharType="end"/>
            </w:r>
          </w:hyperlink>
        </w:p>
        <w:p w14:paraId="1A1F995B" w14:textId="294C0AD8" w:rsidR="007567F3" w:rsidRDefault="0077032A">
          <w:pPr>
            <w:pStyle w:val="TOC1"/>
            <w:tabs>
              <w:tab w:val="right" w:leader="dot" w:pos="9016"/>
            </w:tabs>
            <w:rPr>
              <w:rFonts w:eastAsiaTheme="minorEastAsia" w:cstheme="minorBidi"/>
              <w:b w:val="0"/>
              <w:bCs w:val="0"/>
              <w:i w:val="0"/>
              <w:iCs w:val="0"/>
              <w:noProof/>
              <w:lang w:val="en-BG" w:eastAsia="en-GB"/>
            </w:rPr>
          </w:pPr>
          <w:hyperlink w:anchor="_Toc136274659" w:history="1">
            <w:r w:rsidR="007567F3" w:rsidRPr="00EB549C">
              <w:rPr>
                <w:rStyle w:val="Hyperlink"/>
                <w:rFonts w:ascii="Times New Roman" w:eastAsia="Times New Roman" w:hAnsi="Times New Roman" w:cs="Times New Roman"/>
                <w:noProof/>
              </w:rPr>
              <w:t>Introduction</w:t>
            </w:r>
            <w:r w:rsidR="007567F3">
              <w:rPr>
                <w:noProof/>
                <w:webHidden/>
              </w:rPr>
              <w:tab/>
            </w:r>
            <w:r w:rsidR="007567F3">
              <w:rPr>
                <w:noProof/>
                <w:webHidden/>
              </w:rPr>
              <w:fldChar w:fldCharType="begin"/>
            </w:r>
            <w:r w:rsidR="007567F3">
              <w:rPr>
                <w:noProof/>
                <w:webHidden/>
              </w:rPr>
              <w:instrText xml:space="preserve"> PAGEREF _Toc136274659 \h </w:instrText>
            </w:r>
            <w:r w:rsidR="007567F3">
              <w:rPr>
                <w:noProof/>
                <w:webHidden/>
              </w:rPr>
            </w:r>
            <w:r w:rsidR="007567F3">
              <w:rPr>
                <w:noProof/>
                <w:webHidden/>
              </w:rPr>
              <w:fldChar w:fldCharType="separate"/>
            </w:r>
            <w:r w:rsidR="00073231">
              <w:rPr>
                <w:noProof/>
                <w:webHidden/>
              </w:rPr>
              <w:t>4</w:t>
            </w:r>
            <w:r w:rsidR="007567F3">
              <w:rPr>
                <w:noProof/>
                <w:webHidden/>
              </w:rPr>
              <w:fldChar w:fldCharType="end"/>
            </w:r>
          </w:hyperlink>
        </w:p>
        <w:p w14:paraId="494AFA4C" w14:textId="36116433" w:rsidR="007567F3" w:rsidRDefault="0077032A">
          <w:pPr>
            <w:pStyle w:val="TOC1"/>
            <w:tabs>
              <w:tab w:val="right" w:leader="dot" w:pos="9016"/>
            </w:tabs>
            <w:rPr>
              <w:rFonts w:eastAsiaTheme="minorEastAsia" w:cstheme="minorBidi"/>
              <w:b w:val="0"/>
              <w:bCs w:val="0"/>
              <w:i w:val="0"/>
              <w:iCs w:val="0"/>
              <w:noProof/>
              <w:lang w:val="en-BG" w:eastAsia="en-GB"/>
            </w:rPr>
          </w:pPr>
          <w:hyperlink w:anchor="_Toc136274660" w:history="1">
            <w:r w:rsidR="007567F3" w:rsidRPr="00EB549C">
              <w:rPr>
                <w:rStyle w:val="Hyperlink"/>
                <w:rFonts w:ascii="Times New Roman" w:eastAsia="Times New Roman" w:hAnsi="Times New Roman" w:cs="Times New Roman"/>
                <w:noProof/>
              </w:rPr>
              <w:t>Literature review</w:t>
            </w:r>
            <w:r w:rsidR="007567F3">
              <w:rPr>
                <w:noProof/>
                <w:webHidden/>
              </w:rPr>
              <w:tab/>
            </w:r>
            <w:r w:rsidR="007567F3">
              <w:rPr>
                <w:noProof/>
                <w:webHidden/>
              </w:rPr>
              <w:fldChar w:fldCharType="begin"/>
            </w:r>
            <w:r w:rsidR="007567F3">
              <w:rPr>
                <w:noProof/>
                <w:webHidden/>
              </w:rPr>
              <w:instrText xml:space="preserve"> PAGEREF _Toc136274660 \h </w:instrText>
            </w:r>
            <w:r w:rsidR="007567F3">
              <w:rPr>
                <w:noProof/>
                <w:webHidden/>
              </w:rPr>
            </w:r>
            <w:r w:rsidR="007567F3">
              <w:rPr>
                <w:noProof/>
                <w:webHidden/>
              </w:rPr>
              <w:fldChar w:fldCharType="separate"/>
            </w:r>
            <w:r w:rsidR="00073231">
              <w:rPr>
                <w:noProof/>
                <w:webHidden/>
              </w:rPr>
              <w:t>7</w:t>
            </w:r>
            <w:r w:rsidR="007567F3">
              <w:rPr>
                <w:noProof/>
                <w:webHidden/>
              </w:rPr>
              <w:fldChar w:fldCharType="end"/>
            </w:r>
          </w:hyperlink>
        </w:p>
        <w:p w14:paraId="5C70FEF6" w14:textId="639C67BB" w:rsidR="007567F3" w:rsidRDefault="0077032A">
          <w:pPr>
            <w:pStyle w:val="TOC1"/>
            <w:tabs>
              <w:tab w:val="right" w:leader="dot" w:pos="9016"/>
            </w:tabs>
            <w:rPr>
              <w:rFonts w:eastAsiaTheme="minorEastAsia" w:cstheme="minorBidi"/>
              <w:b w:val="0"/>
              <w:bCs w:val="0"/>
              <w:i w:val="0"/>
              <w:iCs w:val="0"/>
              <w:noProof/>
              <w:lang w:val="en-BG" w:eastAsia="en-GB"/>
            </w:rPr>
          </w:pPr>
          <w:hyperlink w:anchor="_Toc136274661" w:history="1">
            <w:r w:rsidR="007567F3" w:rsidRPr="00EB549C">
              <w:rPr>
                <w:rStyle w:val="Hyperlink"/>
                <w:rFonts w:ascii="Times New Roman" w:eastAsia="Times New Roman" w:hAnsi="Times New Roman" w:cs="Times New Roman"/>
                <w:noProof/>
              </w:rPr>
              <w:t>Chapter 1 – Competitive Analysis of Manchester United</w:t>
            </w:r>
            <w:r w:rsidR="007567F3">
              <w:rPr>
                <w:noProof/>
                <w:webHidden/>
              </w:rPr>
              <w:tab/>
            </w:r>
            <w:r w:rsidR="007567F3">
              <w:rPr>
                <w:noProof/>
                <w:webHidden/>
              </w:rPr>
              <w:fldChar w:fldCharType="begin"/>
            </w:r>
            <w:r w:rsidR="007567F3">
              <w:rPr>
                <w:noProof/>
                <w:webHidden/>
              </w:rPr>
              <w:instrText xml:space="preserve"> PAGEREF _Toc136274661 \h </w:instrText>
            </w:r>
            <w:r w:rsidR="007567F3">
              <w:rPr>
                <w:noProof/>
                <w:webHidden/>
              </w:rPr>
            </w:r>
            <w:r w:rsidR="007567F3">
              <w:rPr>
                <w:noProof/>
                <w:webHidden/>
              </w:rPr>
              <w:fldChar w:fldCharType="separate"/>
            </w:r>
            <w:r w:rsidR="00073231">
              <w:rPr>
                <w:noProof/>
                <w:webHidden/>
              </w:rPr>
              <w:t>10</w:t>
            </w:r>
            <w:r w:rsidR="007567F3">
              <w:rPr>
                <w:noProof/>
                <w:webHidden/>
              </w:rPr>
              <w:fldChar w:fldCharType="end"/>
            </w:r>
          </w:hyperlink>
        </w:p>
        <w:p w14:paraId="75F21CE6" w14:textId="14763741" w:rsidR="007567F3" w:rsidRDefault="0077032A">
          <w:pPr>
            <w:pStyle w:val="TOC2"/>
            <w:tabs>
              <w:tab w:val="right" w:leader="dot" w:pos="9016"/>
            </w:tabs>
            <w:rPr>
              <w:rFonts w:eastAsiaTheme="minorEastAsia" w:cstheme="minorBidi"/>
              <w:b w:val="0"/>
              <w:bCs w:val="0"/>
              <w:noProof/>
              <w:sz w:val="24"/>
              <w:szCs w:val="24"/>
              <w:lang w:val="en-BG" w:eastAsia="en-GB"/>
            </w:rPr>
          </w:pPr>
          <w:hyperlink w:anchor="_Toc136274662" w:history="1">
            <w:r w:rsidR="007567F3" w:rsidRPr="00EB549C">
              <w:rPr>
                <w:rStyle w:val="Hyperlink"/>
                <w:rFonts w:ascii="Times New Roman" w:eastAsia="Times New Roman" w:hAnsi="Times New Roman" w:cs="Times New Roman"/>
                <w:noProof/>
              </w:rPr>
              <w:t>1.1. PEST Analysis</w:t>
            </w:r>
            <w:r w:rsidR="007567F3">
              <w:rPr>
                <w:noProof/>
                <w:webHidden/>
              </w:rPr>
              <w:tab/>
            </w:r>
            <w:r w:rsidR="007567F3">
              <w:rPr>
                <w:noProof/>
                <w:webHidden/>
              </w:rPr>
              <w:fldChar w:fldCharType="begin"/>
            </w:r>
            <w:r w:rsidR="007567F3">
              <w:rPr>
                <w:noProof/>
                <w:webHidden/>
              </w:rPr>
              <w:instrText xml:space="preserve"> PAGEREF _Toc136274662 \h </w:instrText>
            </w:r>
            <w:r w:rsidR="007567F3">
              <w:rPr>
                <w:noProof/>
                <w:webHidden/>
              </w:rPr>
            </w:r>
            <w:r w:rsidR="007567F3">
              <w:rPr>
                <w:noProof/>
                <w:webHidden/>
              </w:rPr>
              <w:fldChar w:fldCharType="separate"/>
            </w:r>
            <w:r w:rsidR="00073231">
              <w:rPr>
                <w:noProof/>
                <w:webHidden/>
              </w:rPr>
              <w:t>10</w:t>
            </w:r>
            <w:r w:rsidR="007567F3">
              <w:rPr>
                <w:noProof/>
                <w:webHidden/>
              </w:rPr>
              <w:fldChar w:fldCharType="end"/>
            </w:r>
          </w:hyperlink>
        </w:p>
        <w:p w14:paraId="644B9538" w14:textId="2A2137BC" w:rsidR="007567F3" w:rsidRDefault="0077032A">
          <w:pPr>
            <w:pStyle w:val="TOC3"/>
            <w:tabs>
              <w:tab w:val="right" w:leader="dot" w:pos="9016"/>
            </w:tabs>
            <w:rPr>
              <w:rFonts w:eastAsiaTheme="minorEastAsia" w:cstheme="minorBidi"/>
              <w:noProof/>
              <w:sz w:val="24"/>
              <w:szCs w:val="24"/>
              <w:lang w:val="en-BG" w:eastAsia="en-GB"/>
            </w:rPr>
          </w:pPr>
          <w:hyperlink w:anchor="_Toc136274663" w:history="1">
            <w:r w:rsidR="007567F3" w:rsidRPr="00EB549C">
              <w:rPr>
                <w:rStyle w:val="Hyperlink"/>
                <w:rFonts w:ascii="Times New Roman" w:eastAsia="Times New Roman" w:hAnsi="Times New Roman" w:cs="Times New Roman"/>
                <w:noProof/>
              </w:rPr>
              <w:t>1.1.1. Political Factors:</w:t>
            </w:r>
            <w:r w:rsidR="007567F3">
              <w:rPr>
                <w:noProof/>
                <w:webHidden/>
              </w:rPr>
              <w:tab/>
            </w:r>
            <w:r w:rsidR="007567F3">
              <w:rPr>
                <w:noProof/>
                <w:webHidden/>
              </w:rPr>
              <w:fldChar w:fldCharType="begin"/>
            </w:r>
            <w:r w:rsidR="007567F3">
              <w:rPr>
                <w:noProof/>
                <w:webHidden/>
              </w:rPr>
              <w:instrText xml:space="preserve"> PAGEREF _Toc136274663 \h </w:instrText>
            </w:r>
            <w:r w:rsidR="007567F3">
              <w:rPr>
                <w:noProof/>
                <w:webHidden/>
              </w:rPr>
            </w:r>
            <w:r w:rsidR="007567F3">
              <w:rPr>
                <w:noProof/>
                <w:webHidden/>
              </w:rPr>
              <w:fldChar w:fldCharType="separate"/>
            </w:r>
            <w:r w:rsidR="00073231">
              <w:rPr>
                <w:noProof/>
                <w:webHidden/>
              </w:rPr>
              <w:t>10</w:t>
            </w:r>
            <w:r w:rsidR="007567F3">
              <w:rPr>
                <w:noProof/>
                <w:webHidden/>
              </w:rPr>
              <w:fldChar w:fldCharType="end"/>
            </w:r>
          </w:hyperlink>
        </w:p>
        <w:p w14:paraId="42A87450" w14:textId="31251D8E" w:rsidR="007567F3" w:rsidRDefault="0077032A">
          <w:pPr>
            <w:pStyle w:val="TOC3"/>
            <w:tabs>
              <w:tab w:val="right" w:leader="dot" w:pos="9016"/>
            </w:tabs>
            <w:rPr>
              <w:rFonts w:eastAsiaTheme="minorEastAsia" w:cstheme="minorBidi"/>
              <w:noProof/>
              <w:sz w:val="24"/>
              <w:szCs w:val="24"/>
              <w:lang w:val="en-BG" w:eastAsia="en-GB"/>
            </w:rPr>
          </w:pPr>
          <w:hyperlink w:anchor="_Toc136274664" w:history="1">
            <w:r w:rsidR="007567F3" w:rsidRPr="00EB549C">
              <w:rPr>
                <w:rStyle w:val="Hyperlink"/>
                <w:rFonts w:ascii="Times New Roman" w:eastAsia="Times New Roman" w:hAnsi="Times New Roman" w:cs="Times New Roman"/>
                <w:noProof/>
              </w:rPr>
              <w:t>1.1.2. Economic Factors:</w:t>
            </w:r>
            <w:r w:rsidR="007567F3">
              <w:rPr>
                <w:noProof/>
                <w:webHidden/>
              </w:rPr>
              <w:tab/>
            </w:r>
            <w:r w:rsidR="007567F3">
              <w:rPr>
                <w:noProof/>
                <w:webHidden/>
              </w:rPr>
              <w:fldChar w:fldCharType="begin"/>
            </w:r>
            <w:r w:rsidR="007567F3">
              <w:rPr>
                <w:noProof/>
                <w:webHidden/>
              </w:rPr>
              <w:instrText xml:space="preserve"> PAGEREF _Toc136274664 \h </w:instrText>
            </w:r>
            <w:r w:rsidR="007567F3">
              <w:rPr>
                <w:noProof/>
                <w:webHidden/>
              </w:rPr>
            </w:r>
            <w:r w:rsidR="007567F3">
              <w:rPr>
                <w:noProof/>
                <w:webHidden/>
              </w:rPr>
              <w:fldChar w:fldCharType="separate"/>
            </w:r>
            <w:r w:rsidR="00073231">
              <w:rPr>
                <w:noProof/>
                <w:webHidden/>
              </w:rPr>
              <w:t>11</w:t>
            </w:r>
            <w:r w:rsidR="007567F3">
              <w:rPr>
                <w:noProof/>
                <w:webHidden/>
              </w:rPr>
              <w:fldChar w:fldCharType="end"/>
            </w:r>
          </w:hyperlink>
        </w:p>
        <w:p w14:paraId="5382FB46" w14:textId="239A6FF1" w:rsidR="007567F3" w:rsidRDefault="0077032A">
          <w:pPr>
            <w:pStyle w:val="TOC3"/>
            <w:tabs>
              <w:tab w:val="right" w:leader="dot" w:pos="9016"/>
            </w:tabs>
            <w:rPr>
              <w:rFonts w:eastAsiaTheme="minorEastAsia" w:cstheme="minorBidi"/>
              <w:noProof/>
              <w:sz w:val="24"/>
              <w:szCs w:val="24"/>
              <w:lang w:val="en-BG" w:eastAsia="en-GB"/>
            </w:rPr>
          </w:pPr>
          <w:hyperlink w:anchor="_Toc136274665" w:history="1">
            <w:r w:rsidR="007567F3" w:rsidRPr="00EB549C">
              <w:rPr>
                <w:rStyle w:val="Hyperlink"/>
                <w:rFonts w:ascii="Times New Roman" w:eastAsia="Times New Roman" w:hAnsi="Times New Roman" w:cs="Times New Roman"/>
                <w:noProof/>
              </w:rPr>
              <w:t>1.1.3 Socio-cultural Factors:</w:t>
            </w:r>
            <w:r w:rsidR="007567F3">
              <w:rPr>
                <w:noProof/>
                <w:webHidden/>
              </w:rPr>
              <w:tab/>
            </w:r>
            <w:r w:rsidR="007567F3">
              <w:rPr>
                <w:noProof/>
                <w:webHidden/>
              </w:rPr>
              <w:fldChar w:fldCharType="begin"/>
            </w:r>
            <w:r w:rsidR="007567F3">
              <w:rPr>
                <w:noProof/>
                <w:webHidden/>
              </w:rPr>
              <w:instrText xml:space="preserve"> PAGEREF _Toc136274665 \h </w:instrText>
            </w:r>
            <w:r w:rsidR="007567F3">
              <w:rPr>
                <w:noProof/>
                <w:webHidden/>
              </w:rPr>
            </w:r>
            <w:r w:rsidR="007567F3">
              <w:rPr>
                <w:noProof/>
                <w:webHidden/>
              </w:rPr>
              <w:fldChar w:fldCharType="separate"/>
            </w:r>
            <w:r w:rsidR="00073231">
              <w:rPr>
                <w:noProof/>
                <w:webHidden/>
              </w:rPr>
              <w:t>13</w:t>
            </w:r>
            <w:r w:rsidR="007567F3">
              <w:rPr>
                <w:noProof/>
                <w:webHidden/>
              </w:rPr>
              <w:fldChar w:fldCharType="end"/>
            </w:r>
          </w:hyperlink>
        </w:p>
        <w:p w14:paraId="62EEA0F1" w14:textId="04A4EAFA" w:rsidR="007567F3" w:rsidRDefault="0077032A">
          <w:pPr>
            <w:pStyle w:val="TOC3"/>
            <w:tabs>
              <w:tab w:val="right" w:leader="dot" w:pos="9016"/>
            </w:tabs>
            <w:rPr>
              <w:rFonts w:eastAsiaTheme="minorEastAsia" w:cstheme="minorBidi"/>
              <w:noProof/>
              <w:sz w:val="24"/>
              <w:szCs w:val="24"/>
              <w:lang w:val="en-BG" w:eastAsia="en-GB"/>
            </w:rPr>
          </w:pPr>
          <w:hyperlink w:anchor="_Toc136274666" w:history="1">
            <w:r w:rsidR="007567F3" w:rsidRPr="00EB549C">
              <w:rPr>
                <w:rStyle w:val="Hyperlink"/>
                <w:rFonts w:ascii="Times New Roman" w:eastAsia="Times New Roman" w:hAnsi="Times New Roman" w:cs="Times New Roman"/>
                <w:noProof/>
              </w:rPr>
              <w:t>1.1.4. Technological Factors:</w:t>
            </w:r>
            <w:r w:rsidR="007567F3">
              <w:rPr>
                <w:noProof/>
                <w:webHidden/>
              </w:rPr>
              <w:tab/>
            </w:r>
            <w:r w:rsidR="007567F3">
              <w:rPr>
                <w:noProof/>
                <w:webHidden/>
              </w:rPr>
              <w:fldChar w:fldCharType="begin"/>
            </w:r>
            <w:r w:rsidR="007567F3">
              <w:rPr>
                <w:noProof/>
                <w:webHidden/>
              </w:rPr>
              <w:instrText xml:space="preserve"> PAGEREF _Toc136274666 \h </w:instrText>
            </w:r>
            <w:r w:rsidR="007567F3">
              <w:rPr>
                <w:noProof/>
                <w:webHidden/>
              </w:rPr>
            </w:r>
            <w:r w:rsidR="007567F3">
              <w:rPr>
                <w:noProof/>
                <w:webHidden/>
              </w:rPr>
              <w:fldChar w:fldCharType="separate"/>
            </w:r>
            <w:r w:rsidR="00073231">
              <w:rPr>
                <w:noProof/>
                <w:webHidden/>
              </w:rPr>
              <w:t>13</w:t>
            </w:r>
            <w:r w:rsidR="007567F3">
              <w:rPr>
                <w:noProof/>
                <w:webHidden/>
              </w:rPr>
              <w:fldChar w:fldCharType="end"/>
            </w:r>
          </w:hyperlink>
        </w:p>
        <w:p w14:paraId="77A128B2" w14:textId="6AA8B2D5" w:rsidR="007567F3" w:rsidRDefault="0077032A">
          <w:pPr>
            <w:pStyle w:val="TOC2"/>
            <w:tabs>
              <w:tab w:val="right" w:leader="dot" w:pos="9016"/>
            </w:tabs>
            <w:rPr>
              <w:rFonts w:eastAsiaTheme="minorEastAsia" w:cstheme="minorBidi"/>
              <w:b w:val="0"/>
              <w:bCs w:val="0"/>
              <w:noProof/>
              <w:sz w:val="24"/>
              <w:szCs w:val="24"/>
              <w:lang w:val="en-BG" w:eastAsia="en-GB"/>
            </w:rPr>
          </w:pPr>
          <w:hyperlink w:anchor="_Toc136274667" w:history="1">
            <w:r w:rsidR="007567F3" w:rsidRPr="00EB549C">
              <w:rPr>
                <w:rStyle w:val="Hyperlink"/>
                <w:rFonts w:ascii="Times New Roman" w:eastAsia="Times New Roman" w:hAnsi="Times New Roman" w:cs="Times New Roman"/>
                <w:noProof/>
              </w:rPr>
              <w:t>2.1. Porter’s 5 Forces Analysis</w:t>
            </w:r>
            <w:r w:rsidR="007567F3">
              <w:rPr>
                <w:noProof/>
                <w:webHidden/>
              </w:rPr>
              <w:tab/>
            </w:r>
            <w:r w:rsidR="007567F3">
              <w:rPr>
                <w:noProof/>
                <w:webHidden/>
              </w:rPr>
              <w:fldChar w:fldCharType="begin"/>
            </w:r>
            <w:r w:rsidR="007567F3">
              <w:rPr>
                <w:noProof/>
                <w:webHidden/>
              </w:rPr>
              <w:instrText xml:space="preserve"> PAGEREF _Toc136274667 \h </w:instrText>
            </w:r>
            <w:r w:rsidR="007567F3">
              <w:rPr>
                <w:noProof/>
                <w:webHidden/>
              </w:rPr>
            </w:r>
            <w:r w:rsidR="007567F3">
              <w:rPr>
                <w:noProof/>
                <w:webHidden/>
              </w:rPr>
              <w:fldChar w:fldCharType="separate"/>
            </w:r>
            <w:r w:rsidR="00073231">
              <w:rPr>
                <w:noProof/>
                <w:webHidden/>
              </w:rPr>
              <w:t>14</w:t>
            </w:r>
            <w:r w:rsidR="007567F3">
              <w:rPr>
                <w:noProof/>
                <w:webHidden/>
              </w:rPr>
              <w:fldChar w:fldCharType="end"/>
            </w:r>
          </w:hyperlink>
        </w:p>
        <w:p w14:paraId="7CA32B1F" w14:textId="390CB6A7" w:rsidR="007567F3" w:rsidRDefault="0077032A">
          <w:pPr>
            <w:pStyle w:val="TOC2"/>
            <w:tabs>
              <w:tab w:val="right" w:leader="dot" w:pos="9016"/>
            </w:tabs>
            <w:rPr>
              <w:rFonts w:eastAsiaTheme="minorEastAsia" w:cstheme="minorBidi"/>
              <w:b w:val="0"/>
              <w:bCs w:val="0"/>
              <w:noProof/>
              <w:sz w:val="24"/>
              <w:szCs w:val="24"/>
              <w:lang w:val="en-BG" w:eastAsia="en-GB"/>
            </w:rPr>
          </w:pPr>
          <w:hyperlink w:anchor="_Toc136274668" w:history="1">
            <w:r w:rsidR="007567F3" w:rsidRPr="00EB549C">
              <w:rPr>
                <w:rStyle w:val="Hyperlink"/>
                <w:noProof/>
              </w:rPr>
              <w:t>3.1. Key Success Factors</w:t>
            </w:r>
            <w:r w:rsidR="007567F3">
              <w:rPr>
                <w:noProof/>
                <w:webHidden/>
              </w:rPr>
              <w:tab/>
            </w:r>
            <w:r w:rsidR="007567F3">
              <w:rPr>
                <w:noProof/>
                <w:webHidden/>
              </w:rPr>
              <w:fldChar w:fldCharType="begin"/>
            </w:r>
            <w:r w:rsidR="007567F3">
              <w:rPr>
                <w:noProof/>
                <w:webHidden/>
              </w:rPr>
              <w:instrText xml:space="preserve"> PAGEREF _Toc136274668 \h </w:instrText>
            </w:r>
            <w:r w:rsidR="007567F3">
              <w:rPr>
                <w:noProof/>
                <w:webHidden/>
              </w:rPr>
            </w:r>
            <w:r w:rsidR="007567F3">
              <w:rPr>
                <w:noProof/>
                <w:webHidden/>
              </w:rPr>
              <w:fldChar w:fldCharType="separate"/>
            </w:r>
            <w:r w:rsidR="00073231">
              <w:rPr>
                <w:noProof/>
                <w:webHidden/>
              </w:rPr>
              <w:t>18</w:t>
            </w:r>
            <w:r w:rsidR="007567F3">
              <w:rPr>
                <w:noProof/>
                <w:webHidden/>
              </w:rPr>
              <w:fldChar w:fldCharType="end"/>
            </w:r>
          </w:hyperlink>
        </w:p>
        <w:p w14:paraId="1ABA4B36" w14:textId="0CF4A47D" w:rsidR="007567F3" w:rsidRDefault="0077032A">
          <w:pPr>
            <w:pStyle w:val="TOC2"/>
            <w:tabs>
              <w:tab w:val="right" w:leader="dot" w:pos="9016"/>
            </w:tabs>
            <w:rPr>
              <w:rFonts w:eastAsiaTheme="minorEastAsia" w:cstheme="minorBidi"/>
              <w:b w:val="0"/>
              <w:bCs w:val="0"/>
              <w:noProof/>
              <w:sz w:val="24"/>
              <w:szCs w:val="24"/>
              <w:lang w:val="en-BG" w:eastAsia="en-GB"/>
            </w:rPr>
          </w:pPr>
          <w:hyperlink w:anchor="_Toc136274669" w:history="1">
            <w:r w:rsidR="007567F3" w:rsidRPr="00EB549C">
              <w:rPr>
                <w:rStyle w:val="Hyperlink"/>
                <w:rFonts w:ascii="Times New Roman" w:hAnsi="Times New Roman" w:cs="Times New Roman"/>
                <w:noProof/>
              </w:rPr>
              <w:t>4.1. Primary SWOT Matrix</w:t>
            </w:r>
            <w:r w:rsidR="007567F3">
              <w:rPr>
                <w:noProof/>
                <w:webHidden/>
              </w:rPr>
              <w:tab/>
            </w:r>
            <w:r w:rsidR="007567F3">
              <w:rPr>
                <w:noProof/>
                <w:webHidden/>
              </w:rPr>
              <w:fldChar w:fldCharType="begin"/>
            </w:r>
            <w:r w:rsidR="007567F3">
              <w:rPr>
                <w:noProof/>
                <w:webHidden/>
              </w:rPr>
              <w:instrText xml:space="preserve"> PAGEREF _Toc136274669 \h </w:instrText>
            </w:r>
            <w:r w:rsidR="007567F3">
              <w:rPr>
                <w:noProof/>
                <w:webHidden/>
              </w:rPr>
            </w:r>
            <w:r w:rsidR="007567F3">
              <w:rPr>
                <w:noProof/>
                <w:webHidden/>
              </w:rPr>
              <w:fldChar w:fldCharType="separate"/>
            </w:r>
            <w:r w:rsidR="00073231">
              <w:rPr>
                <w:noProof/>
                <w:webHidden/>
              </w:rPr>
              <w:t>21</w:t>
            </w:r>
            <w:r w:rsidR="007567F3">
              <w:rPr>
                <w:noProof/>
                <w:webHidden/>
              </w:rPr>
              <w:fldChar w:fldCharType="end"/>
            </w:r>
          </w:hyperlink>
        </w:p>
        <w:p w14:paraId="77E40F56" w14:textId="48862890" w:rsidR="007567F3" w:rsidRDefault="0077032A">
          <w:pPr>
            <w:pStyle w:val="TOC2"/>
            <w:tabs>
              <w:tab w:val="right" w:leader="dot" w:pos="9016"/>
            </w:tabs>
            <w:rPr>
              <w:rFonts w:eastAsiaTheme="minorEastAsia" w:cstheme="minorBidi"/>
              <w:b w:val="0"/>
              <w:bCs w:val="0"/>
              <w:noProof/>
              <w:sz w:val="24"/>
              <w:szCs w:val="24"/>
              <w:lang w:val="en-BG" w:eastAsia="en-GB"/>
            </w:rPr>
          </w:pPr>
          <w:hyperlink w:anchor="_Toc136274670" w:history="1">
            <w:r w:rsidR="007567F3" w:rsidRPr="00EB549C">
              <w:rPr>
                <w:rStyle w:val="Hyperlink"/>
                <w:rFonts w:ascii="Times New Roman" w:hAnsi="Times New Roman" w:cs="Times New Roman"/>
                <w:noProof/>
              </w:rPr>
              <w:t>5.1. Data Analysis</w:t>
            </w:r>
            <w:r w:rsidR="007567F3">
              <w:rPr>
                <w:noProof/>
                <w:webHidden/>
              </w:rPr>
              <w:tab/>
            </w:r>
            <w:r w:rsidR="007567F3">
              <w:rPr>
                <w:noProof/>
                <w:webHidden/>
              </w:rPr>
              <w:fldChar w:fldCharType="begin"/>
            </w:r>
            <w:r w:rsidR="007567F3">
              <w:rPr>
                <w:noProof/>
                <w:webHidden/>
              </w:rPr>
              <w:instrText xml:space="preserve"> PAGEREF _Toc136274670 \h </w:instrText>
            </w:r>
            <w:r w:rsidR="007567F3">
              <w:rPr>
                <w:noProof/>
                <w:webHidden/>
              </w:rPr>
            </w:r>
            <w:r w:rsidR="007567F3">
              <w:rPr>
                <w:noProof/>
                <w:webHidden/>
              </w:rPr>
              <w:fldChar w:fldCharType="separate"/>
            </w:r>
            <w:r w:rsidR="00073231">
              <w:rPr>
                <w:noProof/>
                <w:webHidden/>
              </w:rPr>
              <w:t>29</w:t>
            </w:r>
            <w:r w:rsidR="007567F3">
              <w:rPr>
                <w:noProof/>
                <w:webHidden/>
              </w:rPr>
              <w:fldChar w:fldCharType="end"/>
            </w:r>
          </w:hyperlink>
        </w:p>
        <w:p w14:paraId="032D4358" w14:textId="68728014" w:rsidR="007567F3" w:rsidRDefault="0077032A">
          <w:pPr>
            <w:pStyle w:val="TOC1"/>
            <w:tabs>
              <w:tab w:val="right" w:leader="dot" w:pos="9016"/>
            </w:tabs>
            <w:rPr>
              <w:rFonts w:eastAsiaTheme="minorEastAsia" w:cstheme="minorBidi"/>
              <w:b w:val="0"/>
              <w:bCs w:val="0"/>
              <w:i w:val="0"/>
              <w:iCs w:val="0"/>
              <w:noProof/>
              <w:lang w:val="en-BG" w:eastAsia="en-GB"/>
            </w:rPr>
          </w:pPr>
          <w:hyperlink w:anchor="_Toc136274671" w:history="1">
            <w:r w:rsidR="007567F3" w:rsidRPr="00EB549C">
              <w:rPr>
                <w:rStyle w:val="Hyperlink"/>
                <w:rFonts w:ascii="Times New Roman" w:eastAsia="Times New Roman" w:hAnsi="Times New Roman" w:cs="Times New Roman"/>
                <w:noProof/>
              </w:rPr>
              <w:t>Chapter 2 – Mixed Method Analyses of Manchester United’s transfer policy</w:t>
            </w:r>
            <w:r w:rsidR="007567F3">
              <w:rPr>
                <w:noProof/>
                <w:webHidden/>
              </w:rPr>
              <w:tab/>
            </w:r>
            <w:r w:rsidR="007567F3">
              <w:rPr>
                <w:noProof/>
                <w:webHidden/>
              </w:rPr>
              <w:fldChar w:fldCharType="begin"/>
            </w:r>
            <w:r w:rsidR="007567F3">
              <w:rPr>
                <w:noProof/>
                <w:webHidden/>
              </w:rPr>
              <w:instrText xml:space="preserve"> PAGEREF _Toc136274671 \h </w:instrText>
            </w:r>
            <w:r w:rsidR="007567F3">
              <w:rPr>
                <w:noProof/>
                <w:webHidden/>
              </w:rPr>
            </w:r>
            <w:r w:rsidR="007567F3">
              <w:rPr>
                <w:noProof/>
                <w:webHidden/>
              </w:rPr>
              <w:fldChar w:fldCharType="separate"/>
            </w:r>
            <w:r w:rsidR="00073231">
              <w:rPr>
                <w:noProof/>
                <w:webHidden/>
              </w:rPr>
              <w:t>37</w:t>
            </w:r>
            <w:r w:rsidR="007567F3">
              <w:rPr>
                <w:noProof/>
                <w:webHidden/>
              </w:rPr>
              <w:fldChar w:fldCharType="end"/>
            </w:r>
          </w:hyperlink>
        </w:p>
        <w:p w14:paraId="7A7D2610" w14:textId="578E4E87" w:rsidR="007567F3" w:rsidRDefault="0077032A">
          <w:pPr>
            <w:pStyle w:val="TOC2"/>
            <w:tabs>
              <w:tab w:val="right" w:leader="dot" w:pos="9016"/>
            </w:tabs>
            <w:rPr>
              <w:rFonts w:eastAsiaTheme="minorEastAsia" w:cstheme="minorBidi"/>
              <w:b w:val="0"/>
              <w:bCs w:val="0"/>
              <w:noProof/>
              <w:sz w:val="24"/>
              <w:szCs w:val="24"/>
              <w:lang w:val="en-BG" w:eastAsia="en-GB"/>
            </w:rPr>
          </w:pPr>
          <w:hyperlink w:anchor="_Toc136274672" w:history="1">
            <w:r w:rsidR="007567F3" w:rsidRPr="00EB549C">
              <w:rPr>
                <w:rStyle w:val="Hyperlink"/>
                <w:rFonts w:ascii="Times New Roman" w:hAnsi="Times New Roman" w:cs="Times New Roman"/>
                <w:noProof/>
              </w:rPr>
              <w:t>2.1. Quantitative approach – Player Evaluation Model (PEM)</w:t>
            </w:r>
            <w:r w:rsidR="007567F3">
              <w:rPr>
                <w:noProof/>
                <w:webHidden/>
              </w:rPr>
              <w:tab/>
            </w:r>
            <w:r w:rsidR="007567F3">
              <w:rPr>
                <w:noProof/>
                <w:webHidden/>
              </w:rPr>
              <w:fldChar w:fldCharType="begin"/>
            </w:r>
            <w:r w:rsidR="007567F3">
              <w:rPr>
                <w:noProof/>
                <w:webHidden/>
              </w:rPr>
              <w:instrText xml:space="preserve"> PAGEREF _Toc136274672 \h </w:instrText>
            </w:r>
            <w:r w:rsidR="007567F3">
              <w:rPr>
                <w:noProof/>
                <w:webHidden/>
              </w:rPr>
            </w:r>
            <w:r w:rsidR="007567F3">
              <w:rPr>
                <w:noProof/>
                <w:webHidden/>
              </w:rPr>
              <w:fldChar w:fldCharType="separate"/>
            </w:r>
            <w:r w:rsidR="00073231">
              <w:rPr>
                <w:noProof/>
                <w:webHidden/>
              </w:rPr>
              <w:t>37</w:t>
            </w:r>
            <w:r w:rsidR="007567F3">
              <w:rPr>
                <w:noProof/>
                <w:webHidden/>
              </w:rPr>
              <w:fldChar w:fldCharType="end"/>
            </w:r>
          </w:hyperlink>
        </w:p>
        <w:p w14:paraId="2E2A1C44" w14:textId="6034297F" w:rsidR="007567F3" w:rsidRDefault="0077032A">
          <w:pPr>
            <w:pStyle w:val="TOC2"/>
            <w:tabs>
              <w:tab w:val="right" w:leader="dot" w:pos="9016"/>
            </w:tabs>
            <w:rPr>
              <w:rFonts w:eastAsiaTheme="minorEastAsia" w:cstheme="minorBidi"/>
              <w:b w:val="0"/>
              <w:bCs w:val="0"/>
              <w:noProof/>
              <w:sz w:val="24"/>
              <w:szCs w:val="24"/>
              <w:lang w:val="en-BG" w:eastAsia="en-GB"/>
            </w:rPr>
          </w:pPr>
          <w:hyperlink w:anchor="_Toc136274673" w:history="1">
            <w:r w:rsidR="007567F3" w:rsidRPr="00EB549C">
              <w:rPr>
                <w:rStyle w:val="Hyperlink"/>
                <w:rFonts w:ascii="Times New Roman" w:hAnsi="Times New Roman" w:cs="Times New Roman"/>
                <w:noProof/>
              </w:rPr>
              <w:t>2.2. Mixed data-based approach – Survey among Manchester United’s supporters</w:t>
            </w:r>
            <w:r w:rsidR="007567F3">
              <w:rPr>
                <w:noProof/>
                <w:webHidden/>
              </w:rPr>
              <w:tab/>
            </w:r>
            <w:r w:rsidR="007567F3">
              <w:rPr>
                <w:noProof/>
                <w:webHidden/>
              </w:rPr>
              <w:fldChar w:fldCharType="begin"/>
            </w:r>
            <w:r w:rsidR="007567F3">
              <w:rPr>
                <w:noProof/>
                <w:webHidden/>
              </w:rPr>
              <w:instrText xml:space="preserve"> PAGEREF _Toc136274673 \h </w:instrText>
            </w:r>
            <w:r w:rsidR="007567F3">
              <w:rPr>
                <w:noProof/>
                <w:webHidden/>
              </w:rPr>
            </w:r>
            <w:r w:rsidR="007567F3">
              <w:rPr>
                <w:noProof/>
                <w:webHidden/>
              </w:rPr>
              <w:fldChar w:fldCharType="separate"/>
            </w:r>
            <w:r w:rsidR="00073231">
              <w:rPr>
                <w:noProof/>
                <w:webHidden/>
              </w:rPr>
              <w:t>47</w:t>
            </w:r>
            <w:r w:rsidR="007567F3">
              <w:rPr>
                <w:noProof/>
                <w:webHidden/>
              </w:rPr>
              <w:fldChar w:fldCharType="end"/>
            </w:r>
          </w:hyperlink>
        </w:p>
        <w:p w14:paraId="208B2F34" w14:textId="540CEEFE" w:rsidR="007567F3" w:rsidRDefault="0077032A">
          <w:pPr>
            <w:pStyle w:val="TOC1"/>
            <w:tabs>
              <w:tab w:val="right" w:leader="dot" w:pos="9016"/>
            </w:tabs>
            <w:rPr>
              <w:rFonts w:eastAsiaTheme="minorEastAsia" w:cstheme="minorBidi"/>
              <w:b w:val="0"/>
              <w:bCs w:val="0"/>
              <w:i w:val="0"/>
              <w:iCs w:val="0"/>
              <w:noProof/>
              <w:lang w:val="en-BG" w:eastAsia="en-GB"/>
            </w:rPr>
          </w:pPr>
          <w:hyperlink w:anchor="_Toc136274674" w:history="1">
            <w:r w:rsidR="007567F3" w:rsidRPr="00EB549C">
              <w:rPr>
                <w:rStyle w:val="Hyperlink"/>
                <w:rFonts w:ascii="Times New Roman" w:eastAsia="Times New Roman" w:hAnsi="Times New Roman" w:cs="Times New Roman"/>
                <w:noProof/>
              </w:rPr>
              <w:t>Strategic Recommendations</w:t>
            </w:r>
            <w:r w:rsidR="007567F3">
              <w:rPr>
                <w:noProof/>
                <w:webHidden/>
              </w:rPr>
              <w:tab/>
            </w:r>
            <w:r w:rsidR="007567F3">
              <w:rPr>
                <w:noProof/>
                <w:webHidden/>
              </w:rPr>
              <w:fldChar w:fldCharType="begin"/>
            </w:r>
            <w:r w:rsidR="007567F3">
              <w:rPr>
                <w:noProof/>
                <w:webHidden/>
              </w:rPr>
              <w:instrText xml:space="preserve"> PAGEREF _Toc136274674 \h </w:instrText>
            </w:r>
            <w:r w:rsidR="007567F3">
              <w:rPr>
                <w:noProof/>
                <w:webHidden/>
              </w:rPr>
            </w:r>
            <w:r w:rsidR="007567F3">
              <w:rPr>
                <w:noProof/>
                <w:webHidden/>
              </w:rPr>
              <w:fldChar w:fldCharType="separate"/>
            </w:r>
            <w:r w:rsidR="00073231">
              <w:rPr>
                <w:noProof/>
                <w:webHidden/>
              </w:rPr>
              <w:t>54</w:t>
            </w:r>
            <w:r w:rsidR="007567F3">
              <w:rPr>
                <w:noProof/>
                <w:webHidden/>
              </w:rPr>
              <w:fldChar w:fldCharType="end"/>
            </w:r>
          </w:hyperlink>
        </w:p>
        <w:p w14:paraId="169E90D8" w14:textId="25C49A3F" w:rsidR="007567F3" w:rsidRDefault="0077032A">
          <w:pPr>
            <w:pStyle w:val="TOC2"/>
            <w:tabs>
              <w:tab w:val="right" w:leader="dot" w:pos="9016"/>
            </w:tabs>
            <w:rPr>
              <w:rFonts w:eastAsiaTheme="minorEastAsia" w:cstheme="minorBidi"/>
              <w:b w:val="0"/>
              <w:bCs w:val="0"/>
              <w:noProof/>
              <w:sz w:val="24"/>
              <w:szCs w:val="24"/>
              <w:lang w:val="en-BG" w:eastAsia="en-GB"/>
            </w:rPr>
          </w:pPr>
          <w:hyperlink w:anchor="_Toc136274675" w:history="1">
            <w:r w:rsidR="007567F3" w:rsidRPr="00EB549C">
              <w:rPr>
                <w:rStyle w:val="Hyperlink"/>
                <w:rFonts w:ascii="Times New Roman" w:hAnsi="Times New Roman" w:cs="Times New Roman"/>
                <w:noProof/>
              </w:rPr>
              <w:t>Current state-of-the-art at Manchester United</w:t>
            </w:r>
            <w:r w:rsidR="007567F3">
              <w:rPr>
                <w:noProof/>
                <w:webHidden/>
              </w:rPr>
              <w:tab/>
            </w:r>
            <w:r w:rsidR="007567F3">
              <w:rPr>
                <w:noProof/>
                <w:webHidden/>
              </w:rPr>
              <w:fldChar w:fldCharType="begin"/>
            </w:r>
            <w:r w:rsidR="007567F3">
              <w:rPr>
                <w:noProof/>
                <w:webHidden/>
              </w:rPr>
              <w:instrText xml:space="preserve"> PAGEREF _Toc136274675 \h </w:instrText>
            </w:r>
            <w:r w:rsidR="007567F3">
              <w:rPr>
                <w:noProof/>
                <w:webHidden/>
              </w:rPr>
            </w:r>
            <w:r w:rsidR="007567F3">
              <w:rPr>
                <w:noProof/>
                <w:webHidden/>
              </w:rPr>
              <w:fldChar w:fldCharType="separate"/>
            </w:r>
            <w:r w:rsidR="00073231">
              <w:rPr>
                <w:noProof/>
                <w:webHidden/>
              </w:rPr>
              <w:t>54</w:t>
            </w:r>
            <w:r w:rsidR="007567F3">
              <w:rPr>
                <w:noProof/>
                <w:webHidden/>
              </w:rPr>
              <w:fldChar w:fldCharType="end"/>
            </w:r>
          </w:hyperlink>
        </w:p>
        <w:p w14:paraId="5C2775B9" w14:textId="7052EB05" w:rsidR="007567F3" w:rsidRDefault="0077032A">
          <w:pPr>
            <w:pStyle w:val="TOC2"/>
            <w:tabs>
              <w:tab w:val="right" w:leader="dot" w:pos="9016"/>
            </w:tabs>
            <w:rPr>
              <w:rFonts w:eastAsiaTheme="minorEastAsia" w:cstheme="minorBidi"/>
              <w:b w:val="0"/>
              <w:bCs w:val="0"/>
              <w:noProof/>
              <w:sz w:val="24"/>
              <w:szCs w:val="24"/>
              <w:lang w:val="en-BG" w:eastAsia="en-GB"/>
            </w:rPr>
          </w:pPr>
          <w:hyperlink w:anchor="_Toc136274676" w:history="1">
            <w:r w:rsidR="007567F3" w:rsidRPr="00EB549C">
              <w:rPr>
                <w:rStyle w:val="Hyperlink"/>
                <w:noProof/>
              </w:rPr>
              <w:t>Strategic recommendations outline</w:t>
            </w:r>
            <w:r w:rsidR="007567F3">
              <w:rPr>
                <w:noProof/>
                <w:webHidden/>
              </w:rPr>
              <w:tab/>
            </w:r>
            <w:r w:rsidR="007567F3">
              <w:rPr>
                <w:noProof/>
                <w:webHidden/>
              </w:rPr>
              <w:fldChar w:fldCharType="begin"/>
            </w:r>
            <w:r w:rsidR="007567F3">
              <w:rPr>
                <w:noProof/>
                <w:webHidden/>
              </w:rPr>
              <w:instrText xml:space="preserve"> PAGEREF _Toc136274676 \h </w:instrText>
            </w:r>
            <w:r w:rsidR="007567F3">
              <w:rPr>
                <w:noProof/>
                <w:webHidden/>
              </w:rPr>
            </w:r>
            <w:r w:rsidR="007567F3">
              <w:rPr>
                <w:noProof/>
                <w:webHidden/>
              </w:rPr>
              <w:fldChar w:fldCharType="separate"/>
            </w:r>
            <w:r w:rsidR="00073231">
              <w:rPr>
                <w:noProof/>
                <w:webHidden/>
              </w:rPr>
              <w:t>56</w:t>
            </w:r>
            <w:r w:rsidR="007567F3">
              <w:rPr>
                <w:noProof/>
                <w:webHidden/>
              </w:rPr>
              <w:fldChar w:fldCharType="end"/>
            </w:r>
          </w:hyperlink>
        </w:p>
        <w:p w14:paraId="70DC3071" w14:textId="373CEA75" w:rsidR="007567F3" w:rsidRDefault="0077032A">
          <w:pPr>
            <w:pStyle w:val="TOC2"/>
            <w:tabs>
              <w:tab w:val="right" w:leader="dot" w:pos="9016"/>
            </w:tabs>
            <w:rPr>
              <w:rFonts w:eastAsiaTheme="minorEastAsia" w:cstheme="minorBidi"/>
              <w:b w:val="0"/>
              <w:bCs w:val="0"/>
              <w:noProof/>
              <w:sz w:val="24"/>
              <w:szCs w:val="24"/>
              <w:lang w:val="en-BG" w:eastAsia="en-GB"/>
            </w:rPr>
          </w:pPr>
          <w:hyperlink w:anchor="_Toc136274677" w:history="1">
            <w:r w:rsidR="007567F3" w:rsidRPr="00EB549C">
              <w:rPr>
                <w:rStyle w:val="Hyperlink"/>
                <w:rFonts w:ascii="Times New Roman" w:hAnsi="Times New Roman" w:cs="Times New Roman"/>
                <w:noProof/>
              </w:rPr>
              <w:t>Strategic Recommendations</w:t>
            </w:r>
            <w:r w:rsidR="007567F3">
              <w:rPr>
                <w:noProof/>
                <w:webHidden/>
              </w:rPr>
              <w:tab/>
            </w:r>
            <w:r w:rsidR="007567F3">
              <w:rPr>
                <w:noProof/>
                <w:webHidden/>
              </w:rPr>
              <w:fldChar w:fldCharType="begin"/>
            </w:r>
            <w:r w:rsidR="007567F3">
              <w:rPr>
                <w:noProof/>
                <w:webHidden/>
              </w:rPr>
              <w:instrText xml:space="preserve"> PAGEREF _Toc136274677 \h </w:instrText>
            </w:r>
            <w:r w:rsidR="007567F3">
              <w:rPr>
                <w:noProof/>
                <w:webHidden/>
              </w:rPr>
            </w:r>
            <w:r w:rsidR="007567F3">
              <w:rPr>
                <w:noProof/>
                <w:webHidden/>
              </w:rPr>
              <w:fldChar w:fldCharType="separate"/>
            </w:r>
            <w:r w:rsidR="00073231">
              <w:rPr>
                <w:noProof/>
                <w:webHidden/>
              </w:rPr>
              <w:t>59</w:t>
            </w:r>
            <w:r w:rsidR="007567F3">
              <w:rPr>
                <w:noProof/>
                <w:webHidden/>
              </w:rPr>
              <w:fldChar w:fldCharType="end"/>
            </w:r>
          </w:hyperlink>
        </w:p>
        <w:p w14:paraId="4A3B5104" w14:textId="64A73CC0" w:rsidR="007567F3" w:rsidRDefault="0077032A">
          <w:pPr>
            <w:pStyle w:val="TOC1"/>
            <w:tabs>
              <w:tab w:val="right" w:leader="dot" w:pos="9016"/>
            </w:tabs>
            <w:rPr>
              <w:rFonts w:eastAsiaTheme="minorEastAsia" w:cstheme="minorBidi"/>
              <w:b w:val="0"/>
              <w:bCs w:val="0"/>
              <w:i w:val="0"/>
              <w:iCs w:val="0"/>
              <w:noProof/>
              <w:lang w:val="en-BG" w:eastAsia="en-GB"/>
            </w:rPr>
          </w:pPr>
          <w:hyperlink w:anchor="_Toc136274678" w:history="1">
            <w:r w:rsidR="007567F3" w:rsidRPr="00EB549C">
              <w:rPr>
                <w:rStyle w:val="Hyperlink"/>
                <w:rFonts w:ascii="Times New Roman" w:eastAsia="Times New Roman" w:hAnsi="Times New Roman" w:cs="Times New Roman"/>
                <w:noProof/>
              </w:rPr>
              <w:t>Appendix</w:t>
            </w:r>
            <w:r w:rsidR="007567F3">
              <w:rPr>
                <w:noProof/>
                <w:webHidden/>
              </w:rPr>
              <w:tab/>
            </w:r>
            <w:r w:rsidR="007567F3">
              <w:rPr>
                <w:noProof/>
                <w:webHidden/>
              </w:rPr>
              <w:fldChar w:fldCharType="begin"/>
            </w:r>
            <w:r w:rsidR="007567F3">
              <w:rPr>
                <w:noProof/>
                <w:webHidden/>
              </w:rPr>
              <w:instrText xml:space="preserve"> PAGEREF _Toc136274678 \h </w:instrText>
            </w:r>
            <w:r w:rsidR="007567F3">
              <w:rPr>
                <w:noProof/>
                <w:webHidden/>
              </w:rPr>
            </w:r>
            <w:r w:rsidR="007567F3">
              <w:rPr>
                <w:noProof/>
                <w:webHidden/>
              </w:rPr>
              <w:fldChar w:fldCharType="separate"/>
            </w:r>
            <w:r w:rsidR="00073231">
              <w:rPr>
                <w:noProof/>
                <w:webHidden/>
              </w:rPr>
              <w:t>66</w:t>
            </w:r>
            <w:r w:rsidR="007567F3">
              <w:rPr>
                <w:noProof/>
                <w:webHidden/>
              </w:rPr>
              <w:fldChar w:fldCharType="end"/>
            </w:r>
          </w:hyperlink>
        </w:p>
        <w:p w14:paraId="609FEAEE" w14:textId="6E9DB62A" w:rsidR="007567F3" w:rsidRDefault="0077032A">
          <w:pPr>
            <w:pStyle w:val="TOC1"/>
            <w:tabs>
              <w:tab w:val="right" w:leader="dot" w:pos="9016"/>
            </w:tabs>
            <w:rPr>
              <w:rFonts w:eastAsiaTheme="minorEastAsia" w:cstheme="minorBidi"/>
              <w:b w:val="0"/>
              <w:bCs w:val="0"/>
              <w:i w:val="0"/>
              <w:iCs w:val="0"/>
              <w:noProof/>
              <w:lang w:val="en-BG" w:eastAsia="en-GB"/>
            </w:rPr>
          </w:pPr>
          <w:hyperlink w:anchor="_Toc136274679" w:history="1">
            <w:r w:rsidR="007567F3" w:rsidRPr="00EB549C">
              <w:rPr>
                <w:rStyle w:val="Hyperlink"/>
                <w:rFonts w:ascii="Times New Roman" w:eastAsia="Times New Roman" w:hAnsi="Times New Roman" w:cs="Times New Roman"/>
                <w:noProof/>
              </w:rPr>
              <w:t>Bibliography</w:t>
            </w:r>
            <w:r w:rsidR="007567F3">
              <w:rPr>
                <w:noProof/>
                <w:webHidden/>
              </w:rPr>
              <w:tab/>
            </w:r>
            <w:r w:rsidR="007567F3">
              <w:rPr>
                <w:noProof/>
                <w:webHidden/>
              </w:rPr>
              <w:fldChar w:fldCharType="begin"/>
            </w:r>
            <w:r w:rsidR="007567F3">
              <w:rPr>
                <w:noProof/>
                <w:webHidden/>
              </w:rPr>
              <w:instrText xml:space="preserve"> PAGEREF _Toc136274679 \h </w:instrText>
            </w:r>
            <w:r w:rsidR="007567F3">
              <w:rPr>
                <w:noProof/>
                <w:webHidden/>
              </w:rPr>
            </w:r>
            <w:r w:rsidR="007567F3">
              <w:rPr>
                <w:noProof/>
                <w:webHidden/>
              </w:rPr>
              <w:fldChar w:fldCharType="separate"/>
            </w:r>
            <w:r w:rsidR="00073231">
              <w:rPr>
                <w:noProof/>
                <w:webHidden/>
              </w:rPr>
              <w:t>68</w:t>
            </w:r>
            <w:r w:rsidR="007567F3">
              <w:rPr>
                <w:noProof/>
                <w:webHidden/>
              </w:rPr>
              <w:fldChar w:fldCharType="end"/>
            </w:r>
          </w:hyperlink>
        </w:p>
        <w:p w14:paraId="50BB187C" w14:textId="72049C8D" w:rsidR="003A3BCA" w:rsidRDefault="008276B6">
          <w:pPr>
            <w:spacing w:line="360" w:lineRule="auto"/>
            <w:ind w:firstLine="720"/>
          </w:pPr>
          <w:r>
            <w:fldChar w:fldCharType="end"/>
          </w:r>
        </w:p>
      </w:sdtContent>
    </w:sdt>
    <w:p w14:paraId="34A71D99" w14:textId="77777777" w:rsidR="003A3BCA" w:rsidRDefault="008276B6">
      <w:pPr>
        <w:spacing w:line="360" w:lineRule="auto"/>
        <w:ind w:firstLine="720"/>
        <w:jc w:val="both"/>
      </w:pPr>
      <w:r>
        <w:br w:type="page"/>
      </w:r>
    </w:p>
    <w:p w14:paraId="0A27342D" w14:textId="77777777" w:rsidR="003A3BCA" w:rsidRDefault="008276B6">
      <w:pPr>
        <w:pStyle w:val="Heading1"/>
        <w:spacing w:line="360" w:lineRule="auto"/>
        <w:ind w:firstLine="720"/>
        <w:jc w:val="both"/>
        <w:rPr>
          <w:rFonts w:ascii="Times New Roman" w:eastAsia="Times New Roman" w:hAnsi="Times New Roman" w:cs="Times New Roman"/>
        </w:rPr>
      </w:pPr>
      <w:bookmarkStart w:id="0" w:name="_Toc136274658"/>
      <w:r>
        <w:rPr>
          <w:rFonts w:ascii="Times New Roman" w:eastAsia="Times New Roman" w:hAnsi="Times New Roman" w:cs="Times New Roman"/>
        </w:rPr>
        <w:lastRenderedPageBreak/>
        <w:t>Statement on the independent completion of the course work</w:t>
      </w:r>
      <w:bookmarkEnd w:id="0"/>
    </w:p>
    <w:p w14:paraId="1D0961AA" w14:textId="0887FFD3" w:rsidR="003A3BCA" w:rsidRDefault="008276B6">
      <w:pPr>
        <w:pBdr>
          <w:top w:val="nil"/>
          <w:left w:val="nil"/>
          <w:bottom w:val="nil"/>
          <w:right w:val="nil"/>
          <w:between w:val="nil"/>
        </w:pBdr>
        <w:spacing w:before="240" w:after="240" w:line="360" w:lineRule="auto"/>
        <w:ind w:right="6" w:firstLine="720"/>
        <w:jc w:val="both"/>
        <w:rPr>
          <w:color w:val="000000"/>
        </w:rPr>
      </w:pPr>
      <w:r>
        <w:rPr>
          <w:color w:val="000000"/>
        </w:rPr>
        <w:t xml:space="preserve">I, Daniel </w:t>
      </w:r>
      <w:proofErr w:type="spellStart"/>
      <w:r>
        <w:rPr>
          <w:color w:val="000000"/>
        </w:rPr>
        <w:t>Mladenov</w:t>
      </w:r>
      <w:proofErr w:type="spellEnd"/>
      <w:r>
        <w:rPr>
          <w:color w:val="000000"/>
        </w:rPr>
        <w:t xml:space="preserve">, a student of the 4th course of the Graduate School of Management, St. Petersburg State University, “Management” direction, “International Management” program, confirm that in my annual course work on the topic </w:t>
      </w:r>
      <w:r w:rsidR="00A7792D" w:rsidRPr="00A7792D">
        <w:rPr>
          <w:color w:val="000000"/>
        </w:rPr>
        <w:t>Strategic Recommendations to Increase Domestic and International Competitiveness for a Football Club: the Case of Manchester United</w:t>
      </w:r>
      <w:r>
        <w:rPr>
          <w:color w:val="000000"/>
        </w:rPr>
        <w:t>” which will be presented for public defense in June 2023, does not contain elements of plagiarism.</w:t>
      </w:r>
    </w:p>
    <w:p w14:paraId="0BF47CE5" w14:textId="77777777" w:rsidR="003A3BCA" w:rsidRDefault="008276B6">
      <w:pPr>
        <w:pBdr>
          <w:top w:val="nil"/>
          <w:left w:val="nil"/>
          <w:bottom w:val="nil"/>
          <w:right w:val="nil"/>
          <w:between w:val="nil"/>
        </w:pBdr>
        <w:spacing w:before="240" w:after="240" w:line="360" w:lineRule="auto"/>
        <w:ind w:firstLine="720"/>
        <w:jc w:val="both"/>
        <w:rPr>
          <w:color w:val="000000"/>
        </w:rPr>
      </w:pPr>
      <w:r>
        <w:rPr>
          <w:color w:val="000000"/>
        </w:rPr>
        <w:t>All direct borrowings of print and electronic sources, as well as from final ranking works and previously protected term-papers, candidate, and doctoral dissertations, have appropriate links.</w:t>
      </w:r>
    </w:p>
    <w:p w14:paraId="3D681144" w14:textId="77777777" w:rsidR="003A3BCA" w:rsidRDefault="008276B6">
      <w:pPr>
        <w:pBdr>
          <w:top w:val="nil"/>
          <w:left w:val="nil"/>
          <w:bottom w:val="nil"/>
          <w:right w:val="nil"/>
          <w:between w:val="nil"/>
        </w:pBdr>
        <w:spacing w:before="240" w:after="240" w:line="360" w:lineRule="auto"/>
        <w:ind w:firstLine="720"/>
        <w:jc w:val="both"/>
        <w:rPr>
          <w:color w:val="000000"/>
        </w:rPr>
      </w:pPr>
      <w:r>
        <w:rPr>
          <w:color w:val="000000"/>
        </w:rPr>
        <w:t>I am familiar with the current Graduate School of Management, SPBU regulations of the educational process, according to which the detection of plagiarism (direct borrowing from other sources without provision of links) is the basis for “F” estimation of work.</w:t>
      </w:r>
    </w:p>
    <w:p w14:paraId="5C6B40C2" w14:textId="42D0F565" w:rsidR="003A3BCA" w:rsidRDefault="0077032A">
      <w:pPr>
        <w:pBdr>
          <w:top w:val="nil"/>
          <w:left w:val="nil"/>
          <w:bottom w:val="nil"/>
          <w:right w:val="nil"/>
          <w:between w:val="nil"/>
        </w:pBdr>
        <w:spacing w:before="240" w:after="240" w:line="360" w:lineRule="auto"/>
        <w:ind w:firstLine="720"/>
        <w:jc w:val="both"/>
        <w:rPr>
          <w:color w:val="000000"/>
        </w:rPr>
      </w:pPr>
      <w:r>
        <w:pict w14:anchorId="4D94DBA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35" o:spid="_x0000_s1026" type="#_x0000_t75" alt="" style="position:absolute;left:0;text-align:left;margin-left:18.2pt;margin-top:16.95pt;width:235.85pt;height:90.55pt;z-index:251659264;visibility:visible;mso-wrap-style:square;mso-wrap-edited:f;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v:imagedata r:id="rId10" o:title=""/>
            <w10:wrap anchorx="margin"/>
          </v:shape>
        </w:pict>
      </w:r>
    </w:p>
    <w:p w14:paraId="19A03143" w14:textId="32DF7D26" w:rsidR="003A3BCA" w:rsidRDefault="003A3BCA">
      <w:pPr>
        <w:pBdr>
          <w:top w:val="nil"/>
          <w:left w:val="nil"/>
          <w:bottom w:val="nil"/>
          <w:right w:val="nil"/>
          <w:between w:val="nil"/>
        </w:pBdr>
        <w:spacing w:before="240" w:after="240" w:line="360" w:lineRule="auto"/>
        <w:ind w:firstLine="720"/>
        <w:jc w:val="both"/>
        <w:rPr>
          <w:color w:val="000000"/>
        </w:rPr>
      </w:pPr>
    </w:p>
    <w:p w14:paraId="318EA890" w14:textId="77777777" w:rsidR="003A3BCA" w:rsidRDefault="003A3BCA">
      <w:pPr>
        <w:pBdr>
          <w:top w:val="nil"/>
          <w:left w:val="nil"/>
          <w:bottom w:val="nil"/>
          <w:right w:val="nil"/>
          <w:between w:val="nil"/>
        </w:pBdr>
        <w:spacing w:before="240" w:after="240" w:line="360" w:lineRule="auto"/>
        <w:ind w:firstLine="720"/>
        <w:jc w:val="both"/>
        <w:rPr>
          <w:color w:val="000000"/>
        </w:rPr>
      </w:pPr>
    </w:p>
    <w:p w14:paraId="48E57241" w14:textId="32D99F74" w:rsidR="003A3BCA" w:rsidRDefault="008276B6">
      <w:pPr>
        <w:pBdr>
          <w:top w:val="nil"/>
          <w:left w:val="nil"/>
          <w:bottom w:val="nil"/>
          <w:right w:val="nil"/>
          <w:between w:val="nil"/>
        </w:pBdr>
        <w:spacing w:before="240" w:after="240" w:line="360" w:lineRule="auto"/>
        <w:jc w:val="both"/>
        <w:rPr>
          <w:color w:val="000000"/>
        </w:rPr>
      </w:pPr>
      <w:r>
        <w:rPr>
          <w:color w:val="000000"/>
        </w:rPr>
        <w:t xml:space="preserve">___________________________________________                                           </w:t>
      </w:r>
      <w:r w:rsidR="008D6728">
        <w:rPr>
          <w:color w:val="000000"/>
        </w:rPr>
        <w:t xml:space="preserve"> </w:t>
      </w:r>
      <w:r w:rsidR="00E066C3">
        <w:rPr>
          <w:color w:val="000000"/>
        </w:rPr>
        <w:t>29</w:t>
      </w:r>
      <w:r w:rsidR="00E066C3" w:rsidRPr="00E066C3">
        <w:rPr>
          <w:color w:val="000000"/>
          <w:vertAlign w:val="superscript"/>
        </w:rPr>
        <w:t>th</w:t>
      </w:r>
      <w:r w:rsidR="00E066C3">
        <w:rPr>
          <w:color w:val="000000"/>
        </w:rPr>
        <w:t xml:space="preserve"> May</w:t>
      </w:r>
      <w:r>
        <w:rPr>
          <w:color w:val="000000"/>
        </w:rPr>
        <w:t xml:space="preserve"> 2023 </w:t>
      </w:r>
    </w:p>
    <w:p w14:paraId="255D0E91" w14:textId="5F972992" w:rsidR="003A3BCA" w:rsidRDefault="008276B6">
      <w:pPr>
        <w:pBdr>
          <w:top w:val="nil"/>
          <w:left w:val="nil"/>
          <w:bottom w:val="nil"/>
          <w:right w:val="nil"/>
          <w:between w:val="nil"/>
        </w:pBdr>
        <w:spacing w:before="240" w:after="240" w:line="360" w:lineRule="auto"/>
        <w:jc w:val="both"/>
        <w:rPr>
          <w:color w:val="000000"/>
        </w:rPr>
      </w:pPr>
      <w:r>
        <w:rPr>
          <w:color w:val="000000"/>
        </w:rPr>
        <w:t>(</w:t>
      </w:r>
      <w:r>
        <w:rPr>
          <w:color w:val="000000"/>
          <w:sz w:val="22"/>
          <w:szCs w:val="22"/>
        </w:rPr>
        <w:t>Signature from the student with a transcript</w:t>
      </w:r>
      <w:r w:rsidR="00E066C3">
        <w:rPr>
          <w:color w:val="000000"/>
          <w:sz w:val="22"/>
          <w:szCs w:val="22"/>
        </w:rPr>
        <w:t>)</w:t>
      </w:r>
      <w:r>
        <w:rPr>
          <w:color w:val="000000"/>
          <w:sz w:val="22"/>
          <w:szCs w:val="22"/>
        </w:rPr>
        <w:tab/>
      </w:r>
      <w:r>
        <w:rPr>
          <w:color w:val="000000"/>
          <w:sz w:val="22"/>
          <w:szCs w:val="22"/>
        </w:rPr>
        <w:tab/>
      </w:r>
      <w:r>
        <w:rPr>
          <w:color w:val="000000"/>
          <w:sz w:val="22"/>
          <w:szCs w:val="22"/>
        </w:rPr>
        <w:tab/>
      </w:r>
      <w:r>
        <w:rPr>
          <w:color w:val="000000"/>
          <w:sz w:val="22"/>
          <w:szCs w:val="22"/>
        </w:rPr>
        <w:tab/>
      </w:r>
      <w:r>
        <w:rPr>
          <w:color w:val="000000"/>
          <w:sz w:val="22"/>
          <w:szCs w:val="22"/>
        </w:rPr>
        <w:tab/>
        <w:t xml:space="preserve">     </w:t>
      </w:r>
      <w:proofErr w:type="gramStart"/>
      <w:r>
        <w:rPr>
          <w:color w:val="000000"/>
          <w:sz w:val="22"/>
          <w:szCs w:val="22"/>
        </w:rPr>
        <w:t xml:space="preserve">   </w:t>
      </w:r>
      <w:r w:rsidR="00E066C3">
        <w:rPr>
          <w:color w:val="000000"/>
          <w:sz w:val="22"/>
          <w:szCs w:val="22"/>
        </w:rPr>
        <w:t>(</w:t>
      </w:r>
      <w:proofErr w:type="gramEnd"/>
      <w:r>
        <w:rPr>
          <w:color w:val="000000"/>
        </w:rPr>
        <w:t>Date)</w:t>
      </w:r>
    </w:p>
    <w:p w14:paraId="7E049A2D" w14:textId="77777777" w:rsidR="003A3BCA" w:rsidRDefault="008276B6">
      <w:pPr>
        <w:spacing w:line="360" w:lineRule="auto"/>
        <w:ind w:firstLine="720"/>
        <w:jc w:val="both"/>
      </w:pPr>
      <w:r>
        <w:br w:type="page"/>
      </w:r>
    </w:p>
    <w:p w14:paraId="119BB7D2" w14:textId="77777777" w:rsidR="003A3BCA" w:rsidRDefault="008276B6">
      <w:pPr>
        <w:pStyle w:val="Heading1"/>
        <w:spacing w:line="360" w:lineRule="auto"/>
        <w:ind w:firstLine="720"/>
        <w:jc w:val="both"/>
        <w:rPr>
          <w:rFonts w:ascii="Times New Roman" w:eastAsia="Times New Roman" w:hAnsi="Times New Roman" w:cs="Times New Roman"/>
        </w:rPr>
      </w:pPr>
      <w:bookmarkStart w:id="1" w:name="_Toc136274659"/>
      <w:r>
        <w:rPr>
          <w:rFonts w:ascii="Times New Roman" w:eastAsia="Times New Roman" w:hAnsi="Times New Roman" w:cs="Times New Roman"/>
        </w:rPr>
        <w:lastRenderedPageBreak/>
        <w:t>Introduction</w:t>
      </w:r>
      <w:bookmarkEnd w:id="1"/>
    </w:p>
    <w:p w14:paraId="1DE7B65A" w14:textId="77777777" w:rsidR="003A3BCA" w:rsidRDefault="008276B6">
      <w:pPr>
        <w:spacing w:line="360" w:lineRule="auto"/>
        <w:ind w:firstLine="720"/>
        <w:jc w:val="both"/>
      </w:pPr>
      <w:r>
        <w:t xml:space="preserve">Manchester United Football Club was initially founded in 1878 under the name Newton Heath Lancashire and Yorkshire Railway. The current name was obtained in 1902 when the club was saved right on the edge by John Henry Davies and ever since this year, the club has always been called Manchester United. The club is based in Manchester, United Kingdom, and ever since the season 1909/1910, the club has called the stadium Old Trafford its home. United is also the most successful club in England – the Manchester club has won the Premier League (or Division One, prior to 1992) 20 times, which is more than any other English club. They have won the Football Association (FA) Cup 12 times, which is second best. The English League Cup they have won 5 times and they have been crowned English Super Cup winners 21 times (more than anybody). Some of the most famous players in the history of the sport have played for the Red Devils (Manchester United’s nickname) – Cristiano Ronaldo, Eric Cantona, George Best, Sir Bobby Charlton, David Beckham, Wayne Rooney, Peter Schmeichel, Dennis Law, Ryan Giggs, Paul Scholes, etc. These are all players who are regarded as legends of the game of football in general, with most of them being ranked amongst the best players in their respective positions of all time. Four of them have been crowned with the biggest individual award in football – the </w:t>
      </w:r>
      <w:proofErr w:type="spellStart"/>
      <w:r>
        <w:t>Ballon</w:t>
      </w:r>
      <w:proofErr w:type="spellEnd"/>
      <w:r>
        <w:t xml:space="preserve"> d’Or (Best, Charlton, Law, Ronaldo). </w:t>
      </w:r>
    </w:p>
    <w:p w14:paraId="5D4B63F9" w14:textId="77777777" w:rsidR="003A3BCA" w:rsidRDefault="008276B6">
      <w:pPr>
        <w:spacing w:line="360" w:lineRule="auto"/>
        <w:ind w:firstLine="720"/>
        <w:jc w:val="both"/>
      </w:pPr>
      <w:r>
        <w:t xml:space="preserve">And although Manchester United is the most successful English club and has always been regarded as one of the most feared football clubs and a top 3 football club in the world, Manchester United lacks European success. Although they are one of the most respected and regarded as one of the elite, clubs of all time, United does not have as much European success as other clubs such as Real Madrid, Barcelona, AC Milan, Bayern Munich, and their biggest rivals – Liverpool have. There could be many reasons for this – pressure in the final stages, shifted focus on other competitions (this one is essential, as the legendary manager of Manchester United – Sir Alex Ferguson has always believed that the Premier League is a bigger competition than the UEFA Champions League), and crises and tragedies. </w:t>
      </w:r>
    </w:p>
    <w:p w14:paraId="30473A06" w14:textId="77777777" w:rsidR="003A3BCA" w:rsidRDefault="008276B6">
      <w:pPr>
        <w:spacing w:line="360" w:lineRule="auto"/>
        <w:ind w:firstLine="720"/>
        <w:jc w:val="both"/>
      </w:pPr>
      <w:r>
        <w:t xml:space="preserve">Perhaps the biggest tragedy that has ever struck the club is the Munich air crash in 1958, when the club was coming back from a match in the European Cup (UCL nowadays) in Belgrade, Yugoslavia. The plane stopped at Munich to re-fill but due to worsening climate conditions, the takeoff was done with not enough power, which ultimately led to the fatal crash, where in total 23 people lost their lives, 8 of them being Manchester United players, and 3 being from the coaching staff. </w:t>
      </w:r>
    </w:p>
    <w:p w14:paraId="3789C79B" w14:textId="77777777" w:rsidR="003A3BCA" w:rsidRDefault="008276B6">
      <w:pPr>
        <w:spacing w:line="360" w:lineRule="auto"/>
        <w:ind w:firstLine="720"/>
        <w:jc w:val="both"/>
      </w:pPr>
      <w:r>
        <w:lastRenderedPageBreak/>
        <w:t>Currently, Manchester United hasn’t won any trophy, or any tournament since 2017, and although this is not as big of a crisis compared to the one in 1958, for the biggest club in England this is unacceptable, especially since Manchester United has spent the most money on player acquisitions since 2010 with a net transfer balance of -1,3 billion EUR (Transfermarkt, 2023). This has only helped them win 2 Premier League titles (2011 &amp; 2013) and no UEFA Champions Leagues, but the club managed to win the second most prestigious European tournament – the UEFA Europa League. From 2012 to 2022, United also holds the prize of being the biggest spenders on the transfer market with a net spend of -1 billion EUR (see Appendix). As mentioned above, 2017 was the year United last won a trophy, and ever since then Manchester United has had the highest net spend on football players, yet 0 trophies added to show for it. This implies that there is something wrong with the way Manchester United conducts business, as it is rather strange for a club to invest as heavy as United and to haven’t been able to win a trophy in the last 5 years, despite investing more than the second most active club on the transfer market for the same period (2017 – 2022) by some 50 million EUR</w:t>
      </w:r>
      <w:r>
        <w:rPr>
          <w:vertAlign w:val="superscript"/>
        </w:rPr>
        <w:footnoteReference w:id="1"/>
      </w:r>
      <w:r>
        <w:t xml:space="preserve">. It is </w:t>
      </w:r>
      <w:proofErr w:type="gramStart"/>
      <w:r>
        <w:t>needless to say that</w:t>
      </w:r>
      <w:proofErr w:type="gramEnd"/>
      <w:r>
        <w:t xml:space="preserve"> for a club of United’s caliber, competitiveness is defined by winning games and adding trophies to their trophy cabinet, not by participating in them, especially if they are the most engaged club in the process of trying to achieve this. </w:t>
      </w:r>
    </w:p>
    <w:p w14:paraId="3BBB4D77" w14:textId="77777777" w:rsidR="003A3BCA" w:rsidRDefault="008276B6">
      <w:pPr>
        <w:spacing w:line="360" w:lineRule="auto"/>
        <w:ind w:firstLine="720"/>
        <w:jc w:val="both"/>
        <w:rPr>
          <w:b/>
          <w:i/>
        </w:rPr>
      </w:pPr>
      <w:r>
        <w:rPr>
          <w:b/>
          <w:i/>
        </w:rPr>
        <w:t>Research goal and objectives:</w:t>
      </w:r>
    </w:p>
    <w:p w14:paraId="1B97A500" w14:textId="60796DEC" w:rsidR="003A3BCA" w:rsidRDefault="008276B6">
      <w:pPr>
        <w:spacing w:line="360" w:lineRule="auto"/>
        <w:ind w:firstLine="720"/>
        <w:jc w:val="both"/>
      </w:pPr>
      <w:r>
        <w:t xml:space="preserve">The research goal of this thesis is to provide strategic recommendations to Manchester United that would increase its domestic and </w:t>
      </w:r>
      <w:r w:rsidR="000E6A99">
        <w:t xml:space="preserve">international </w:t>
      </w:r>
      <w:r>
        <w:t xml:space="preserve">competitiveness. To achieve this research goal, the following objectives are set: 1) To introduce the company and its core managerial problem – the lack of recent success and competitiveness, despite major investments; 2) To describe the methodological process and its limitations; 3) To conduct external environment analysis of the football industry in the UK; 4) To prepare a SWOT analysis, in order to understand the club’s competitive position; 5) Using regression analysis, to identify which are the key variables to success domestically in England; 6) To quantitatively analyze Manchester United’s transfer policy in time-frame of interest (5-10 years) against the success variables from the regression analysis, and to later identify key areas for improvement; 7) To conduct a survey and get a better understanding of the key areas that need to be improved; 8) To recommend strategic solutions to target the key issues at the club, based on the findings found from the first 7 objectives. </w:t>
      </w:r>
    </w:p>
    <w:p w14:paraId="23A1B184" w14:textId="77777777" w:rsidR="003A3BCA" w:rsidRDefault="008276B6">
      <w:pPr>
        <w:spacing w:line="360" w:lineRule="auto"/>
        <w:ind w:firstLine="720"/>
        <w:jc w:val="both"/>
        <w:rPr>
          <w:b/>
          <w:i/>
        </w:rPr>
      </w:pPr>
      <w:r>
        <w:rPr>
          <w:b/>
          <w:i/>
        </w:rPr>
        <w:lastRenderedPageBreak/>
        <w:t>Methodology:</w:t>
      </w:r>
    </w:p>
    <w:p w14:paraId="0D23D77E" w14:textId="77777777" w:rsidR="003A3BCA" w:rsidRDefault="008276B6">
      <w:pPr>
        <w:spacing w:line="360" w:lineRule="auto"/>
        <w:ind w:firstLine="720"/>
        <w:jc w:val="both"/>
        <w:rPr>
          <w:b/>
          <w:i/>
        </w:rPr>
      </w:pPr>
      <w:r>
        <w:t xml:space="preserve">The used methodology in this diploma thesis is a combined approach between quantitative and qualitative findings. The quantitative findings are going to be gathered from football databases, such as transfermarkt.com, fbref.com, whoscored.com, and other statistics on finance in football, statistics on transfers, etc. These databases are chosen as they are the biggest football databases and cover most of the statistical data, needed to conduct a quantitative analysis. These databases have a limitation, however, and that is the fact that for many statistics they are not available past a certain point in time, which could limit the scope of the research. A ranking players model will be created based on the stats from the databases, and the regression model, </w:t>
      </w:r>
      <w:proofErr w:type="gramStart"/>
      <w:r>
        <w:t>in order to</w:t>
      </w:r>
      <w:proofErr w:type="gramEnd"/>
      <w:r>
        <w:t xml:space="preserve"> create a method that would rank how the players performed and find weak points. The qualitative data, on the other hand, will include relevant secondary data sources, football-related academia articles and publications, relevant football articles from various professionals within the industry, football news and coverages, as well as other football-related content, such as blogs, videos, polls, etc. A limitation of this methodological approach is subjectivity and recency bias. Also, primary qualitative data will be gathered as well, through the form of a survey focused on the supporters of Manchester United, since there are variables that cannot be quantified. One major limitation that could be faced during the survey is the bias and prejudice that some of the respondents might have in answering the question. One of the ways to remove such bias is to look for outliers and to specifically make sure that only Manchester United supporters answer the questions, so the results are not skewed and are as objective as possible. </w:t>
      </w:r>
    </w:p>
    <w:p w14:paraId="330EBBA4" w14:textId="77777777" w:rsidR="003A3BCA" w:rsidRDefault="008276B6">
      <w:pPr>
        <w:spacing w:line="360" w:lineRule="auto"/>
        <w:ind w:firstLine="720"/>
        <w:jc w:val="both"/>
        <w:rPr>
          <w:b/>
          <w:i/>
        </w:rPr>
      </w:pPr>
      <w:r>
        <w:rPr>
          <w:b/>
          <w:i/>
        </w:rPr>
        <w:t>Research subject and research object:</w:t>
      </w:r>
    </w:p>
    <w:p w14:paraId="57414543" w14:textId="77777777" w:rsidR="003A3BCA" w:rsidRDefault="008276B6">
      <w:pPr>
        <w:spacing w:line="360" w:lineRule="auto"/>
        <w:ind w:firstLine="720"/>
        <w:jc w:val="both"/>
      </w:pPr>
      <w:r>
        <w:t>The research object of this thesis is Manchester United. The research subject, on the other hand, is Manchester United’s competitiveness.</w:t>
      </w:r>
    </w:p>
    <w:p w14:paraId="7E0B0E80" w14:textId="77777777" w:rsidR="003A3BCA" w:rsidRDefault="008276B6">
      <w:pPr>
        <w:spacing w:line="360" w:lineRule="auto"/>
        <w:ind w:firstLine="720"/>
        <w:jc w:val="both"/>
      </w:pPr>
      <w:r>
        <w:br w:type="page"/>
      </w:r>
    </w:p>
    <w:p w14:paraId="09384BAD" w14:textId="77777777" w:rsidR="003A3BCA" w:rsidRDefault="008276B6">
      <w:pPr>
        <w:pStyle w:val="Heading1"/>
        <w:spacing w:line="360" w:lineRule="auto"/>
        <w:ind w:firstLine="720"/>
        <w:jc w:val="both"/>
        <w:rPr>
          <w:rFonts w:ascii="Times New Roman" w:eastAsia="Times New Roman" w:hAnsi="Times New Roman" w:cs="Times New Roman"/>
        </w:rPr>
      </w:pPr>
      <w:bookmarkStart w:id="2" w:name="_Toc136274660"/>
      <w:r>
        <w:rPr>
          <w:rFonts w:ascii="Times New Roman" w:eastAsia="Times New Roman" w:hAnsi="Times New Roman" w:cs="Times New Roman"/>
        </w:rPr>
        <w:lastRenderedPageBreak/>
        <w:t>Literature review</w:t>
      </w:r>
      <w:bookmarkEnd w:id="2"/>
    </w:p>
    <w:p w14:paraId="4FBBD309" w14:textId="350802FB" w:rsidR="003A3BCA" w:rsidRDefault="008276B6">
      <w:pPr>
        <w:spacing w:line="360" w:lineRule="auto"/>
        <w:ind w:firstLine="720"/>
        <w:jc w:val="both"/>
      </w:pPr>
      <w:r>
        <w:t xml:space="preserve">Success in football, or largely in almost anything, is based on having enough resources, enough power, and enough reputation. According to </w:t>
      </w:r>
      <w:proofErr w:type="spellStart"/>
      <w:r>
        <w:t>Gasquez</w:t>
      </w:r>
      <w:proofErr w:type="spellEnd"/>
      <w:r>
        <w:t xml:space="preserve"> and Royuela (2016) from the University of Barcelona, international</w:t>
      </w:r>
      <w:r w:rsidR="00ED6F72">
        <w:t xml:space="preserve"> (national)</w:t>
      </w:r>
      <w:r>
        <w:t xml:space="preserve"> football success largely depends on the countries’ demographic and economic situations, alongside their geography and football institutions. Obviously, club football differs from international football a lot and there are many things that are different – from the atmosphere to the number of matches played, to time under stress and styles of play, and most importantly – international football teams not being able to replace their existing players with better ones (Whitmore, 2021). And although differences between the two exist, if we use Szymanski’s (2013) analysis of the business of football it can be observed that the leading cause for a better position (more success) in the English Premier League from 2002 to 2012 was wage expenditure, which in short implies that the more money you spent on players, the better the chances are that they bring a lot of quality, and the better the chances are that this will result in better team performance, as the R squared of this relationship is over 90%, making the correlation between players’ wages and league position really strong. Having this in mind, it seems that </w:t>
      </w:r>
      <w:proofErr w:type="spellStart"/>
      <w:r>
        <w:t>Gasquez</w:t>
      </w:r>
      <w:proofErr w:type="spellEnd"/>
      <w:r>
        <w:t xml:space="preserve"> and </w:t>
      </w:r>
      <w:proofErr w:type="spellStart"/>
      <w:r>
        <w:t>Royuela’s</w:t>
      </w:r>
      <w:proofErr w:type="spellEnd"/>
      <w:r>
        <w:t xml:space="preserve"> (2016) conclusion doesn’t only apply to international football, but to club football as well, which Szymanski’s (2013) analysis also supports. And although per </w:t>
      </w:r>
      <w:proofErr w:type="spellStart"/>
      <w:r>
        <w:t>Gasquez</w:t>
      </w:r>
      <w:proofErr w:type="spellEnd"/>
      <w:r>
        <w:t xml:space="preserve"> and Royuela (2016) and Szymanski (2013) the more you spend on talent acquisition (more spare resources) leads to better results and more success, </w:t>
      </w:r>
      <w:proofErr w:type="spellStart"/>
      <w:r>
        <w:t>Grimditch</w:t>
      </w:r>
      <w:proofErr w:type="spellEnd"/>
      <w:r>
        <w:t xml:space="preserve"> (2022) argues that modern football clubs win games and succeed due to flawless and smooth processes, rather than equipping </w:t>
      </w:r>
      <w:r w:rsidR="00B97360">
        <w:t>their</w:t>
      </w:r>
      <w:r>
        <w:t xml:space="preserve"> squads with superstar players only. This implies that although more spending always leads to more success if the money is spent on superstars only, success will exist, of course, but will not overperform football clubs who would spend the same number of resources on building processes. </w:t>
      </w:r>
    </w:p>
    <w:p w14:paraId="739BDA08" w14:textId="77777777" w:rsidR="003A3BCA" w:rsidRDefault="008276B6">
      <w:pPr>
        <w:spacing w:line="360" w:lineRule="auto"/>
        <w:ind w:firstLine="720"/>
        <w:jc w:val="both"/>
      </w:pPr>
      <w:r>
        <w:t xml:space="preserve">In a study concerning foreign players’ performances in England’s top 2 professional divisions between 2014 and 2017, Banos (2018) found that foreign players increase English clubs’ goal-scoring opportunities and in general increase the creativity and flair of the club. Banos (2018) suggests that in a team with 100% foreign players, the effect is inverse, as they are inferior to English players when it comes to the defensive side of the game. </w:t>
      </w:r>
      <w:proofErr w:type="spellStart"/>
      <w:r>
        <w:t>Gasquez</w:t>
      </w:r>
      <w:proofErr w:type="spellEnd"/>
      <w:r>
        <w:t xml:space="preserve"> and Royuela (2019) conducted research on the overall influence that foreign players have on the success of football clubs from 71 leagues in the world. Their findings suggest that leagues with a higher proportion of foreign players are the leagues where the best-performing clubs are from. The authors also imply that the more foreign players a football club has, the better it performs </w:t>
      </w:r>
      <w:r>
        <w:lastRenderedPageBreak/>
        <w:t xml:space="preserve">on the international stage against teams from different countries. It is, however, important to mention that clubs’ success, fundamentally, depends on money before anything. </w:t>
      </w:r>
    </w:p>
    <w:p w14:paraId="3D0855F9" w14:textId="77777777" w:rsidR="003A3BCA" w:rsidRDefault="008276B6">
      <w:pPr>
        <w:spacing w:line="360" w:lineRule="auto"/>
        <w:ind w:firstLine="720"/>
        <w:jc w:val="both"/>
      </w:pPr>
      <w:r>
        <w:t xml:space="preserve">According to Shakina et al. (2020), brand perception in football is not based on economic reasons, but on emotional ones, implying that football fans are ready and willing to support their football teams no matter what, even when it is unsupported by conventional economics and finance. Hardy (2019) suggests that for the period 2015 – 2019, English Premier League clubs have paid some £130 million in sacking compensations, implying that managerial expectations are sky-high and club owners are ready to pay, even if the price is high, to make sure that their clubs are managed accordingly. Obviously, on an individual basis, there could be examples of non-merit sackings, i.e., sacking a manager because a better one just became available, or a new owner had taken control of a club and wants to implement their ideas from top to bottom, but the general point view highlights the high expectations that football coaches have, especially in the English topflight. Bell et al. (2013) found that managerial sackings in the EPL have a strong connection to clubs’ performance on the stock market. For the most part, their findings suggest that sackings correlate negatively with stocks volatility, however, sacking managers </w:t>
      </w:r>
      <w:proofErr w:type="gramStart"/>
      <w:r>
        <w:t>on the basis of</w:t>
      </w:r>
      <w:proofErr w:type="gramEnd"/>
      <w:r>
        <w:t xml:space="preserve"> a prolonged bad run of form actually results in positive performances on the stock exchange, meaning that such managerial turnover is valued high due to more and positive expectations for the future. </w:t>
      </w:r>
    </w:p>
    <w:p w14:paraId="03D70F0C" w14:textId="77777777" w:rsidR="003A3BCA" w:rsidRDefault="008276B6">
      <w:pPr>
        <w:spacing w:line="360" w:lineRule="auto"/>
        <w:ind w:firstLine="720"/>
        <w:jc w:val="both"/>
      </w:pPr>
      <w:r>
        <w:t xml:space="preserve">The UK sports betting industry is immense as it makes up 23% of the European sports betting </w:t>
      </w:r>
      <w:proofErr w:type="gramStart"/>
      <w:r>
        <w:t>market as a whole</w:t>
      </w:r>
      <w:proofErr w:type="gramEnd"/>
      <w:r>
        <w:t xml:space="preserve">. Although for the period 2017 – 2021, the market size of the UK betting industry fell from $7,2 billion in 2017 to “only” $5,4 billion in 2021, the main reasons are COVID-19 which decreased disposable income, </w:t>
      </w:r>
      <w:proofErr w:type="gramStart"/>
      <w:r>
        <w:t>and also</w:t>
      </w:r>
      <w:proofErr w:type="gramEnd"/>
      <w:r>
        <w:t xml:space="preserve"> the lack of sporting events during the lockdowns (</w:t>
      </w:r>
      <w:proofErr w:type="spellStart"/>
      <w:r>
        <w:t>GlobalData</w:t>
      </w:r>
      <w:proofErr w:type="spellEnd"/>
      <w:r>
        <w:t xml:space="preserve">, 2021). A big reason for the existence of football betting is expectancy/predictions. Scholars Forrest &amp; Simmons (2000) suggest that football tipsters are not the best at forecasting football events, which implies that people who are constantly betting money on sporting events are presented with inadequate odds, which then leads to higher-than-usual expectations from the teams or players that they have placed bets on. And this also translates to the non-betting people, who are constantly informed about odds and probabilities, even though they are not personally interested in betting, but just supporting their teams and having expectations. Andersson et al. (2009) also suggest that tipsters are unable to adequately gather, present, and incorporate </w:t>
      </w:r>
      <w:proofErr w:type="gramStart"/>
      <w:r>
        <w:t>all of</w:t>
      </w:r>
      <w:proofErr w:type="gramEnd"/>
      <w:r>
        <w:t xml:space="preserve"> the publicly available information on any given sporting event, which, as mentioned above, leads to higher expectations. </w:t>
      </w:r>
      <w:proofErr w:type="spellStart"/>
      <w:r>
        <w:t>Bernile</w:t>
      </w:r>
      <w:proofErr w:type="spellEnd"/>
      <w:r>
        <w:t xml:space="preserve"> &amp; </w:t>
      </w:r>
      <w:proofErr w:type="spellStart"/>
      <w:r>
        <w:t>Lyandres</w:t>
      </w:r>
      <w:proofErr w:type="spellEnd"/>
      <w:r>
        <w:t xml:space="preserve"> (2011) also confirm the suspected over-estimation.</w:t>
      </w:r>
    </w:p>
    <w:p w14:paraId="6C68EDD0" w14:textId="77777777" w:rsidR="003A3BCA" w:rsidRDefault="008276B6">
      <w:pPr>
        <w:spacing w:line="360" w:lineRule="auto"/>
        <w:ind w:firstLine="720"/>
        <w:jc w:val="both"/>
      </w:pPr>
      <w:r>
        <w:lastRenderedPageBreak/>
        <w:t xml:space="preserve">Students at the University of Manchester (2019) created a unique model which predicts how much time (in terms of matches played) would signings from France, Spain, Italy, Germany, and the Netherlands need to adapt to the English Premier League. The study was broken down into three different sets of positions – forwards, midfielders, and defenders. The students developed the model </w:t>
      </w:r>
      <w:proofErr w:type="gramStart"/>
      <w:r>
        <w:t>in an attempt to</w:t>
      </w:r>
      <w:proofErr w:type="gramEnd"/>
      <w:r>
        <w:t xml:space="preserve"> both improve the scouting system that English football clubs use to acquire talent, as well as to manage expectations (fans and clubs’). It turns out that English clubs need to be most careful when searching for attacking talent, as they need the most time to adapt to the intensity, physicality, and skills of English clubs. </w:t>
      </w:r>
    </w:p>
    <w:p w14:paraId="10783615" w14:textId="77777777" w:rsidR="003A3BCA" w:rsidRDefault="008276B6">
      <w:pPr>
        <w:spacing w:line="360" w:lineRule="auto"/>
        <w:ind w:firstLine="720"/>
        <w:jc w:val="both"/>
      </w:pPr>
      <w:r>
        <w:t xml:space="preserve">According to Prinz and </w:t>
      </w:r>
      <w:proofErr w:type="spellStart"/>
      <w:r>
        <w:t>Thiem’s</w:t>
      </w:r>
      <w:proofErr w:type="spellEnd"/>
      <w:r>
        <w:t xml:space="preserve"> (2021) paper on the value-maximization of football clubs, Tobin’s q value could be used to determine whether football clubs “overinvest” or “underinvest” in talent acquisition, which is shown by the difference between the clubs’ future profits (market value) and the cost of replacement (book value). Out of the 14 clubs Prinz and </w:t>
      </w:r>
      <w:proofErr w:type="spellStart"/>
      <w:r>
        <w:t>Thiem</w:t>
      </w:r>
      <w:proofErr w:type="spellEnd"/>
      <w:r>
        <w:t xml:space="preserve"> (2021) studied, only one (AC Milan) had Tobin’s q under 1, meaning this is the only club of the study that overinvested in football players during the timeframe of interest. For clubs that do not overinvest, to maximize the value of the football club, selling shares of the club could be perceived as an effective option. On the contrary, the authors suggest that overinvesting clubs need to sell players, </w:t>
      </w:r>
      <w:proofErr w:type="gramStart"/>
      <w:r>
        <w:t>in order to</w:t>
      </w:r>
      <w:proofErr w:type="gramEnd"/>
      <w:r>
        <w:t xml:space="preserve"> bring back the balance up. </w:t>
      </w:r>
    </w:p>
    <w:p w14:paraId="6EBF7E4C" w14:textId="77777777" w:rsidR="003A3BCA" w:rsidRDefault="008276B6">
      <w:pPr>
        <w:spacing w:line="360" w:lineRule="auto"/>
        <w:ind w:firstLine="720"/>
        <w:jc w:val="both"/>
      </w:pPr>
      <w:r>
        <w:t xml:space="preserve">Although Prinz and </w:t>
      </w:r>
      <w:proofErr w:type="spellStart"/>
      <w:r>
        <w:t>Thiem</w:t>
      </w:r>
      <w:proofErr w:type="spellEnd"/>
      <w:r>
        <w:t xml:space="preserve"> (2021) provided in-depth quantitative research on the value-maximization of football clubs, their research focused solely on the quantitative (market and book value, prices, revenues, etc.), a qualitative perspective on this matter is also needed, i.e., perception of marketing campaigns and marketable players playing for the audience’s favorite club. </w:t>
      </w:r>
      <w:proofErr w:type="spellStart"/>
      <w:r>
        <w:t>Sedky</w:t>
      </w:r>
      <w:proofErr w:type="spellEnd"/>
      <w:r>
        <w:t xml:space="preserve"> et al. (2020) conducted research on how sport marketing campaigns change the perception of Egyptians on less popular sports. As Egypt is a very football-heavy country, in terms of popularity and support, </w:t>
      </w:r>
      <w:proofErr w:type="spellStart"/>
      <w:r>
        <w:t>Sedky</w:t>
      </w:r>
      <w:proofErr w:type="spellEnd"/>
      <w:r>
        <w:t xml:space="preserve"> et al. (2020) managed to prove that effective marketing campaigns do attract a lot of new audiences to less popular sports, even in such a football-heavy country as Egypt. The implications of their study could also be found in football – effective marketing campaigns and interactions with new audiences do attract more attention and potential customer to lesser-known football clubs. Venezia FC is a prime example of that, as although they are a miniature football club, they managed to attract football and non-football fans to their club by offering a unique proposition – luxury football kits (Rappaport, 2023). And although the club isn’t good (Venezia FC got relegated to the second Italian division), it still manages to attract customers, as they are able to buy a luxury item for the price of an ordinary football kit, as well as to be able to identify with the club’s most marketable person – the model representing the kit (Rappaport, 2023). </w:t>
      </w:r>
    </w:p>
    <w:p w14:paraId="435D0C11" w14:textId="77777777" w:rsidR="003A3BCA" w:rsidRDefault="008276B6">
      <w:pPr>
        <w:pStyle w:val="Heading1"/>
        <w:spacing w:line="360" w:lineRule="auto"/>
        <w:ind w:firstLine="720"/>
        <w:jc w:val="both"/>
        <w:rPr>
          <w:rFonts w:ascii="Times New Roman" w:eastAsia="Times New Roman" w:hAnsi="Times New Roman" w:cs="Times New Roman"/>
        </w:rPr>
      </w:pPr>
      <w:bookmarkStart w:id="3" w:name="_Toc136274661"/>
      <w:r>
        <w:rPr>
          <w:rFonts w:ascii="Times New Roman" w:eastAsia="Times New Roman" w:hAnsi="Times New Roman" w:cs="Times New Roman"/>
        </w:rPr>
        <w:lastRenderedPageBreak/>
        <w:t>Chapter 1 – Competitive Analysis of Manchester United</w:t>
      </w:r>
      <w:bookmarkEnd w:id="3"/>
    </w:p>
    <w:p w14:paraId="63A4B5BA" w14:textId="77777777" w:rsidR="003A3BCA" w:rsidRDefault="008276B6">
      <w:pPr>
        <w:spacing w:line="360" w:lineRule="auto"/>
        <w:ind w:firstLine="720"/>
      </w:pPr>
      <w:r>
        <w:t xml:space="preserve">Manchester United is England’s most or second most successful club, alongside Liverpool, as in some instances the English Super Cup is counted, in other it isn’t. One thing is certain, however, and that is that Manchester United’s one of the royal European clubs, as it is the only English club to win a treble, and one of the only 7 unique clubs to do so (UEFA, 2022). On top of that, as mentioned above, United is the club with the most domestic trophies in England. To analyze Manchester United’s competitive position, Porter’s 5 Forces, PEST, Key Success Factors, and SWOT analyses will be conducted, to see how the club compares in terms of its strong and weak sides, as well as how much the club’s future could be shaped by the footballing industry. The market of interest in England, the UK, and the industry is the footballing industry in England. </w:t>
      </w:r>
    </w:p>
    <w:p w14:paraId="40DC7A56" w14:textId="77777777" w:rsidR="003A3BCA" w:rsidRDefault="008276B6" w:rsidP="00D6506B">
      <w:pPr>
        <w:pStyle w:val="Heading2"/>
        <w:ind w:firstLine="480"/>
        <w:jc w:val="both"/>
        <w:rPr>
          <w:rFonts w:ascii="Times New Roman" w:eastAsia="Times New Roman" w:hAnsi="Times New Roman" w:cs="Times New Roman"/>
        </w:rPr>
      </w:pPr>
      <w:bookmarkStart w:id="4" w:name="_Toc136274662"/>
      <w:r>
        <w:rPr>
          <w:rFonts w:ascii="Times New Roman" w:eastAsia="Times New Roman" w:hAnsi="Times New Roman" w:cs="Times New Roman"/>
        </w:rPr>
        <w:t>1.1. PEST Analysis</w:t>
      </w:r>
      <w:bookmarkEnd w:id="4"/>
    </w:p>
    <w:p w14:paraId="654DFFF2" w14:textId="77777777" w:rsidR="003A3BCA" w:rsidRDefault="008276B6" w:rsidP="00D6506B">
      <w:pPr>
        <w:pStyle w:val="Heading3"/>
        <w:ind w:firstLine="480"/>
        <w:jc w:val="both"/>
        <w:rPr>
          <w:rFonts w:ascii="Times New Roman" w:eastAsia="Times New Roman" w:hAnsi="Times New Roman" w:cs="Times New Roman"/>
        </w:rPr>
      </w:pPr>
      <w:bookmarkStart w:id="5" w:name="_Toc136274663"/>
      <w:r>
        <w:rPr>
          <w:rFonts w:ascii="Times New Roman" w:eastAsia="Times New Roman" w:hAnsi="Times New Roman" w:cs="Times New Roman"/>
        </w:rPr>
        <w:t>1.1.1. Political Factors:</w:t>
      </w:r>
      <w:bookmarkEnd w:id="5"/>
    </w:p>
    <w:p w14:paraId="7C60C46C" w14:textId="77777777" w:rsidR="003A3BCA" w:rsidRDefault="008276B6">
      <w:pPr>
        <w:spacing w:line="360" w:lineRule="auto"/>
        <w:ind w:firstLine="360"/>
        <w:jc w:val="both"/>
      </w:pPr>
      <w:r>
        <w:t>1.1.1.1. BREXIT – Brexit has had a strong influence over the football industry in the UK, as nowadays English (British) football clubs face challenges that they have never had to face previously, connected with player and managerial acquisitions, due to visa and work-permit related issues (</w:t>
      </w:r>
      <w:proofErr w:type="spellStart"/>
      <w:r>
        <w:t>Sogut</w:t>
      </w:r>
      <w:proofErr w:type="spellEnd"/>
      <w:r>
        <w:t xml:space="preserve"> &amp; Khan, 2022). The authors also suggest that English football clubs are forced to pay a Brexit-premium tax when buying players, as well as to better comply with the UK’s homegrown talent criteria. The English Premier League’s CEO, Richard Masters, also suggests that PL clubs are forced to spend more after Brexit (Reuters, 2023). Back in 2020, Han et al. (2020) created a model predicting the effects on the English Premier League that Brexit will oppose – the results imply that English clubs will need to pay a premium on players’ wages </w:t>
      </w:r>
      <w:proofErr w:type="gramStart"/>
      <w:r>
        <w:t>in order to</w:t>
      </w:r>
      <w:proofErr w:type="gramEnd"/>
      <w:r>
        <w:t xml:space="preserve"> lure them from EU leagues, and because of scarcity and difficulty, domestic players will also demand higher than usual wages. When we look at the most expensive transfers in world football ever since Brexit, English clubs comfortably occupy almost all spots. For season 2020/2021, right after Brexit, 5 of the top-10 most expensive transfers were done by English clubs</w:t>
      </w:r>
      <w:r>
        <w:rPr>
          <w:vertAlign w:val="superscript"/>
        </w:rPr>
        <w:footnoteReference w:id="2"/>
      </w:r>
      <w:r>
        <w:t>. For season 2021/2022, the number jumped to 6</w:t>
      </w:r>
      <w:r>
        <w:rPr>
          <w:vertAlign w:val="superscript"/>
        </w:rPr>
        <w:footnoteReference w:id="3"/>
      </w:r>
      <w:r>
        <w:t>. And finally, 8 out of the top 10 most expensive acquisitions for this season were done by English clubs</w:t>
      </w:r>
      <w:r>
        <w:rPr>
          <w:vertAlign w:val="superscript"/>
        </w:rPr>
        <w:footnoteReference w:id="4"/>
      </w:r>
      <w:r>
        <w:t xml:space="preserve">, implying the </w:t>
      </w:r>
      <w:r>
        <w:lastRenderedPageBreak/>
        <w:t>increasing burden Brexit has had on English clubs when it comes to spending more than they should. Out of those 3 years, only 3 out of the total 19 top-tier English transfers, an English club has paid less than market value to acquire certain talent. Brexit will also harm the ability of player training and development when it comes to young foreign players, as foreign youngsters U-18 are prohibited from signing with English clubs (The UK Law Societies, 2021).</w:t>
      </w:r>
    </w:p>
    <w:p w14:paraId="275C5773" w14:textId="77777777" w:rsidR="003A3BCA" w:rsidRDefault="008276B6">
      <w:pPr>
        <w:spacing w:line="360" w:lineRule="auto"/>
        <w:ind w:firstLine="360"/>
        <w:jc w:val="both"/>
      </w:pPr>
      <w:r>
        <w:t xml:space="preserve">1.1.1.2. Continued ease to do business in the UK – as of 2019, the UK is number 8 on the scale of ease to do business (The World Bank, 2019). Obviously, the data from the World Bank is not updated and the rankings are not Brexit-adjusted, but the UK government has the power to not let the country become a nightmare for foreign investors and businesses. </w:t>
      </w:r>
    </w:p>
    <w:p w14:paraId="1C93A621" w14:textId="77777777" w:rsidR="003A3BCA" w:rsidRDefault="008276B6" w:rsidP="00D6506B">
      <w:pPr>
        <w:pStyle w:val="Heading3"/>
        <w:ind w:firstLine="360"/>
        <w:jc w:val="both"/>
        <w:rPr>
          <w:rFonts w:ascii="Times New Roman" w:eastAsia="Times New Roman" w:hAnsi="Times New Roman" w:cs="Times New Roman"/>
        </w:rPr>
      </w:pPr>
      <w:bookmarkStart w:id="6" w:name="_Toc136274664"/>
      <w:r>
        <w:rPr>
          <w:rFonts w:ascii="Times New Roman" w:eastAsia="Times New Roman" w:hAnsi="Times New Roman" w:cs="Times New Roman"/>
        </w:rPr>
        <w:t>1.1.2. Economic Factors:</w:t>
      </w:r>
      <w:bookmarkEnd w:id="6"/>
    </w:p>
    <w:p w14:paraId="6759012C" w14:textId="77777777" w:rsidR="003A3BCA" w:rsidRDefault="008276B6">
      <w:pPr>
        <w:spacing w:line="360" w:lineRule="auto"/>
        <w:ind w:firstLine="360"/>
        <w:jc w:val="both"/>
      </w:pPr>
      <w:r>
        <w:t>1.1.2.1. Volatile GDP – Since 2015, the UK’s GDP (current $US) has been very volatile, as for 4 out of the 6 years the country experienced negative GDP growth, the steepest being in 2016 when the economy declined by almost 8% (The World Bank, 2022). Such volatility and susceptibility to decline are bad news to any investors, as businesses are susceptive to insolvency difficulties, FDI’s could begin to dry up and investors could begin to withdraw their money from the country. Moreover, the state could impose regulations that are unfavorable to certain investors and areas of investments (specific industries).</w:t>
      </w:r>
    </w:p>
    <w:p w14:paraId="5C8EF63C" w14:textId="77777777" w:rsidR="003A3BCA" w:rsidRDefault="008276B6">
      <w:pPr>
        <w:spacing w:line="360" w:lineRule="auto"/>
        <w:ind w:firstLine="360"/>
        <w:jc w:val="both"/>
      </w:pPr>
      <w:r>
        <w:t xml:space="preserve">1.1.2.2. Decline in inward FDI – Since 2005, the total amount of inward FDI into the UK economy has declined by almost 8 times (from ~£183 billion to £23 billion). Figure 1 shows that the decline in the country’s FDI inflows has been a slow but steady occurrence, implying that the country is no longer seen as one of the places where your business must invest. What’s also interesting from this graph is that the amount of money that UK companies invest abroad has also been on the decline. This could imply a more “closed” economy, as a potential outcome for the UK, given that there were strong declines in both categories since the Brexit vote in 2016. </w:t>
      </w:r>
    </w:p>
    <w:p w14:paraId="7389424C" w14:textId="77777777" w:rsidR="003A3BCA" w:rsidRDefault="003A3BCA">
      <w:pPr>
        <w:spacing w:line="360" w:lineRule="auto"/>
        <w:ind w:left="360"/>
        <w:jc w:val="both"/>
      </w:pPr>
    </w:p>
    <w:p w14:paraId="73C14A07" w14:textId="77777777" w:rsidR="003A3BCA" w:rsidRDefault="008276B6">
      <w:pPr>
        <w:spacing w:line="360" w:lineRule="auto"/>
        <w:jc w:val="both"/>
      </w:pPr>
      <w:r>
        <w:rPr>
          <w:noProof/>
        </w:rPr>
        <w:lastRenderedPageBreak/>
        <w:drawing>
          <wp:inline distT="0" distB="0" distL="0" distR="0" wp14:anchorId="512B733F" wp14:editId="0AF1195F">
            <wp:extent cx="5897744" cy="3398948"/>
            <wp:effectExtent l="0" t="0" r="0" b="0"/>
            <wp:docPr id="14" name="image11.png" descr="Chart, line char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1.png" descr="Chart, line chart&#10;&#10;Description automatically generated"/>
                    <pic:cNvPicPr preferRelativeResize="0"/>
                  </pic:nvPicPr>
                  <pic:blipFill>
                    <a:blip r:embed="rId11"/>
                    <a:srcRect/>
                    <a:stretch>
                      <a:fillRect/>
                    </a:stretch>
                  </pic:blipFill>
                  <pic:spPr>
                    <a:xfrm>
                      <a:off x="0" y="0"/>
                      <a:ext cx="5897744" cy="3398948"/>
                    </a:xfrm>
                    <a:prstGeom prst="rect">
                      <a:avLst/>
                    </a:prstGeom>
                    <a:ln/>
                  </pic:spPr>
                </pic:pic>
              </a:graphicData>
            </a:graphic>
          </wp:inline>
        </w:drawing>
      </w:r>
    </w:p>
    <w:p w14:paraId="5941E873" w14:textId="77777777" w:rsidR="003A3BCA" w:rsidRDefault="008276B6">
      <w:pPr>
        <w:pBdr>
          <w:top w:val="nil"/>
          <w:left w:val="nil"/>
          <w:bottom w:val="nil"/>
          <w:right w:val="nil"/>
          <w:between w:val="nil"/>
        </w:pBdr>
        <w:spacing w:after="200"/>
        <w:jc w:val="both"/>
        <w:rPr>
          <w:i/>
          <w:color w:val="44546A"/>
          <w:sz w:val="18"/>
          <w:szCs w:val="18"/>
        </w:rPr>
      </w:pPr>
      <w:r>
        <w:rPr>
          <w:i/>
          <w:color w:val="44546A"/>
          <w:sz w:val="18"/>
          <w:szCs w:val="18"/>
        </w:rPr>
        <w:t>Figure 1. Value of foreign direct investment (FDI) outward and inward flows in the United Kingdom from 2005 to 2021; Source: Statista</w:t>
      </w:r>
    </w:p>
    <w:p w14:paraId="507F71FF" w14:textId="77777777" w:rsidR="003A3BCA" w:rsidRDefault="003A3BCA"/>
    <w:p w14:paraId="444524E5" w14:textId="77777777" w:rsidR="003A3BCA" w:rsidRDefault="008276B6">
      <w:pPr>
        <w:keepNext/>
        <w:spacing w:line="360" w:lineRule="auto"/>
        <w:ind w:firstLine="360"/>
        <w:jc w:val="both"/>
      </w:pPr>
      <w:r>
        <w:t xml:space="preserve">1.1.2.3. Interest rates on the rise – As of March 9, 2023, the Bank of England base rate is at 4% (Bank of England, 2023). For compassion, during the COVID-19 pandemic, the rate was just 0,1%. This 40-fold increase in the space of about 3 years has severely increased the risk of default, as rising rates are always connected with issues regarding servicing debt (Glaze, 2023). Glaze (2023) also suggests that such increases often lead to layoffs and other cost-cutting decisions, </w:t>
      </w:r>
      <w:proofErr w:type="gramStart"/>
      <w:r>
        <w:t>in an attempt to</w:t>
      </w:r>
      <w:proofErr w:type="gramEnd"/>
      <w:r>
        <w:t xml:space="preserve"> battle the big interest payments and slow growth. </w:t>
      </w:r>
    </w:p>
    <w:p w14:paraId="2BA53631" w14:textId="77777777" w:rsidR="003A3BCA" w:rsidRDefault="008276B6">
      <w:pPr>
        <w:keepNext/>
        <w:spacing w:line="360" w:lineRule="auto"/>
        <w:ind w:firstLine="360"/>
        <w:jc w:val="both"/>
      </w:pPr>
      <w:r>
        <w:t xml:space="preserve">1.1.2.4. Decline in household disposable income – Every business relies on its customers to be able to purchase its products. This, however, strongly depends on the customers’ disposable income situation. Inman (2022) suggests that the projected decline in household disposable income in the UK for 2023 is 3,8%. For instance, Inman (2022) claims that for 2022, household disposable income fell by 3,3%, implying an increase in that regard. Should, however, interest rates continue to rise (as implied by the BoE), this project number could rise, </w:t>
      </w:r>
      <w:r>
        <w:lastRenderedPageBreak/>
        <w:t>leaving people with less money that they are able to spend on activities outside of the circle of necessity.</w:t>
      </w:r>
    </w:p>
    <w:p w14:paraId="7C1CB6D6" w14:textId="77777777" w:rsidR="003A3BCA" w:rsidRDefault="008276B6" w:rsidP="00D6506B">
      <w:pPr>
        <w:pStyle w:val="Heading3"/>
        <w:ind w:firstLine="360"/>
        <w:jc w:val="both"/>
        <w:rPr>
          <w:rFonts w:ascii="Times New Roman" w:eastAsia="Times New Roman" w:hAnsi="Times New Roman" w:cs="Times New Roman"/>
        </w:rPr>
      </w:pPr>
      <w:bookmarkStart w:id="7" w:name="_Toc136274665"/>
      <w:r>
        <w:rPr>
          <w:rFonts w:ascii="Times New Roman" w:eastAsia="Times New Roman" w:hAnsi="Times New Roman" w:cs="Times New Roman"/>
        </w:rPr>
        <w:t>1.1.3 Socio-cultural Factors:</w:t>
      </w:r>
      <w:bookmarkEnd w:id="7"/>
      <w:r>
        <w:rPr>
          <w:rFonts w:ascii="Times New Roman" w:eastAsia="Times New Roman" w:hAnsi="Times New Roman" w:cs="Times New Roman"/>
        </w:rPr>
        <w:t xml:space="preserve"> </w:t>
      </w:r>
    </w:p>
    <w:p w14:paraId="749F230E" w14:textId="77777777" w:rsidR="003A3BCA" w:rsidRDefault="008276B6">
      <w:pPr>
        <w:keepNext/>
        <w:spacing w:line="360" w:lineRule="auto"/>
        <w:ind w:firstLine="360"/>
        <w:jc w:val="both"/>
      </w:pPr>
      <w:r>
        <w:t>1.1.3.1. Steady population growth – since the turn of the millennium, the UK’s population has been steadily increasing – from 58,8 million in 2000 to 67,7 million now</w:t>
      </w:r>
      <w:r>
        <w:rPr>
          <w:vertAlign w:val="superscript"/>
        </w:rPr>
        <w:footnoteReference w:id="5"/>
      </w:r>
      <w:r>
        <w:t>. In those 22 years, the population increased by around 9 million, or over 400 000 per year since the new millennium began. The population is projected to grow another 4 million by 2050 to over 71 million people. A big part of the increase could be attributed to migration to the UK, as the country is home to over 9,3 million immigrants that make up 13,8% of the total UK population</w:t>
      </w:r>
      <w:r>
        <w:rPr>
          <w:vertAlign w:val="superscript"/>
        </w:rPr>
        <w:footnoteReference w:id="6"/>
      </w:r>
      <w:r>
        <w:t xml:space="preserve">. The most important thing, however, connected to this population growth, is the fact that there will be more economic actors that will be contributing to the UK economy in general, allowing it to grow in the long term. </w:t>
      </w:r>
    </w:p>
    <w:p w14:paraId="1810BEE8" w14:textId="77777777" w:rsidR="003A3BCA" w:rsidRDefault="008276B6">
      <w:pPr>
        <w:keepNext/>
        <w:spacing w:line="360" w:lineRule="auto"/>
        <w:ind w:firstLine="360"/>
        <w:jc w:val="both"/>
      </w:pPr>
      <w:r>
        <w:t>1.1.3.2. The UK’s vivid sports culture – According to Altman Solon’s (2022) study, the percentage of people in the UK considering themselves monthly sports viewers grew from 43% in 2020 to 57% in 2022. Also, the majority (80%) of the UK respondents in the study have indicated that they prefer watching sports live, rather than just the highlights or short clips on social media (Altman Solon, 2022). When it comes to the preferences of sports watchers in the UK, 83% of them are football viewers, making football the most popular sport in the UK (YouGov, 2020). IBIS World (2022) estimates that around 61% of the UK’s 16 and above population participate in sports each week.</w:t>
      </w:r>
    </w:p>
    <w:p w14:paraId="557896A2" w14:textId="65E0566D" w:rsidR="003A3BCA" w:rsidRDefault="008276B6" w:rsidP="00D6506B">
      <w:pPr>
        <w:pStyle w:val="Heading3"/>
        <w:ind w:firstLine="360"/>
        <w:jc w:val="both"/>
        <w:rPr>
          <w:rFonts w:ascii="Times New Roman" w:eastAsia="Times New Roman" w:hAnsi="Times New Roman" w:cs="Times New Roman"/>
        </w:rPr>
      </w:pPr>
      <w:bookmarkStart w:id="8" w:name="_Toc136274666"/>
      <w:r>
        <w:rPr>
          <w:rFonts w:ascii="Times New Roman" w:eastAsia="Times New Roman" w:hAnsi="Times New Roman" w:cs="Times New Roman"/>
        </w:rPr>
        <w:t>1.1.4. Technological Factors</w:t>
      </w:r>
      <w:r w:rsidR="00D6506B">
        <w:rPr>
          <w:rFonts w:ascii="Times New Roman" w:eastAsia="Times New Roman" w:hAnsi="Times New Roman" w:cs="Times New Roman"/>
        </w:rPr>
        <w:t>:</w:t>
      </w:r>
      <w:bookmarkEnd w:id="8"/>
    </w:p>
    <w:p w14:paraId="0E37A237" w14:textId="77777777" w:rsidR="003A3BCA" w:rsidRDefault="008276B6">
      <w:pPr>
        <w:keepNext/>
        <w:spacing w:line="360" w:lineRule="auto"/>
        <w:ind w:firstLine="360"/>
        <w:jc w:val="both"/>
      </w:pPr>
      <w:r>
        <w:t xml:space="preserve">1.1.4.1. Increased usage of data analytics in football – ever since the famous movie Moneyball, there have been more and more use cases for data analytics in sports, as this approach allows clubs to get a deeper understanding of what’s happening on the field. There are many things that couldn’t be caught by the naked eye, and only advanced analytics can help to “see” them. Vimal (2023) claims that the increased usage of data analysis in football has not only helped clubs search for the competitive edge in terms of players’ performance and in-game strategy, but also in terms of injury management and prevention, something as important as the other two.  </w:t>
      </w:r>
    </w:p>
    <w:p w14:paraId="0756D7E6" w14:textId="77777777" w:rsidR="003A3BCA" w:rsidRDefault="003A3BCA">
      <w:pPr>
        <w:spacing w:line="360" w:lineRule="auto"/>
        <w:ind w:firstLine="720"/>
      </w:pPr>
    </w:p>
    <w:p w14:paraId="29A543B6" w14:textId="77777777" w:rsidR="003A3BCA" w:rsidRDefault="008276B6">
      <w:pPr>
        <w:pStyle w:val="Heading2"/>
        <w:ind w:firstLine="720"/>
        <w:rPr>
          <w:rFonts w:ascii="Times New Roman" w:eastAsia="Times New Roman" w:hAnsi="Times New Roman" w:cs="Times New Roman"/>
        </w:rPr>
      </w:pPr>
      <w:bookmarkStart w:id="9" w:name="_Toc136274667"/>
      <w:r>
        <w:rPr>
          <w:rFonts w:ascii="Times New Roman" w:eastAsia="Times New Roman" w:hAnsi="Times New Roman" w:cs="Times New Roman"/>
        </w:rPr>
        <w:lastRenderedPageBreak/>
        <w:t>2.1. Porter’s 5 Forces Analysis</w:t>
      </w:r>
      <w:bookmarkEnd w:id="9"/>
    </w:p>
    <w:p w14:paraId="44235696" w14:textId="77777777" w:rsidR="003A3BCA" w:rsidRDefault="008276B6">
      <w:pPr>
        <w:spacing w:line="360" w:lineRule="auto"/>
        <w:ind w:firstLine="720"/>
        <w:jc w:val="both"/>
      </w:pPr>
      <w:r>
        <w:rPr>
          <w:color w:val="1F3863"/>
        </w:rPr>
        <w:t>2.1.1. Threat of new entrants</w:t>
      </w:r>
      <w:r>
        <w:t xml:space="preserve"> – There are 4 professional and 5 non-professional football leagues in England, as well as hundreds of local amateur football leagues, making England one of, if not the country with the most professional and amateur football competition in Europe. Technically, creating the football club, sorting every procedure, and applying it to the English Football Association is the easy part. Some estimates suggest the number of clubs registered on a professional, non-professional, amateur, and association level in England is 40 000, organized into 600 different leagues. The hard part is actually “entering” the market from the point of view of making a name for yourself and starting to climb up the football ladder. The main reason is that there are simply too many football clubs and divisions and tournaments that a newly founded club must face, and eventually win, </w:t>
      </w:r>
      <w:proofErr w:type="gramStart"/>
      <w:r>
        <w:t>in order to</w:t>
      </w:r>
      <w:proofErr w:type="gramEnd"/>
      <w:r>
        <w:t xml:space="preserve"> start being considered as a threat to the established football clubs in the top divisions of English football. The difference in ability gets exponentially higher, the better and higher the division the clubs play in. As mentioned earlier, to win the FA Cup, a club must come on top of 700+ clubs that are also trying to win the most prestigious domestic trophy in England, after the Premier League. And even if a newly established club manages to somehow win some games and sneak into the latter stages of the tournament, the rest of the clubs will have so much more experience and so much more to lose than the new club, that the new club’s chances will be approximately 0. Considering </w:t>
      </w:r>
      <w:proofErr w:type="gramStart"/>
      <w:r>
        <w:t>all of</w:t>
      </w:r>
      <w:proofErr w:type="gramEnd"/>
      <w:r>
        <w:t xml:space="preserve"> the above, it is safe to say that the threat of new entrants (especially to clubs from the 4 professional leagues in England) is very slim. Overall strength of the force: 0,5/5</w:t>
      </w:r>
    </w:p>
    <w:p w14:paraId="1ABD9E8C" w14:textId="77777777" w:rsidR="003A3BCA" w:rsidRDefault="008276B6">
      <w:pPr>
        <w:spacing w:line="360" w:lineRule="auto"/>
        <w:ind w:firstLine="720"/>
        <w:jc w:val="both"/>
      </w:pPr>
      <w:r>
        <w:rPr>
          <w:color w:val="1F3863"/>
        </w:rPr>
        <w:t>2.1.2. Rivalry among existing competition</w:t>
      </w:r>
      <w:r>
        <w:t xml:space="preserve"> – As mentioned in the introduction and in the previous section, there are 4 professional and 5 non-professional football leagues in England. To this number, we must add the total amount of regional and amateur leagues in the country and the number simply becomes too big. The number of professional teams in the English Football League system is 96, 20 of them playing in the first division – the English Premier League. Also, according to the rules of the Premier League, the top-4 EPL clubs qualify for the UEFA Champions League proper, the 5</w:t>
      </w:r>
      <w:r>
        <w:rPr>
          <w:vertAlign w:val="superscript"/>
        </w:rPr>
        <w:t>th</w:t>
      </w:r>
      <w:r>
        <w:t xml:space="preserve"> and winner of the FA Cup qualify for the UEFA Europa League proper, and lastly, the winner of the English League Cup qualifies for the UEFA Europa Conference League</w:t>
      </w:r>
      <w:r>
        <w:rPr>
          <w:vertAlign w:val="superscript"/>
        </w:rPr>
        <w:footnoteReference w:id="7"/>
      </w:r>
      <w:r>
        <w:t>. Technically, if some of the prior conditions are not met (i.e., the FA and EL cups are won by clubs that will play in the UEFA Champions League proper, the next highest-ranked team qualifies for each of the tournaments, the 6</w:t>
      </w:r>
      <w:r>
        <w:rPr>
          <w:vertAlign w:val="superscript"/>
        </w:rPr>
        <w:t>th</w:t>
      </w:r>
      <w:r>
        <w:t xml:space="preserve"> and 7</w:t>
      </w:r>
      <w:r>
        <w:rPr>
          <w:vertAlign w:val="superscript"/>
        </w:rPr>
        <w:t>th</w:t>
      </w:r>
      <w:r>
        <w:t xml:space="preserve">, usually). Taking, for instance, season 2019/2020, 7 English clubs played in European </w:t>
      </w:r>
      <w:r>
        <w:lastRenderedPageBreak/>
        <w:t>competitions, and their average revenue for the season was $503 million, whereas the remaining 13 clubs had an average revenue of $155 million</w:t>
      </w:r>
      <w:r>
        <w:rPr>
          <w:vertAlign w:val="superscript"/>
        </w:rPr>
        <w:footnoteReference w:id="8"/>
      </w:r>
      <w:r>
        <w:t>. In England’s second division, the Championship, for the same season, the 24 clubs had an average revenue of £28.3 million</w:t>
      </w:r>
      <w:r>
        <w:rPr>
          <w:vertAlign w:val="superscript"/>
        </w:rPr>
        <w:footnoteReference w:id="9"/>
      </w:r>
      <w:r>
        <w:t>. The difference is striking and the competition for the higher positions is fierce, as this could make or break any club’s season. Moreover, for the same season (2019/2020), as per Carrera’s (2021) comparisons, the TV broadcasting money for clubs in the PL was £2,3 billion, whereas for the Championship was only £330 million. Basically, given the number of professional and non-professional clubs in England that any new competition must beat to reach the top, plus the striking difference in money that the clubs at the pinnacle of English football earn, the logical conclusion is that the rivalry between the existing competition is very high. Overall strength 5/5</w:t>
      </w:r>
    </w:p>
    <w:p w14:paraId="77782378" w14:textId="77777777" w:rsidR="003A3BCA" w:rsidRDefault="008276B6">
      <w:pPr>
        <w:spacing w:line="360" w:lineRule="auto"/>
        <w:ind w:firstLine="720"/>
        <w:jc w:val="both"/>
      </w:pPr>
      <w:r>
        <w:rPr>
          <w:color w:val="1F3863"/>
        </w:rPr>
        <w:t>2.1.3. Bargaining power of suppliers</w:t>
      </w:r>
      <w:r>
        <w:t xml:space="preserve"> – The suppliers in the football industry (for the football clubs) could be seen as the providers of equipment and sponsorship deals. Moreover, according to </w:t>
      </w:r>
      <w:proofErr w:type="spellStart"/>
      <w:r>
        <w:t>Manoli</w:t>
      </w:r>
      <w:proofErr w:type="spellEnd"/>
      <w:r>
        <w:t xml:space="preserve"> (2014), in addition to the equipment providers, sponsors, and media, football players and non-playing staff should also be considered as suppliers to the football industry, given that said industry is intangible driven. As it is known, the bargaining power of suppliers relies on their position (i.e., whether they outnumber or are less than the potential number of buyers), the switching costs of both suppliers and buyers and on the dependence on a given supplier’s sale to a given buyer. For the current season, the 20 clubs in the EPL have 7 different kit providers</w:t>
      </w:r>
      <w:r>
        <w:rPr>
          <w:vertAlign w:val="superscript"/>
        </w:rPr>
        <w:footnoteReference w:id="10"/>
      </w:r>
      <w:r>
        <w:t>. Score and Change (2022) also report that this is an increase from season 2018/2019 when there were 6 providers, but a decrease from 2021/2022 when there were 10 different providers. Also, it is important to mention the dominance of Nike and Adidas which combined sponsor 45% of the clubs in the EPL for this season. For comparison, in the Championship – England’s second division, there are 24 clubs but only 9 different kit providers</w:t>
      </w:r>
      <w:r>
        <w:rPr>
          <w:vertAlign w:val="superscript"/>
        </w:rPr>
        <w:footnoteReference w:id="11"/>
      </w:r>
      <w:r>
        <w:t xml:space="preserve">. The combined figures for both divisions are as follows – 44 clubs and 11 different kit providers. This implies that, from this perspective, the power of suppliers is high, as there are more buyers than suppliers which are ready to supply the football industry in England. As mentioned earlier, there are 20 clubs in the EPL and 24 in the Championship. There are 534 </w:t>
      </w:r>
      <w:r>
        <w:lastRenderedPageBreak/>
        <w:t>registered players in the EPL, ~69% of them being foreigners</w:t>
      </w:r>
      <w:r>
        <w:rPr>
          <w:vertAlign w:val="superscript"/>
        </w:rPr>
        <w:footnoteReference w:id="12"/>
      </w:r>
      <w:r>
        <w:t>. When it comes to the Championship, there are 629 registered players, 50% of them being foreigners</w:t>
      </w:r>
      <w:r>
        <w:rPr>
          <w:vertAlign w:val="superscript"/>
        </w:rPr>
        <w:footnoteReference w:id="13"/>
      </w:r>
      <w:r>
        <w:t>. It is also reported that there are over 5000 professional English-born football players</w:t>
      </w:r>
      <w:r>
        <w:rPr>
          <w:vertAlign w:val="superscript"/>
        </w:rPr>
        <w:footnoteReference w:id="14"/>
      </w:r>
      <w:r>
        <w:t xml:space="preserve">. This theme suggests that, from the point of view of football players as suppliers, their power is low, given that they are much more than the football clubs they play for, numerically. When it comes to the backroom staff of football clubs, it is hard to estimate how many there are in each football club, given that this is not information that is of much public attention and coverage. Transfermarkt provides information on the backroom staff of Premier League clubs and if we </w:t>
      </w:r>
      <w:proofErr w:type="gramStart"/>
      <w:r>
        <w:t>take a look</w:t>
      </w:r>
      <w:proofErr w:type="gramEnd"/>
      <w:r>
        <w:t xml:space="preserve"> at Tottenham Hotspur, they have 12 members of the coaching staff (the manager included), 1 sporting director, 9 members of the scouting department, 1 nutritionist, and 2 other members of staff</w:t>
      </w:r>
      <w:r>
        <w:rPr>
          <w:vertAlign w:val="superscript"/>
        </w:rPr>
        <w:footnoteReference w:id="15"/>
      </w:r>
      <w:r>
        <w:t xml:space="preserve">. It is probably safe to assume that other clubs have the same number of staff, +-5 members depending on the club’s position in the football hierarchy and their revenue. From that point of view, the suppliers outnumber the buyers as well, implying a weak power again. When it comes to other sponsorship deals, on the other hand, it is important to mention that football clubs </w:t>
      </w:r>
      <w:proofErr w:type="gramStart"/>
      <w:r>
        <w:t>are able to</w:t>
      </w:r>
      <w:proofErr w:type="gramEnd"/>
      <w:r>
        <w:t xml:space="preserve"> have negotiations with different businesses, industries, etc., meaning that the potential number of suppliers is still higher than those of the buyers. It is probably right to evaluate the strength of this force as in the middle, because although on most fronts the number of suppliers is higher than the buyers, the switching costs for the buyers, on the other hand, are lower, some suppliers are not dependent on the sale of their services to the interested party, and also – quantity doesn’t equal quality, implying that sometimes clubs will have hard times replacing suppliers (players, staff, sponsors) because of the quality and the tailor-made value they bring, despite them having, as observed, a lot of options. Overall strength: 3/5</w:t>
      </w:r>
    </w:p>
    <w:p w14:paraId="56F59ECA" w14:textId="77777777" w:rsidR="003A3BCA" w:rsidRDefault="008276B6">
      <w:pPr>
        <w:spacing w:line="360" w:lineRule="auto"/>
        <w:ind w:firstLine="480"/>
        <w:jc w:val="both"/>
      </w:pPr>
      <w:r>
        <w:rPr>
          <w:color w:val="1F3863"/>
        </w:rPr>
        <w:t>2.1.4. Bargaining power of buyers</w:t>
      </w:r>
      <w:r>
        <w:t xml:space="preserve"> – buyers in the football industry are the football clubs themselves, given the nature of the suppliers, that is, an argument supported by </w:t>
      </w:r>
      <w:proofErr w:type="spellStart"/>
      <w:r>
        <w:t>Manoli’s</w:t>
      </w:r>
      <w:proofErr w:type="spellEnd"/>
      <w:r>
        <w:t xml:space="preserve"> (2014) paper. The bargaining power of buyers is high when the relative number of buyers to suppliers is small when the switching costs for buyers are low, when buyers </w:t>
      </w:r>
      <w:proofErr w:type="gramStart"/>
      <w:r>
        <w:t>are able to</w:t>
      </w:r>
      <w:proofErr w:type="gramEnd"/>
      <w:r>
        <w:t xml:space="preserve"> purchase in bulk and the products they’re buying are not differentiated. As already stated, when it comes to suppliers in the form of football players, backroom staff, and available sponsorship deals, there </w:t>
      </w:r>
      <w:r>
        <w:lastRenderedPageBreak/>
        <w:t xml:space="preserve">are fewer buyers than there are suppliers, implying that, from this point of view, the buyers have high bargaining power. If we, however, look at the other criteria, product differentiation, it could be observed that this is not the case. For starters, there are 11 different positions in football. Moreover, the quality of each footballer varies so much that it is impossible to replicate one’s skillset. Different players bring different skills, value, different marketability, different work rate, etc. This criterion shows that the power of buyers is not high, as there is a big player differentiation, and it is hard to substitute one player for another without experiencing any trade-offs. In many instances the trade-off experienced is </w:t>
      </w:r>
      <w:proofErr w:type="gramStart"/>
      <w:r>
        <w:t>really big</w:t>
      </w:r>
      <w:proofErr w:type="gramEnd"/>
      <w:r>
        <w:t>, leaving the club in a worse position, from the point of view of on-the-pitch ability, albeit they have managed to secure a financial gain. This said the switching costs for buyers could be both high and low, depending on the type of suppliers. Changing the suppliers, in terms of changing players is easy, although the results might be worse, changing kit suppliers is harder, given that they are less than the amount of football clubs they supply, and that they don’t depend on the sale to individual buyers, as could those individual buyers depend on them. Also, when it comes to changing skilled and experienced players and backroom staff, the switching costs are rather high, given all the uncertainty that this brings, given the time-consuming process until the right replacements are actually found, and also given the fact that some coaches deploy certain tactics and instructions, finding replacements could prove to be difficult and costly, as well as inefficient, although the amount of players is very high, as stated in the previous section. Given all the above, the strength of the bargaining power of buyers’ force is on the low side. Overall strength: 2/5</w:t>
      </w:r>
    </w:p>
    <w:p w14:paraId="27D99050" w14:textId="77777777" w:rsidR="003A3BCA" w:rsidRDefault="008276B6">
      <w:pPr>
        <w:spacing w:line="360" w:lineRule="auto"/>
        <w:ind w:firstLine="480"/>
        <w:jc w:val="both"/>
      </w:pPr>
      <w:r>
        <w:rPr>
          <w:color w:val="1F3863"/>
        </w:rPr>
        <w:t>2.1.5. Threat of substitutes</w:t>
      </w:r>
      <w:r>
        <w:t xml:space="preserve"> – When it comes to substitute goods/services, it is important to understand what substitutes in the football industry </w:t>
      </w:r>
      <w:proofErr w:type="gramStart"/>
      <w:r>
        <w:t>actually are</w:t>
      </w:r>
      <w:proofErr w:type="gramEnd"/>
      <w:r>
        <w:t xml:space="preserve">. From the clubs’ perspective, they could substitute their sponsors/providers of equipment, football players, and backroom staff. As mentioned above, although there is a limited number of kit providers in England’s top two divisions, there still is a choice. Moreover, clubs can negotiate with whoever when it comes to partnership deals. When it comes to players and staff, on the other hand, the problem of subpar quality substitution exists, but the number of players and coaches each club can choose from is big, </w:t>
      </w:r>
      <w:proofErr w:type="gramStart"/>
      <w:r>
        <w:t>really big</w:t>
      </w:r>
      <w:proofErr w:type="gramEnd"/>
      <w:r>
        <w:t xml:space="preserve">. Moreover, we observed that around 69% of the players in the EPL are foreigners, and even though there are over 5000 professional English players, they could really be (and are) substituted by the foreign-born talent that is perceived to be better. The same thing applies to coaches and other non-playing staff. Unlike other industries, where it is able to substitute a product with a product from another industry, when it comes to football clubs and the football industry – one’s not able to swap their manager for a basketball coach or their </w:t>
      </w:r>
      <w:r>
        <w:lastRenderedPageBreak/>
        <w:t xml:space="preserve">striker for a golfer, implying that even the substitutes are very specific, and as mentioned earlier – could be hard to find a quality one, even with such a large pool of players to choose from. For the established clubs in the English Premier League, finding a new sponsorship deal, with </w:t>
      </w:r>
      <w:proofErr w:type="gramStart"/>
      <w:r>
        <w:t>more or less the</w:t>
      </w:r>
      <w:proofErr w:type="gramEnd"/>
      <w:r>
        <w:t xml:space="preserve"> same terms, if not better, shouldn’t be a hard task, given their ability to turn over large amounts of money per season, be it from merchandise, from TV broadcasting, from marketing, etc. From the point of view of consumers of the football industry (fans and casual spectators), the English Premier League could be substituted for other football leagues in Europe, for other sports (basketball, American football, volleyball, pool, tennis, etc.), or for other leisure activities (going to the cinema, watching TV series, etc.). For comparison, for the 2020/2021 season, the EPL drew in over 3 billion viewers </w:t>
      </w:r>
      <w:proofErr w:type="gramStart"/>
      <w:r>
        <w:t>during the course of</w:t>
      </w:r>
      <w:proofErr w:type="gramEnd"/>
      <w:r>
        <w:t xml:space="preserve"> the season, or 79 million people per week. The National Football League (American football), for the same season “only” managed to lure 17 million people to watch the league per week (The Blizzard, 2022). </w:t>
      </w:r>
      <w:proofErr w:type="spellStart"/>
      <w:r>
        <w:t>Lisubila</w:t>
      </w:r>
      <w:proofErr w:type="spellEnd"/>
      <w:r>
        <w:t xml:space="preserve"> (2022) compared the viewership between the EPL and La Liga (Spain’s top division), as they are naturally the two most popular football leagues in the world, with his reports stating that for season 2019/2020 the EPL managed to lure in 3,2 billion viewership, compared to only 650 million viewers of La Liga, implying how much more popular and desired the English Premier League is. So, to conclude, the players, non-playing staff, and sponsors </w:t>
      </w:r>
      <w:proofErr w:type="gramStart"/>
      <w:r>
        <w:t>are able to</w:t>
      </w:r>
      <w:proofErr w:type="gramEnd"/>
      <w:r>
        <w:t xml:space="preserve"> substitute clubs from the English Premier League for other clubs, but the quality will be subpar, and the popularity, viewership, and desirability will also be much less, given how much of a giant the English football really is. Therefore, the strength of this force is on the low side. Overall strength: 1,5/5</w:t>
      </w:r>
    </w:p>
    <w:p w14:paraId="60821A3D" w14:textId="77777777" w:rsidR="003A3BCA" w:rsidRDefault="003A3BCA">
      <w:pPr>
        <w:keepNext/>
        <w:spacing w:line="360" w:lineRule="auto"/>
        <w:jc w:val="both"/>
      </w:pPr>
    </w:p>
    <w:p w14:paraId="7A357371" w14:textId="77777777" w:rsidR="003A3BCA" w:rsidRDefault="008276B6">
      <w:pPr>
        <w:pStyle w:val="Heading2"/>
      </w:pPr>
      <w:bookmarkStart w:id="10" w:name="_Toc136274668"/>
      <w:r>
        <w:t>3.1. Key Success Factors</w:t>
      </w:r>
      <w:bookmarkEnd w:id="10"/>
    </w:p>
    <w:p w14:paraId="6F9ABBB8" w14:textId="77777777" w:rsidR="003A3BCA" w:rsidRDefault="008276B6">
      <w:pPr>
        <w:spacing w:line="360" w:lineRule="auto"/>
        <w:jc w:val="both"/>
      </w:pPr>
      <w:r>
        <w:t xml:space="preserve">Every company, operating within any industry, must have certain characteristics </w:t>
      </w:r>
      <w:proofErr w:type="gramStart"/>
      <w:r>
        <w:t>in order to</w:t>
      </w:r>
      <w:proofErr w:type="gramEnd"/>
      <w:r>
        <w:t xml:space="preserve"> compete with its rivals, and establishing themselves in a better competitive position. Here, we will analyze the KSF for Manchester United, a club operating within the football industry in England. This analysis will consider clubs from the English Premier League. The following success factors were chosen by combining the findings from the UEFA Club Benchmarking Licensing Report</w:t>
      </w:r>
      <w:r>
        <w:rPr>
          <w:vertAlign w:val="superscript"/>
        </w:rPr>
        <w:footnoteReference w:id="16"/>
      </w:r>
      <w:r>
        <w:t xml:space="preserve"> and one of the original defining points in the topic of Key Success Factors – the article by John </w:t>
      </w:r>
      <w:proofErr w:type="spellStart"/>
      <w:r>
        <w:t>Rockart</w:t>
      </w:r>
      <w:proofErr w:type="spellEnd"/>
      <w:r>
        <w:t xml:space="preserve">, adapted to the football industry, that is. </w:t>
      </w:r>
    </w:p>
    <w:tbl>
      <w:tblPr>
        <w:tblStyle w:val="a"/>
        <w:tblW w:w="11240" w:type="dxa"/>
        <w:tblInd w:w="-1110" w:type="dxa"/>
        <w:tblLayout w:type="fixed"/>
        <w:tblLook w:val="0400" w:firstRow="0" w:lastRow="0" w:firstColumn="0" w:lastColumn="0" w:noHBand="0" w:noVBand="1"/>
      </w:tblPr>
      <w:tblGrid>
        <w:gridCol w:w="3158"/>
        <w:gridCol w:w="1496"/>
        <w:gridCol w:w="1208"/>
        <w:gridCol w:w="1496"/>
        <w:gridCol w:w="1131"/>
        <w:gridCol w:w="1402"/>
        <w:gridCol w:w="1349"/>
      </w:tblGrid>
      <w:tr w:rsidR="003A3BCA" w14:paraId="514982B3" w14:textId="77777777">
        <w:trPr>
          <w:trHeight w:val="1283"/>
        </w:trPr>
        <w:tc>
          <w:tcPr>
            <w:tcW w:w="31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2083D9" w14:textId="77777777" w:rsidR="003A3BCA" w:rsidRDefault="008276B6">
            <w:pPr>
              <w:rPr>
                <w:rFonts w:ascii="Calibri" w:eastAsia="Calibri" w:hAnsi="Calibri" w:cs="Calibri"/>
                <w:color w:val="000000"/>
              </w:rPr>
            </w:pPr>
            <w:r>
              <w:rPr>
                <w:rFonts w:ascii="Calibri" w:eastAsia="Calibri" w:hAnsi="Calibri" w:cs="Calibri"/>
                <w:color w:val="000000"/>
              </w:rPr>
              <w:lastRenderedPageBreak/>
              <w:t xml:space="preserve">                                       Club</w:t>
            </w:r>
            <w:r>
              <w:rPr>
                <w:rFonts w:ascii="Calibri" w:eastAsia="Calibri" w:hAnsi="Calibri" w:cs="Calibri"/>
                <w:color w:val="000000"/>
              </w:rPr>
              <w:br/>
              <w:t>KSF</w:t>
            </w:r>
          </w:p>
        </w:tc>
        <w:tc>
          <w:tcPr>
            <w:tcW w:w="1496" w:type="dxa"/>
            <w:tcBorders>
              <w:top w:val="single" w:sz="4" w:space="0" w:color="000000"/>
              <w:left w:val="nil"/>
              <w:bottom w:val="single" w:sz="4" w:space="0" w:color="000000"/>
              <w:right w:val="single" w:sz="4" w:space="0" w:color="000000"/>
            </w:tcBorders>
            <w:shd w:val="clear" w:color="auto" w:fill="auto"/>
            <w:vAlign w:val="center"/>
          </w:tcPr>
          <w:p w14:paraId="606ED500" w14:textId="77777777" w:rsidR="003A3BCA" w:rsidRDefault="008276B6">
            <w:pPr>
              <w:jc w:val="center"/>
              <w:rPr>
                <w:rFonts w:ascii="Calibri" w:eastAsia="Calibri" w:hAnsi="Calibri" w:cs="Calibri"/>
                <w:color w:val="000000"/>
              </w:rPr>
            </w:pPr>
            <w:r>
              <w:rPr>
                <w:rFonts w:ascii="Calibri" w:eastAsia="Calibri" w:hAnsi="Calibri" w:cs="Calibri"/>
                <w:color w:val="000000"/>
              </w:rPr>
              <w:t>Manchester United</w:t>
            </w:r>
          </w:p>
        </w:tc>
        <w:tc>
          <w:tcPr>
            <w:tcW w:w="1208" w:type="dxa"/>
            <w:tcBorders>
              <w:top w:val="single" w:sz="4" w:space="0" w:color="000000"/>
              <w:left w:val="nil"/>
              <w:bottom w:val="single" w:sz="4" w:space="0" w:color="000000"/>
              <w:right w:val="single" w:sz="4" w:space="0" w:color="000000"/>
            </w:tcBorders>
            <w:shd w:val="clear" w:color="auto" w:fill="auto"/>
            <w:vAlign w:val="center"/>
          </w:tcPr>
          <w:p w14:paraId="16EE518C" w14:textId="77777777" w:rsidR="003A3BCA" w:rsidRDefault="008276B6">
            <w:pPr>
              <w:jc w:val="center"/>
              <w:rPr>
                <w:rFonts w:ascii="Calibri" w:eastAsia="Calibri" w:hAnsi="Calibri" w:cs="Calibri"/>
                <w:color w:val="000000"/>
              </w:rPr>
            </w:pPr>
            <w:r>
              <w:rPr>
                <w:rFonts w:ascii="Calibri" w:eastAsia="Calibri" w:hAnsi="Calibri" w:cs="Calibri"/>
                <w:color w:val="000000"/>
              </w:rPr>
              <w:t>Liverpool</w:t>
            </w:r>
          </w:p>
        </w:tc>
        <w:tc>
          <w:tcPr>
            <w:tcW w:w="1496" w:type="dxa"/>
            <w:tcBorders>
              <w:top w:val="single" w:sz="4" w:space="0" w:color="000000"/>
              <w:left w:val="nil"/>
              <w:bottom w:val="single" w:sz="4" w:space="0" w:color="000000"/>
              <w:right w:val="single" w:sz="4" w:space="0" w:color="000000"/>
            </w:tcBorders>
            <w:shd w:val="clear" w:color="auto" w:fill="auto"/>
            <w:vAlign w:val="center"/>
          </w:tcPr>
          <w:p w14:paraId="4FBB1497" w14:textId="77777777" w:rsidR="003A3BCA" w:rsidRDefault="008276B6">
            <w:pPr>
              <w:jc w:val="center"/>
              <w:rPr>
                <w:rFonts w:ascii="Calibri" w:eastAsia="Calibri" w:hAnsi="Calibri" w:cs="Calibri"/>
                <w:color w:val="000000"/>
              </w:rPr>
            </w:pPr>
            <w:r>
              <w:rPr>
                <w:rFonts w:ascii="Calibri" w:eastAsia="Calibri" w:hAnsi="Calibri" w:cs="Calibri"/>
                <w:color w:val="000000"/>
              </w:rPr>
              <w:t>Manchester City</w:t>
            </w:r>
          </w:p>
        </w:tc>
        <w:tc>
          <w:tcPr>
            <w:tcW w:w="1131" w:type="dxa"/>
            <w:tcBorders>
              <w:top w:val="single" w:sz="4" w:space="0" w:color="000000"/>
              <w:left w:val="nil"/>
              <w:bottom w:val="single" w:sz="4" w:space="0" w:color="000000"/>
              <w:right w:val="single" w:sz="4" w:space="0" w:color="000000"/>
            </w:tcBorders>
            <w:shd w:val="clear" w:color="auto" w:fill="auto"/>
            <w:vAlign w:val="center"/>
          </w:tcPr>
          <w:p w14:paraId="5711CF8D" w14:textId="77777777" w:rsidR="003A3BCA" w:rsidRDefault="008276B6">
            <w:pPr>
              <w:jc w:val="center"/>
              <w:rPr>
                <w:rFonts w:ascii="Calibri" w:eastAsia="Calibri" w:hAnsi="Calibri" w:cs="Calibri"/>
                <w:color w:val="000000"/>
              </w:rPr>
            </w:pPr>
            <w:r>
              <w:rPr>
                <w:rFonts w:ascii="Calibri" w:eastAsia="Calibri" w:hAnsi="Calibri" w:cs="Calibri"/>
                <w:color w:val="000000"/>
              </w:rPr>
              <w:t>Arsenal</w:t>
            </w:r>
          </w:p>
        </w:tc>
        <w:tc>
          <w:tcPr>
            <w:tcW w:w="1402" w:type="dxa"/>
            <w:tcBorders>
              <w:top w:val="single" w:sz="4" w:space="0" w:color="000000"/>
              <w:left w:val="nil"/>
              <w:bottom w:val="single" w:sz="4" w:space="0" w:color="000000"/>
              <w:right w:val="single" w:sz="4" w:space="0" w:color="000000"/>
            </w:tcBorders>
            <w:shd w:val="clear" w:color="auto" w:fill="auto"/>
            <w:vAlign w:val="center"/>
          </w:tcPr>
          <w:p w14:paraId="6154473C" w14:textId="77777777" w:rsidR="003A3BCA" w:rsidRDefault="008276B6">
            <w:pPr>
              <w:jc w:val="center"/>
              <w:rPr>
                <w:rFonts w:ascii="Calibri" w:eastAsia="Calibri" w:hAnsi="Calibri" w:cs="Calibri"/>
                <w:color w:val="000000"/>
              </w:rPr>
            </w:pPr>
            <w:r>
              <w:rPr>
                <w:rFonts w:ascii="Calibri" w:eastAsia="Calibri" w:hAnsi="Calibri" w:cs="Calibri"/>
                <w:color w:val="000000"/>
              </w:rPr>
              <w:t>Tottenham</w:t>
            </w:r>
          </w:p>
        </w:tc>
        <w:tc>
          <w:tcPr>
            <w:tcW w:w="1349" w:type="dxa"/>
            <w:tcBorders>
              <w:top w:val="single" w:sz="4" w:space="0" w:color="000000"/>
              <w:left w:val="nil"/>
              <w:bottom w:val="single" w:sz="4" w:space="0" w:color="000000"/>
              <w:right w:val="single" w:sz="4" w:space="0" w:color="000000"/>
            </w:tcBorders>
            <w:shd w:val="clear" w:color="auto" w:fill="auto"/>
            <w:vAlign w:val="center"/>
          </w:tcPr>
          <w:p w14:paraId="793DC207" w14:textId="77777777" w:rsidR="003A3BCA" w:rsidRDefault="008276B6">
            <w:pPr>
              <w:jc w:val="center"/>
              <w:rPr>
                <w:rFonts w:ascii="Calibri" w:eastAsia="Calibri" w:hAnsi="Calibri" w:cs="Calibri"/>
                <w:color w:val="000000"/>
              </w:rPr>
            </w:pPr>
            <w:r>
              <w:rPr>
                <w:rFonts w:ascii="Calibri" w:eastAsia="Calibri" w:hAnsi="Calibri" w:cs="Calibri"/>
                <w:color w:val="000000"/>
              </w:rPr>
              <w:t>Chelsea</w:t>
            </w:r>
          </w:p>
        </w:tc>
      </w:tr>
      <w:tr w:rsidR="003A3BCA" w14:paraId="3E7B95A0" w14:textId="77777777">
        <w:trPr>
          <w:trHeight w:val="402"/>
        </w:trPr>
        <w:tc>
          <w:tcPr>
            <w:tcW w:w="31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27E61F" w14:textId="77777777" w:rsidR="003A3BCA" w:rsidRDefault="008276B6">
            <w:pPr>
              <w:rPr>
                <w:rFonts w:ascii="Calibri" w:eastAsia="Calibri" w:hAnsi="Calibri" w:cs="Calibri"/>
                <w:color w:val="000000"/>
              </w:rPr>
            </w:pPr>
            <w:r>
              <w:rPr>
                <w:rFonts w:ascii="Calibri" w:eastAsia="Calibri" w:hAnsi="Calibri" w:cs="Calibri"/>
                <w:color w:val="000000"/>
              </w:rPr>
              <w:t>Contemporary Success</w:t>
            </w:r>
          </w:p>
        </w:tc>
        <w:tc>
          <w:tcPr>
            <w:tcW w:w="149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1B3E59C" w14:textId="77777777" w:rsidR="003A3BCA" w:rsidRDefault="008276B6">
            <w:pPr>
              <w:rPr>
                <w:rFonts w:ascii="Calibri" w:eastAsia="Calibri" w:hAnsi="Calibri" w:cs="Calibri"/>
                <w:color w:val="000000"/>
              </w:rPr>
            </w:pPr>
            <w:r>
              <w:rPr>
                <w:rFonts w:ascii="Calibri" w:eastAsia="Calibri" w:hAnsi="Calibri" w:cs="Calibri"/>
                <w:color w:val="000000"/>
              </w:rPr>
              <w:t>-</w:t>
            </w:r>
          </w:p>
        </w:tc>
        <w:tc>
          <w:tcPr>
            <w:tcW w:w="120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D7C9446" w14:textId="77777777" w:rsidR="003A3BCA" w:rsidRDefault="008276B6">
            <w:pPr>
              <w:rPr>
                <w:rFonts w:ascii="Calibri" w:eastAsia="Calibri" w:hAnsi="Calibri" w:cs="Calibri"/>
                <w:color w:val="000000"/>
              </w:rPr>
            </w:pPr>
            <w:r>
              <w:rPr>
                <w:rFonts w:ascii="Calibri" w:eastAsia="Calibri" w:hAnsi="Calibri" w:cs="Calibri"/>
                <w:color w:val="000000"/>
              </w:rPr>
              <w:t>+++</w:t>
            </w:r>
          </w:p>
        </w:tc>
        <w:tc>
          <w:tcPr>
            <w:tcW w:w="149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F510BFC" w14:textId="77777777" w:rsidR="003A3BCA" w:rsidRDefault="008276B6">
            <w:pPr>
              <w:rPr>
                <w:rFonts w:ascii="Calibri" w:eastAsia="Calibri" w:hAnsi="Calibri" w:cs="Calibri"/>
                <w:color w:val="000000"/>
              </w:rPr>
            </w:pPr>
            <w:r>
              <w:rPr>
                <w:rFonts w:ascii="Calibri" w:eastAsia="Calibri" w:hAnsi="Calibri" w:cs="Calibri"/>
                <w:color w:val="000000"/>
              </w:rPr>
              <w:t>+++</w:t>
            </w:r>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345921E" w14:textId="77777777" w:rsidR="003A3BCA" w:rsidRDefault="008276B6">
            <w:pPr>
              <w:rPr>
                <w:rFonts w:ascii="Calibri" w:eastAsia="Calibri" w:hAnsi="Calibri" w:cs="Calibri"/>
                <w:color w:val="000000"/>
              </w:rPr>
            </w:pPr>
            <w:r>
              <w:rPr>
                <w:rFonts w:ascii="Calibri" w:eastAsia="Calibri" w:hAnsi="Calibri" w:cs="Calibri"/>
                <w:color w:val="000000"/>
              </w:rPr>
              <w:t>+</w:t>
            </w:r>
          </w:p>
        </w:tc>
        <w:tc>
          <w:tcPr>
            <w:tcW w:w="140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F03855B" w14:textId="77777777" w:rsidR="003A3BCA" w:rsidRDefault="008276B6">
            <w:pPr>
              <w:rPr>
                <w:rFonts w:ascii="Calibri" w:eastAsia="Calibri" w:hAnsi="Calibri" w:cs="Calibri"/>
                <w:color w:val="000000"/>
              </w:rPr>
            </w:pPr>
            <w:r>
              <w:rPr>
                <w:rFonts w:ascii="Calibri" w:eastAsia="Calibri" w:hAnsi="Calibri" w:cs="Calibri"/>
                <w:color w:val="000000"/>
              </w:rPr>
              <w:t>-</w:t>
            </w:r>
          </w:p>
        </w:tc>
        <w:tc>
          <w:tcPr>
            <w:tcW w:w="134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51FC2A8" w14:textId="77777777" w:rsidR="003A3BCA" w:rsidRDefault="008276B6">
            <w:pPr>
              <w:rPr>
                <w:rFonts w:ascii="Calibri" w:eastAsia="Calibri" w:hAnsi="Calibri" w:cs="Calibri"/>
                <w:color w:val="000000"/>
              </w:rPr>
            </w:pPr>
            <w:r>
              <w:rPr>
                <w:rFonts w:ascii="Calibri" w:eastAsia="Calibri" w:hAnsi="Calibri" w:cs="Calibri"/>
                <w:color w:val="000000"/>
              </w:rPr>
              <w:t>++</w:t>
            </w:r>
          </w:p>
        </w:tc>
      </w:tr>
      <w:tr w:rsidR="003A3BCA" w14:paraId="07C7E882" w14:textId="77777777">
        <w:trPr>
          <w:trHeight w:val="402"/>
        </w:trPr>
        <w:tc>
          <w:tcPr>
            <w:tcW w:w="31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27F8DD" w14:textId="77777777" w:rsidR="003A3BCA" w:rsidRDefault="008276B6">
            <w:pPr>
              <w:rPr>
                <w:rFonts w:ascii="Calibri" w:eastAsia="Calibri" w:hAnsi="Calibri" w:cs="Calibri"/>
                <w:color w:val="000000"/>
              </w:rPr>
            </w:pPr>
            <w:r>
              <w:rPr>
                <w:rFonts w:ascii="Calibri" w:eastAsia="Calibri" w:hAnsi="Calibri" w:cs="Calibri"/>
                <w:color w:val="000000"/>
              </w:rPr>
              <w:t>Financial Prowess</w:t>
            </w:r>
          </w:p>
        </w:tc>
        <w:tc>
          <w:tcPr>
            <w:tcW w:w="149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682F2AD" w14:textId="77777777" w:rsidR="003A3BCA" w:rsidRDefault="008276B6">
            <w:pPr>
              <w:rPr>
                <w:rFonts w:ascii="Calibri" w:eastAsia="Calibri" w:hAnsi="Calibri" w:cs="Calibri"/>
                <w:color w:val="000000"/>
              </w:rPr>
            </w:pPr>
            <w:r>
              <w:rPr>
                <w:rFonts w:ascii="Calibri" w:eastAsia="Calibri" w:hAnsi="Calibri" w:cs="Calibri"/>
                <w:color w:val="000000"/>
              </w:rPr>
              <w:t>+++</w:t>
            </w:r>
          </w:p>
        </w:tc>
        <w:tc>
          <w:tcPr>
            <w:tcW w:w="120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8A4C01F" w14:textId="77777777" w:rsidR="003A3BCA" w:rsidRDefault="008276B6">
            <w:pPr>
              <w:rPr>
                <w:rFonts w:ascii="Calibri" w:eastAsia="Calibri" w:hAnsi="Calibri" w:cs="Calibri"/>
                <w:color w:val="000000"/>
              </w:rPr>
            </w:pPr>
            <w:r>
              <w:rPr>
                <w:rFonts w:ascii="Calibri" w:eastAsia="Calibri" w:hAnsi="Calibri" w:cs="Calibri"/>
                <w:color w:val="000000"/>
              </w:rPr>
              <w:t>+++</w:t>
            </w:r>
          </w:p>
        </w:tc>
        <w:tc>
          <w:tcPr>
            <w:tcW w:w="149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36B46F7" w14:textId="77777777" w:rsidR="003A3BCA" w:rsidRDefault="008276B6">
            <w:pPr>
              <w:rPr>
                <w:rFonts w:ascii="Calibri" w:eastAsia="Calibri" w:hAnsi="Calibri" w:cs="Calibri"/>
                <w:color w:val="000000"/>
              </w:rPr>
            </w:pPr>
            <w:r>
              <w:rPr>
                <w:rFonts w:ascii="Calibri" w:eastAsia="Calibri" w:hAnsi="Calibri" w:cs="Calibri"/>
                <w:color w:val="000000"/>
              </w:rPr>
              <w:t>+++</w:t>
            </w:r>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58E6C89" w14:textId="77777777" w:rsidR="003A3BCA" w:rsidRDefault="008276B6">
            <w:pPr>
              <w:rPr>
                <w:rFonts w:ascii="Calibri" w:eastAsia="Calibri" w:hAnsi="Calibri" w:cs="Calibri"/>
                <w:color w:val="000000"/>
              </w:rPr>
            </w:pPr>
            <w:r>
              <w:rPr>
                <w:rFonts w:ascii="Calibri" w:eastAsia="Calibri" w:hAnsi="Calibri" w:cs="Calibri"/>
                <w:color w:val="000000"/>
              </w:rPr>
              <w:t>++</w:t>
            </w:r>
          </w:p>
        </w:tc>
        <w:tc>
          <w:tcPr>
            <w:tcW w:w="140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3E6B8E1" w14:textId="77777777" w:rsidR="003A3BCA" w:rsidRDefault="008276B6">
            <w:pPr>
              <w:rPr>
                <w:rFonts w:ascii="Calibri" w:eastAsia="Calibri" w:hAnsi="Calibri" w:cs="Calibri"/>
                <w:color w:val="000000"/>
              </w:rPr>
            </w:pPr>
            <w:r>
              <w:rPr>
                <w:rFonts w:ascii="Calibri" w:eastAsia="Calibri" w:hAnsi="Calibri" w:cs="Calibri"/>
                <w:color w:val="000000"/>
              </w:rPr>
              <w:t>++</w:t>
            </w:r>
          </w:p>
        </w:tc>
        <w:tc>
          <w:tcPr>
            <w:tcW w:w="134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54F8C57" w14:textId="77777777" w:rsidR="003A3BCA" w:rsidRDefault="008276B6">
            <w:pPr>
              <w:rPr>
                <w:rFonts w:ascii="Calibri" w:eastAsia="Calibri" w:hAnsi="Calibri" w:cs="Calibri"/>
                <w:color w:val="000000"/>
              </w:rPr>
            </w:pPr>
            <w:r>
              <w:rPr>
                <w:rFonts w:ascii="Calibri" w:eastAsia="Calibri" w:hAnsi="Calibri" w:cs="Calibri"/>
                <w:color w:val="000000"/>
              </w:rPr>
              <w:t>+++</w:t>
            </w:r>
          </w:p>
        </w:tc>
      </w:tr>
      <w:tr w:rsidR="003A3BCA" w14:paraId="2ABFF141" w14:textId="77777777">
        <w:trPr>
          <w:trHeight w:val="402"/>
        </w:trPr>
        <w:tc>
          <w:tcPr>
            <w:tcW w:w="31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2F834B" w14:textId="77777777" w:rsidR="003A3BCA" w:rsidRDefault="008276B6">
            <w:pPr>
              <w:rPr>
                <w:rFonts w:ascii="Calibri" w:eastAsia="Calibri" w:hAnsi="Calibri" w:cs="Calibri"/>
                <w:color w:val="000000"/>
              </w:rPr>
            </w:pPr>
            <w:r>
              <w:rPr>
                <w:rFonts w:ascii="Calibri" w:eastAsia="Calibri" w:hAnsi="Calibri" w:cs="Calibri"/>
                <w:color w:val="000000"/>
              </w:rPr>
              <w:t>Infrastructure</w:t>
            </w:r>
          </w:p>
        </w:tc>
        <w:tc>
          <w:tcPr>
            <w:tcW w:w="149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8CC9357" w14:textId="77777777" w:rsidR="003A3BCA" w:rsidRDefault="008276B6">
            <w:pPr>
              <w:rPr>
                <w:rFonts w:ascii="Calibri" w:eastAsia="Calibri" w:hAnsi="Calibri" w:cs="Calibri"/>
                <w:color w:val="000000"/>
              </w:rPr>
            </w:pPr>
            <w:r>
              <w:rPr>
                <w:rFonts w:ascii="Calibri" w:eastAsia="Calibri" w:hAnsi="Calibri" w:cs="Calibri"/>
                <w:color w:val="000000"/>
              </w:rPr>
              <w:t>+++</w:t>
            </w:r>
          </w:p>
        </w:tc>
        <w:tc>
          <w:tcPr>
            <w:tcW w:w="120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B3D21D6" w14:textId="77777777" w:rsidR="003A3BCA" w:rsidRDefault="008276B6">
            <w:pPr>
              <w:rPr>
                <w:rFonts w:ascii="Calibri" w:eastAsia="Calibri" w:hAnsi="Calibri" w:cs="Calibri"/>
                <w:color w:val="000000"/>
              </w:rPr>
            </w:pPr>
            <w:r>
              <w:rPr>
                <w:rFonts w:ascii="Calibri" w:eastAsia="Calibri" w:hAnsi="Calibri" w:cs="Calibri"/>
                <w:color w:val="000000"/>
              </w:rPr>
              <w:t>++</w:t>
            </w:r>
          </w:p>
        </w:tc>
        <w:tc>
          <w:tcPr>
            <w:tcW w:w="149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347CF2E" w14:textId="77777777" w:rsidR="003A3BCA" w:rsidRDefault="008276B6">
            <w:pPr>
              <w:rPr>
                <w:rFonts w:ascii="Calibri" w:eastAsia="Calibri" w:hAnsi="Calibri" w:cs="Calibri"/>
                <w:color w:val="000000"/>
              </w:rPr>
            </w:pPr>
            <w:r>
              <w:rPr>
                <w:rFonts w:ascii="Calibri" w:eastAsia="Calibri" w:hAnsi="Calibri" w:cs="Calibri"/>
                <w:color w:val="000000"/>
              </w:rPr>
              <w:t>++</w:t>
            </w:r>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4E3F9A4" w14:textId="77777777" w:rsidR="003A3BCA" w:rsidRDefault="008276B6">
            <w:pPr>
              <w:rPr>
                <w:rFonts w:ascii="Calibri" w:eastAsia="Calibri" w:hAnsi="Calibri" w:cs="Calibri"/>
                <w:color w:val="000000"/>
              </w:rPr>
            </w:pPr>
            <w:r>
              <w:rPr>
                <w:rFonts w:ascii="Calibri" w:eastAsia="Calibri" w:hAnsi="Calibri" w:cs="Calibri"/>
                <w:color w:val="000000"/>
              </w:rPr>
              <w:t>++</w:t>
            </w:r>
          </w:p>
        </w:tc>
        <w:tc>
          <w:tcPr>
            <w:tcW w:w="140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8ECF1ED" w14:textId="77777777" w:rsidR="003A3BCA" w:rsidRDefault="008276B6">
            <w:pPr>
              <w:rPr>
                <w:rFonts w:ascii="Calibri" w:eastAsia="Calibri" w:hAnsi="Calibri" w:cs="Calibri"/>
                <w:color w:val="000000"/>
              </w:rPr>
            </w:pPr>
            <w:r>
              <w:rPr>
                <w:rFonts w:ascii="Calibri" w:eastAsia="Calibri" w:hAnsi="Calibri" w:cs="Calibri"/>
                <w:color w:val="000000"/>
              </w:rPr>
              <w:t>++</w:t>
            </w:r>
          </w:p>
        </w:tc>
        <w:tc>
          <w:tcPr>
            <w:tcW w:w="134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509F9C6" w14:textId="77777777" w:rsidR="003A3BCA" w:rsidRDefault="008276B6">
            <w:pPr>
              <w:rPr>
                <w:rFonts w:ascii="Calibri" w:eastAsia="Calibri" w:hAnsi="Calibri" w:cs="Calibri"/>
                <w:color w:val="000000"/>
              </w:rPr>
            </w:pPr>
            <w:r>
              <w:rPr>
                <w:rFonts w:ascii="Calibri" w:eastAsia="Calibri" w:hAnsi="Calibri" w:cs="Calibri"/>
                <w:color w:val="000000"/>
              </w:rPr>
              <w:t>++</w:t>
            </w:r>
          </w:p>
        </w:tc>
      </w:tr>
      <w:tr w:rsidR="003A3BCA" w14:paraId="3FCA71BC" w14:textId="77777777">
        <w:trPr>
          <w:trHeight w:val="402"/>
        </w:trPr>
        <w:tc>
          <w:tcPr>
            <w:tcW w:w="31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9719AA" w14:textId="77777777" w:rsidR="003A3BCA" w:rsidRDefault="008276B6">
            <w:pPr>
              <w:rPr>
                <w:rFonts w:ascii="Calibri" w:eastAsia="Calibri" w:hAnsi="Calibri" w:cs="Calibri"/>
                <w:color w:val="000000"/>
              </w:rPr>
            </w:pPr>
            <w:r>
              <w:rPr>
                <w:rFonts w:ascii="Calibri" w:eastAsia="Calibri" w:hAnsi="Calibri" w:cs="Calibri"/>
                <w:color w:val="000000"/>
              </w:rPr>
              <w:t>Youth Development</w:t>
            </w:r>
          </w:p>
        </w:tc>
        <w:tc>
          <w:tcPr>
            <w:tcW w:w="149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FC05A6F" w14:textId="77777777" w:rsidR="003A3BCA" w:rsidRDefault="008276B6">
            <w:pPr>
              <w:rPr>
                <w:rFonts w:ascii="Calibri" w:eastAsia="Calibri" w:hAnsi="Calibri" w:cs="Calibri"/>
                <w:color w:val="000000"/>
              </w:rPr>
            </w:pPr>
            <w:r>
              <w:rPr>
                <w:rFonts w:ascii="Calibri" w:eastAsia="Calibri" w:hAnsi="Calibri" w:cs="Calibri"/>
                <w:color w:val="000000"/>
              </w:rPr>
              <w:t>+++</w:t>
            </w:r>
          </w:p>
        </w:tc>
        <w:tc>
          <w:tcPr>
            <w:tcW w:w="120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15A3FB2" w14:textId="77777777" w:rsidR="003A3BCA" w:rsidRDefault="008276B6">
            <w:pPr>
              <w:rPr>
                <w:rFonts w:ascii="Calibri" w:eastAsia="Calibri" w:hAnsi="Calibri" w:cs="Calibri"/>
                <w:color w:val="000000"/>
              </w:rPr>
            </w:pPr>
            <w:r>
              <w:rPr>
                <w:rFonts w:ascii="Calibri" w:eastAsia="Calibri" w:hAnsi="Calibri" w:cs="Calibri"/>
                <w:color w:val="000000"/>
              </w:rPr>
              <w:t>++</w:t>
            </w:r>
          </w:p>
        </w:tc>
        <w:tc>
          <w:tcPr>
            <w:tcW w:w="149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E4A74AB" w14:textId="77777777" w:rsidR="003A3BCA" w:rsidRDefault="008276B6">
            <w:pPr>
              <w:rPr>
                <w:rFonts w:ascii="Calibri" w:eastAsia="Calibri" w:hAnsi="Calibri" w:cs="Calibri"/>
                <w:color w:val="000000"/>
              </w:rPr>
            </w:pPr>
            <w:r>
              <w:rPr>
                <w:rFonts w:ascii="Calibri" w:eastAsia="Calibri" w:hAnsi="Calibri" w:cs="Calibri"/>
                <w:color w:val="000000"/>
              </w:rPr>
              <w:t>+++</w:t>
            </w:r>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96A9843" w14:textId="77777777" w:rsidR="003A3BCA" w:rsidRDefault="008276B6">
            <w:pPr>
              <w:rPr>
                <w:rFonts w:ascii="Calibri" w:eastAsia="Calibri" w:hAnsi="Calibri" w:cs="Calibri"/>
                <w:color w:val="000000"/>
              </w:rPr>
            </w:pPr>
            <w:r>
              <w:rPr>
                <w:rFonts w:ascii="Calibri" w:eastAsia="Calibri" w:hAnsi="Calibri" w:cs="Calibri"/>
                <w:color w:val="000000"/>
              </w:rPr>
              <w:t>+++</w:t>
            </w:r>
          </w:p>
        </w:tc>
        <w:tc>
          <w:tcPr>
            <w:tcW w:w="140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96041DF" w14:textId="77777777" w:rsidR="003A3BCA" w:rsidRDefault="008276B6">
            <w:pPr>
              <w:rPr>
                <w:rFonts w:ascii="Calibri" w:eastAsia="Calibri" w:hAnsi="Calibri" w:cs="Calibri"/>
                <w:color w:val="000000"/>
              </w:rPr>
            </w:pPr>
            <w:r>
              <w:rPr>
                <w:rFonts w:ascii="Calibri" w:eastAsia="Calibri" w:hAnsi="Calibri" w:cs="Calibri"/>
                <w:color w:val="000000"/>
              </w:rPr>
              <w:t>++</w:t>
            </w:r>
          </w:p>
        </w:tc>
        <w:tc>
          <w:tcPr>
            <w:tcW w:w="134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CCBC17B" w14:textId="77777777" w:rsidR="003A3BCA" w:rsidRDefault="008276B6">
            <w:pPr>
              <w:rPr>
                <w:rFonts w:ascii="Calibri" w:eastAsia="Calibri" w:hAnsi="Calibri" w:cs="Calibri"/>
                <w:color w:val="000000"/>
              </w:rPr>
            </w:pPr>
            <w:r>
              <w:rPr>
                <w:rFonts w:ascii="Calibri" w:eastAsia="Calibri" w:hAnsi="Calibri" w:cs="Calibri"/>
                <w:color w:val="000000"/>
              </w:rPr>
              <w:t>+++</w:t>
            </w:r>
          </w:p>
        </w:tc>
      </w:tr>
      <w:tr w:rsidR="003A3BCA" w14:paraId="615AD61C" w14:textId="77777777">
        <w:trPr>
          <w:trHeight w:val="402"/>
        </w:trPr>
        <w:tc>
          <w:tcPr>
            <w:tcW w:w="31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7A2245" w14:textId="77777777" w:rsidR="003A3BCA" w:rsidRDefault="008276B6">
            <w:pPr>
              <w:rPr>
                <w:rFonts w:ascii="Calibri" w:eastAsia="Calibri" w:hAnsi="Calibri" w:cs="Calibri"/>
                <w:color w:val="000000"/>
              </w:rPr>
            </w:pPr>
            <w:r>
              <w:rPr>
                <w:rFonts w:ascii="Calibri" w:eastAsia="Calibri" w:hAnsi="Calibri" w:cs="Calibri"/>
                <w:color w:val="000000"/>
              </w:rPr>
              <w:t>Ability to Attract Top Talent</w:t>
            </w:r>
          </w:p>
        </w:tc>
        <w:tc>
          <w:tcPr>
            <w:tcW w:w="149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C819D43" w14:textId="77777777" w:rsidR="003A3BCA" w:rsidRDefault="008276B6">
            <w:pPr>
              <w:rPr>
                <w:rFonts w:ascii="Calibri" w:eastAsia="Calibri" w:hAnsi="Calibri" w:cs="Calibri"/>
                <w:color w:val="000000"/>
              </w:rPr>
            </w:pPr>
            <w:r>
              <w:rPr>
                <w:rFonts w:ascii="Calibri" w:eastAsia="Calibri" w:hAnsi="Calibri" w:cs="Calibri"/>
                <w:color w:val="000000"/>
              </w:rPr>
              <w:t>+++</w:t>
            </w:r>
          </w:p>
        </w:tc>
        <w:tc>
          <w:tcPr>
            <w:tcW w:w="120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37AF845" w14:textId="77777777" w:rsidR="003A3BCA" w:rsidRDefault="008276B6">
            <w:pPr>
              <w:rPr>
                <w:rFonts w:ascii="Calibri" w:eastAsia="Calibri" w:hAnsi="Calibri" w:cs="Calibri"/>
                <w:color w:val="000000"/>
              </w:rPr>
            </w:pPr>
            <w:r>
              <w:rPr>
                <w:rFonts w:ascii="Calibri" w:eastAsia="Calibri" w:hAnsi="Calibri" w:cs="Calibri"/>
                <w:color w:val="000000"/>
              </w:rPr>
              <w:t>++</w:t>
            </w:r>
          </w:p>
        </w:tc>
        <w:tc>
          <w:tcPr>
            <w:tcW w:w="149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F933C51" w14:textId="77777777" w:rsidR="003A3BCA" w:rsidRDefault="008276B6">
            <w:pPr>
              <w:rPr>
                <w:rFonts w:ascii="Calibri" w:eastAsia="Calibri" w:hAnsi="Calibri" w:cs="Calibri"/>
                <w:color w:val="000000"/>
              </w:rPr>
            </w:pPr>
            <w:r>
              <w:rPr>
                <w:rFonts w:ascii="Calibri" w:eastAsia="Calibri" w:hAnsi="Calibri" w:cs="Calibri"/>
                <w:color w:val="000000"/>
              </w:rPr>
              <w:t>+++</w:t>
            </w:r>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E7DD3AE" w14:textId="77777777" w:rsidR="003A3BCA" w:rsidRDefault="008276B6">
            <w:pPr>
              <w:rPr>
                <w:rFonts w:ascii="Calibri" w:eastAsia="Calibri" w:hAnsi="Calibri" w:cs="Calibri"/>
                <w:color w:val="000000"/>
              </w:rPr>
            </w:pPr>
            <w:r>
              <w:rPr>
                <w:rFonts w:ascii="Calibri" w:eastAsia="Calibri" w:hAnsi="Calibri" w:cs="Calibri"/>
                <w:color w:val="000000"/>
              </w:rPr>
              <w:t>+</w:t>
            </w:r>
          </w:p>
        </w:tc>
        <w:tc>
          <w:tcPr>
            <w:tcW w:w="140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C2E9566" w14:textId="77777777" w:rsidR="003A3BCA" w:rsidRDefault="008276B6">
            <w:pPr>
              <w:rPr>
                <w:rFonts w:ascii="Calibri" w:eastAsia="Calibri" w:hAnsi="Calibri" w:cs="Calibri"/>
                <w:color w:val="000000"/>
              </w:rPr>
            </w:pPr>
            <w:r>
              <w:rPr>
                <w:rFonts w:ascii="Calibri" w:eastAsia="Calibri" w:hAnsi="Calibri" w:cs="Calibri"/>
                <w:color w:val="000000"/>
              </w:rPr>
              <w:t>+</w:t>
            </w:r>
          </w:p>
        </w:tc>
        <w:tc>
          <w:tcPr>
            <w:tcW w:w="134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2264612" w14:textId="77777777" w:rsidR="003A3BCA" w:rsidRDefault="008276B6">
            <w:pPr>
              <w:rPr>
                <w:rFonts w:ascii="Calibri" w:eastAsia="Calibri" w:hAnsi="Calibri" w:cs="Calibri"/>
                <w:color w:val="000000"/>
              </w:rPr>
            </w:pPr>
            <w:r>
              <w:rPr>
                <w:rFonts w:ascii="Calibri" w:eastAsia="Calibri" w:hAnsi="Calibri" w:cs="Calibri"/>
                <w:color w:val="000000"/>
              </w:rPr>
              <w:t>+++</w:t>
            </w:r>
          </w:p>
        </w:tc>
      </w:tr>
      <w:tr w:rsidR="003A3BCA" w14:paraId="6F00E02F" w14:textId="77777777">
        <w:trPr>
          <w:trHeight w:val="402"/>
        </w:trPr>
        <w:tc>
          <w:tcPr>
            <w:tcW w:w="31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D4EB80" w14:textId="77777777" w:rsidR="003A3BCA" w:rsidRDefault="008276B6">
            <w:pPr>
              <w:rPr>
                <w:rFonts w:ascii="Calibri" w:eastAsia="Calibri" w:hAnsi="Calibri" w:cs="Calibri"/>
                <w:color w:val="000000"/>
              </w:rPr>
            </w:pPr>
            <w:r>
              <w:rPr>
                <w:rFonts w:ascii="Calibri" w:eastAsia="Calibri" w:hAnsi="Calibri" w:cs="Calibri"/>
                <w:color w:val="000000"/>
              </w:rPr>
              <w:t xml:space="preserve">Fan </w:t>
            </w:r>
            <w:r>
              <w:rPr>
                <w:rFonts w:ascii="Calibri" w:eastAsia="Calibri" w:hAnsi="Calibri" w:cs="Calibri"/>
              </w:rPr>
              <w:t>Engagement</w:t>
            </w:r>
          </w:p>
        </w:tc>
        <w:tc>
          <w:tcPr>
            <w:tcW w:w="149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75B8CF4" w14:textId="77777777" w:rsidR="003A3BCA" w:rsidRDefault="008276B6">
            <w:pPr>
              <w:rPr>
                <w:rFonts w:ascii="Calibri" w:eastAsia="Calibri" w:hAnsi="Calibri" w:cs="Calibri"/>
                <w:color w:val="000000"/>
              </w:rPr>
            </w:pPr>
            <w:r>
              <w:rPr>
                <w:rFonts w:ascii="Calibri" w:eastAsia="Calibri" w:hAnsi="Calibri" w:cs="Calibri"/>
                <w:color w:val="000000"/>
              </w:rPr>
              <w:t>+++</w:t>
            </w:r>
          </w:p>
        </w:tc>
        <w:tc>
          <w:tcPr>
            <w:tcW w:w="120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E3B456D" w14:textId="77777777" w:rsidR="003A3BCA" w:rsidRDefault="008276B6">
            <w:pPr>
              <w:rPr>
                <w:rFonts w:ascii="Calibri" w:eastAsia="Calibri" w:hAnsi="Calibri" w:cs="Calibri"/>
                <w:color w:val="000000"/>
              </w:rPr>
            </w:pPr>
            <w:r>
              <w:rPr>
                <w:rFonts w:ascii="Calibri" w:eastAsia="Calibri" w:hAnsi="Calibri" w:cs="Calibri"/>
                <w:color w:val="000000"/>
              </w:rPr>
              <w:t>+++</w:t>
            </w:r>
          </w:p>
        </w:tc>
        <w:tc>
          <w:tcPr>
            <w:tcW w:w="149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2E3702B" w14:textId="77777777" w:rsidR="003A3BCA" w:rsidRDefault="008276B6">
            <w:pPr>
              <w:rPr>
                <w:rFonts w:ascii="Calibri" w:eastAsia="Calibri" w:hAnsi="Calibri" w:cs="Calibri"/>
                <w:color w:val="000000"/>
              </w:rPr>
            </w:pPr>
            <w:r>
              <w:rPr>
                <w:rFonts w:ascii="Calibri" w:eastAsia="Calibri" w:hAnsi="Calibri" w:cs="Calibri"/>
                <w:color w:val="000000"/>
              </w:rPr>
              <w:t>+</w:t>
            </w:r>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A52E7FB" w14:textId="77777777" w:rsidR="003A3BCA" w:rsidRDefault="008276B6">
            <w:pPr>
              <w:rPr>
                <w:rFonts w:ascii="Calibri" w:eastAsia="Calibri" w:hAnsi="Calibri" w:cs="Calibri"/>
                <w:color w:val="000000"/>
              </w:rPr>
            </w:pPr>
            <w:r>
              <w:rPr>
                <w:rFonts w:ascii="Calibri" w:eastAsia="Calibri" w:hAnsi="Calibri" w:cs="Calibri"/>
                <w:color w:val="000000"/>
              </w:rPr>
              <w:t>+++</w:t>
            </w:r>
          </w:p>
        </w:tc>
        <w:tc>
          <w:tcPr>
            <w:tcW w:w="140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99A512A" w14:textId="77777777" w:rsidR="003A3BCA" w:rsidRDefault="008276B6">
            <w:pPr>
              <w:rPr>
                <w:rFonts w:ascii="Calibri" w:eastAsia="Calibri" w:hAnsi="Calibri" w:cs="Calibri"/>
                <w:color w:val="000000"/>
              </w:rPr>
            </w:pPr>
            <w:r>
              <w:rPr>
                <w:rFonts w:ascii="Calibri" w:eastAsia="Calibri" w:hAnsi="Calibri" w:cs="Calibri"/>
                <w:color w:val="000000"/>
              </w:rPr>
              <w:t>++</w:t>
            </w:r>
          </w:p>
        </w:tc>
        <w:tc>
          <w:tcPr>
            <w:tcW w:w="134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0288EF3" w14:textId="77777777" w:rsidR="003A3BCA" w:rsidRDefault="008276B6">
            <w:pPr>
              <w:rPr>
                <w:rFonts w:ascii="Calibri" w:eastAsia="Calibri" w:hAnsi="Calibri" w:cs="Calibri"/>
                <w:color w:val="000000"/>
              </w:rPr>
            </w:pPr>
            <w:r>
              <w:rPr>
                <w:rFonts w:ascii="Calibri" w:eastAsia="Calibri" w:hAnsi="Calibri" w:cs="Calibri"/>
                <w:color w:val="000000"/>
              </w:rPr>
              <w:t>++</w:t>
            </w:r>
          </w:p>
        </w:tc>
      </w:tr>
    </w:tbl>
    <w:p w14:paraId="0FA55819" w14:textId="77777777" w:rsidR="003A3BCA" w:rsidRDefault="008276B6">
      <w:pPr>
        <w:pBdr>
          <w:top w:val="nil"/>
          <w:left w:val="nil"/>
          <w:bottom w:val="nil"/>
          <w:right w:val="nil"/>
          <w:between w:val="nil"/>
        </w:pBdr>
        <w:spacing w:after="200"/>
        <w:rPr>
          <w:rFonts w:ascii="Calibri" w:eastAsia="Calibri" w:hAnsi="Calibri" w:cs="Calibri"/>
          <w:i/>
          <w:color w:val="44546A"/>
          <w:sz w:val="18"/>
          <w:szCs w:val="18"/>
        </w:rPr>
      </w:pPr>
      <w:r>
        <w:rPr>
          <w:rFonts w:ascii="Calibri" w:eastAsia="Calibri" w:hAnsi="Calibri" w:cs="Calibri"/>
          <w:i/>
          <w:color w:val="44546A"/>
          <w:sz w:val="18"/>
          <w:szCs w:val="18"/>
        </w:rPr>
        <w:t>Table 1. Key Success Factors, English Premier League</w:t>
      </w:r>
    </w:p>
    <w:p w14:paraId="553175A5" w14:textId="77777777" w:rsidR="003A3BCA" w:rsidRDefault="008276B6">
      <w:pPr>
        <w:spacing w:line="360" w:lineRule="auto"/>
        <w:jc w:val="both"/>
      </w:pPr>
      <w:r>
        <w:t>Table 1 shows the Key Success Factors for the English Premier League. The Big Six clubs in England were chosen to benchmark against Manchester United, as they are the most representative of English footballing success</w:t>
      </w:r>
      <w:r>
        <w:rPr>
          <w:vertAlign w:val="superscript"/>
        </w:rPr>
        <w:footnoteReference w:id="17"/>
      </w:r>
      <w:r>
        <w:t xml:space="preserve">. The reason why United is benchmarked only against English clubs, rather than other European ones, is because to enter the European club tournaments, one needs to be the best or among the best clubs in the country, </w:t>
      </w:r>
      <w:proofErr w:type="gramStart"/>
      <w:r>
        <w:t>in order to</w:t>
      </w:r>
      <w:proofErr w:type="gramEnd"/>
      <w:r>
        <w:t xml:space="preserve"> qualify for the UEFA Champions League – the pinnacle of pan-European club competitions. If we look at the UEFA Club coefficients, a ranking of the best clubs in Europe, based on their performances within European club tournaments, 4 of the top 10 ranked clubs are from England, with 3 of them being in the top 4</w:t>
      </w:r>
      <w:r>
        <w:rPr>
          <w:vertAlign w:val="superscript"/>
        </w:rPr>
        <w:footnoteReference w:id="18"/>
      </w:r>
      <w:r>
        <w:t>. During the last 5 editions of the UEFA Champions League, every season, bar season 2019/2020, there has been an English team participating in the final of the competition, and in two of the instances (2018/2019 &amp; 2020/2021) the final was played between English clubs</w:t>
      </w:r>
      <w:r>
        <w:rPr>
          <w:vertAlign w:val="superscript"/>
        </w:rPr>
        <w:footnoteReference w:id="19"/>
      </w:r>
      <w:r>
        <w:t xml:space="preserve">. In both finals, different English teams met – in 2019 was Tottenham vs. Liverpool; in 2021 Chelsea vs. Manchester City. </w:t>
      </w:r>
    </w:p>
    <w:p w14:paraId="657B2E7B" w14:textId="77777777" w:rsidR="003A3BCA" w:rsidRDefault="008276B6">
      <w:pPr>
        <w:spacing w:line="360" w:lineRule="auto"/>
        <w:jc w:val="both"/>
      </w:pPr>
      <w:r>
        <w:tab/>
        <w:t xml:space="preserve">Contemporary success shows every club’s competitive position right now, as well as how well their current financial position is reflected. Moreover, contemporary success can also contribute to a club’s market position and brand perception, which are variables that could additionally contribute to overall success. Teams that are good right now </w:t>
      </w:r>
      <w:proofErr w:type="gramStart"/>
      <w:r>
        <w:t>are able to</w:t>
      </w:r>
      <w:proofErr w:type="gramEnd"/>
      <w:r>
        <w:t xml:space="preserve"> lay the foundations for future success better. </w:t>
      </w:r>
    </w:p>
    <w:p w14:paraId="41B301F8" w14:textId="77777777" w:rsidR="003A3BCA" w:rsidRDefault="008276B6">
      <w:pPr>
        <w:spacing w:line="360" w:lineRule="auto"/>
        <w:ind w:firstLine="720"/>
        <w:jc w:val="both"/>
      </w:pPr>
      <w:r>
        <w:lastRenderedPageBreak/>
        <w:t>When it comes to financial prowess, the club has been constantly ranked within the first 3 or 5 clubs in Europe for revenue, as well as the ability to spend money on the transfer market. During the last 5 years, United’s rank on the Deloitte Money League ranking has looked like this: (2017 to 2022) 3</w:t>
      </w:r>
      <w:r>
        <w:rPr>
          <w:vertAlign w:val="superscript"/>
        </w:rPr>
        <w:t>rd</w:t>
      </w:r>
      <w:r>
        <w:t>, 3</w:t>
      </w:r>
      <w:r>
        <w:rPr>
          <w:vertAlign w:val="superscript"/>
        </w:rPr>
        <w:t>rd</w:t>
      </w:r>
      <w:r>
        <w:t>, 4</w:t>
      </w:r>
      <w:r>
        <w:rPr>
          <w:vertAlign w:val="superscript"/>
        </w:rPr>
        <w:t>th</w:t>
      </w:r>
      <w:r>
        <w:t>, 5</w:t>
      </w:r>
      <w:r>
        <w:rPr>
          <w:vertAlign w:val="superscript"/>
        </w:rPr>
        <w:t>th</w:t>
      </w:r>
      <w:r>
        <w:t>, and 4</w:t>
      </w:r>
      <w:r>
        <w:rPr>
          <w:vertAlign w:val="superscript"/>
        </w:rPr>
        <w:t>th</w:t>
      </w:r>
      <w:r>
        <w:t>. And this is despite the club’s inability to win tournaments, domestic or European. For instance, for the 5 years prior to that, their rankings have been: (2012 to 2016) 4</w:t>
      </w:r>
      <w:r>
        <w:rPr>
          <w:vertAlign w:val="superscript"/>
        </w:rPr>
        <w:t>th</w:t>
      </w:r>
      <w:r>
        <w:t>, 2</w:t>
      </w:r>
      <w:r>
        <w:rPr>
          <w:vertAlign w:val="superscript"/>
        </w:rPr>
        <w:t>nd</w:t>
      </w:r>
      <w:r>
        <w:t>, 3</w:t>
      </w:r>
      <w:r>
        <w:rPr>
          <w:vertAlign w:val="superscript"/>
        </w:rPr>
        <w:t>rd</w:t>
      </w:r>
      <w:r>
        <w:t>, 1</w:t>
      </w:r>
      <w:r>
        <w:rPr>
          <w:vertAlign w:val="superscript"/>
        </w:rPr>
        <w:t>st</w:t>
      </w:r>
      <w:r>
        <w:t>, and 1</w:t>
      </w:r>
      <w:r>
        <w:rPr>
          <w:vertAlign w:val="superscript"/>
        </w:rPr>
        <w:t>st</w:t>
      </w:r>
      <w:r>
        <w:t>. If United had a better culture around winning those past years, they would’ve probably still been 1</w:t>
      </w:r>
      <w:r>
        <w:rPr>
          <w:vertAlign w:val="superscript"/>
        </w:rPr>
        <w:t>st</w:t>
      </w:r>
      <w:r>
        <w:t xml:space="preserve"> or 2</w:t>
      </w:r>
      <w:r>
        <w:rPr>
          <w:vertAlign w:val="superscript"/>
        </w:rPr>
        <w:t>nd</w:t>
      </w:r>
      <w:r>
        <w:t xml:space="preserve">, but even though they haven’t had one, this makes it even more remarkable, as to how financially powerful the club is, despite not being able to add more revenue from tournaments won, and all the perks that come with them. </w:t>
      </w:r>
    </w:p>
    <w:p w14:paraId="0B5F6668" w14:textId="77777777" w:rsidR="003A3BCA" w:rsidRDefault="008276B6">
      <w:pPr>
        <w:spacing w:line="360" w:lineRule="auto"/>
        <w:ind w:firstLine="720"/>
        <w:jc w:val="both"/>
      </w:pPr>
      <w:r>
        <w:t xml:space="preserve">Having a modern and suitable infrastructure allows clubs to train at elite training facilities, to attract more people to their stadiums and offer them better experiences, which ultimately lead to better results and to better fan engagement. To determine the overall infrastructure and the clubs’ ranking, the section was divided into 3 subsections, each weighing 33%. In short, the variables were stadium capacity and average attendance, training ground ranking, and stadium experience. A breakdown of this can be found in the Appendix. United scored a 3/3 in each subsection, as the club has the biggest club stadium in England which is consistently being filled at 99%, their training ground has been ranked among the best 2 or 3 in England constantly by independent reviewers, and the fan experience, reviewed independently as well, has also been among the top 2 or 3 in the country, implying that although United’s stadium was built back in 1910, it still allows the club to maintain an elite position, when it comes to infrastructure. However, although the stadium still ranks at the top, it is visible that it needs to be repaired, having in mind the many talks about possible renovations that are going to cost a lot. </w:t>
      </w:r>
      <w:proofErr w:type="spellStart"/>
      <w:r>
        <w:t>Flintham</w:t>
      </w:r>
      <w:proofErr w:type="spellEnd"/>
      <w:r>
        <w:t xml:space="preserve"> (2022) suggests that United needs to invest more than £1,5 billion </w:t>
      </w:r>
      <w:proofErr w:type="gramStart"/>
      <w:r>
        <w:t>in order to</w:t>
      </w:r>
      <w:proofErr w:type="gramEnd"/>
      <w:r>
        <w:t xml:space="preserve"> rebuild Old Trafford, so it doesn’t get left behind the other stadiums in England. He also says that the building was last repaired in 2006, and although it is still the “Theater of Dreams”, the need for a rebuild is visible. Given the amount of money United has spent in the last decade, it is strange that the club has left its home in a position where any repairs (some experts are even saying that a whole new stadium should be built) will cost them more than £1 billion. The overall infrastructure of the club is great, but the negligence and the dire need for a renovation of Old Trafford cannot be classified as a strength, no matter how high it is ranked. </w:t>
      </w:r>
    </w:p>
    <w:p w14:paraId="65E8590E" w14:textId="77777777" w:rsidR="003A3BCA" w:rsidRDefault="008276B6">
      <w:pPr>
        <w:spacing w:line="360" w:lineRule="auto"/>
        <w:ind w:firstLine="720"/>
        <w:jc w:val="both"/>
      </w:pPr>
      <w:r>
        <w:t xml:space="preserve">Every club needs to have a proper youth academy, as those players that graduate from them usually go on to play for the first team. Having a youth academy that is competitive should, in theory, allow the club to have a smoother transition between the different generations of players and managers, as the young players coming from the academy already know what </w:t>
      </w:r>
      <w:r>
        <w:lastRenderedPageBreak/>
        <w:t xml:space="preserve">is like to play at the club, know and embody the culture, play with passion, and don’t cost millions upon millions to recruit from competing teams all over England and Europe. </w:t>
      </w:r>
      <w:proofErr w:type="gramStart"/>
      <w:r>
        <w:t>Similar to</w:t>
      </w:r>
      <w:proofErr w:type="gramEnd"/>
      <w:r>
        <w:t xml:space="preserve"> the infrastructure, to determine the rank of each club’s youth development, two independent rankings were used, both weighing 50%, with United getting a 3 out of 3 from both reviewers. More information can be found in the Appendix. </w:t>
      </w:r>
    </w:p>
    <w:p w14:paraId="1DAD4D8C" w14:textId="77777777" w:rsidR="003A3BCA" w:rsidRDefault="008276B6">
      <w:pPr>
        <w:spacing w:line="360" w:lineRule="auto"/>
        <w:ind w:firstLine="720"/>
        <w:jc w:val="both"/>
      </w:pPr>
      <w:r>
        <w:t>The ability to attract talent showcases the clubs’ brand position, being seen as a marketable place, and a place that could allow them to progress their careers further. To be able to attract top-end talent, one needs to have the ideal environment around themselves – a mixture of money, fans, culture and history, marketability, surrounding players, etc. United, given all the transfer records broken, and overall money spent on recruitment, can be said to be one of the pinnacles of European clubs, a place where players desire to go and play their prime years. Manchester United has 5 of the top 25 most expensive transfers in football, most of any English club, and only second to Barcelona (6) overall</w:t>
      </w:r>
      <w:r>
        <w:rPr>
          <w:vertAlign w:val="superscript"/>
        </w:rPr>
        <w:footnoteReference w:id="20"/>
      </w:r>
      <w:r>
        <w:t xml:space="preserve">. The transfer of Paul Pogba in 2016 broke the transfer record at that time, and the transfer of Harry Maguire in 2019 is still the most expensive transfer for a defender ever, implying that United are able and do indeed attract elite talent, and as it can be imagined – being able to recruit the best players will always give a competitive advantage. </w:t>
      </w:r>
    </w:p>
    <w:p w14:paraId="1C84B713" w14:textId="77777777" w:rsidR="003A3BCA" w:rsidRDefault="008276B6">
      <w:pPr>
        <w:spacing w:line="360" w:lineRule="auto"/>
        <w:ind w:firstLine="720"/>
        <w:jc w:val="both"/>
      </w:pPr>
      <w:r>
        <w:t xml:space="preserve">Finally, fan engagement is a success factor that shows how loyal the fans of a football club are, and how attractive said football club is to new fans. This overall criterion was also broken down into two sub-criteria, each weighing 50%. The criteria were number of fans overall and average attendance at clubs’ home games. United, again, scored 3 out of 3 for each subcategory. More information will be found in the Appendix. </w:t>
      </w:r>
    </w:p>
    <w:p w14:paraId="2A7004C2" w14:textId="77777777" w:rsidR="003A3BCA" w:rsidRPr="00C4399E" w:rsidRDefault="008276B6" w:rsidP="00C4399E">
      <w:pPr>
        <w:pStyle w:val="Heading2"/>
        <w:jc w:val="both"/>
        <w:rPr>
          <w:rFonts w:ascii="Times New Roman" w:hAnsi="Times New Roman" w:cs="Times New Roman"/>
        </w:rPr>
      </w:pPr>
      <w:bookmarkStart w:id="11" w:name="_Toc136274669"/>
      <w:r w:rsidRPr="00C4399E">
        <w:rPr>
          <w:rFonts w:ascii="Times New Roman" w:hAnsi="Times New Roman" w:cs="Times New Roman"/>
        </w:rPr>
        <w:t>4.1. Primary SWOT Matrix</w:t>
      </w:r>
      <w:bookmarkEnd w:id="11"/>
      <w:r w:rsidRPr="00C4399E">
        <w:rPr>
          <w:rFonts w:ascii="Times New Roman" w:hAnsi="Times New Roman" w:cs="Times New Roman"/>
        </w:rPr>
        <w:t xml:space="preserve"> </w:t>
      </w:r>
    </w:p>
    <w:p w14:paraId="26734A70" w14:textId="77777777" w:rsidR="003A3BCA" w:rsidRDefault="003A3BCA">
      <w:pPr>
        <w:spacing w:line="360" w:lineRule="auto"/>
        <w:jc w:val="both"/>
      </w:pPr>
    </w:p>
    <w:tbl>
      <w:tblPr>
        <w:tblStyle w:val="a0"/>
        <w:tblW w:w="9444" w:type="dxa"/>
        <w:tblLayout w:type="fixed"/>
        <w:tblLook w:val="0400" w:firstRow="0" w:lastRow="0" w:firstColumn="0" w:lastColumn="0" w:noHBand="0" w:noVBand="1"/>
      </w:tblPr>
      <w:tblGrid>
        <w:gridCol w:w="5255"/>
        <w:gridCol w:w="4189"/>
      </w:tblGrid>
      <w:tr w:rsidR="003A3BCA" w14:paraId="2564E9FA" w14:textId="77777777">
        <w:trPr>
          <w:trHeight w:val="548"/>
        </w:trPr>
        <w:tc>
          <w:tcPr>
            <w:tcW w:w="52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FB7ADD" w14:textId="77777777" w:rsidR="003A3BCA" w:rsidRDefault="008276B6">
            <w:pPr>
              <w:jc w:val="center"/>
              <w:rPr>
                <w:rFonts w:ascii="Calibri" w:eastAsia="Calibri" w:hAnsi="Calibri" w:cs="Calibri"/>
                <w:b/>
                <w:color w:val="000000"/>
                <w:sz w:val="32"/>
                <w:szCs w:val="32"/>
              </w:rPr>
            </w:pPr>
            <w:r>
              <w:rPr>
                <w:rFonts w:ascii="Calibri" w:eastAsia="Calibri" w:hAnsi="Calibri" w:cs="Calibri"/>
                <w:b/>
                <w:color w:val="000000"/>
                <w:sz w:val="32"/>
                <w:szCs w:val="32"/>
              </w:rPr>
              <w:t>STRENGTHS</w:t>
            </w:r>
          </w:p>
        </w:tc>
        <w:tc>
          <w:tcPr>
            <w:tcW w:w="4189" w:type="dxa"/>
            <w:tcBorders>
              <w:top w:val="single" w:sz="4" w:space="0" w:color="000000"/>
              <w:left w:val="nil"/>
              <w:bottom w:val="single" w:sz="4" w:space="0" w:color="000000"/>
              <w:right w:val="single" w:sz="4" w:space="0" w:color="000000"/>
            </w:tcBorders>
            <w:shd w:val="clear" w:color="auto" w:fill="auto"/>
            <w:vAlign w:val="center"/>
          </w:tcPr>
          <w:p w14:paraId="5DA53165" w14:textId="77777777" w:rsidR="003A3BCA" w:rsidRDefault="008276B6">
            <w:pPr>
              <w:jc w:val="center"/>
              <w:rPr>
                <w:rFonts w:ascii="Calibri" w:eastAsia="Calibri" w:hAnsi="Calibri" w:cs="Calibri"/>
                <w:b/>
                <w:color w:val="000000"/>
                <w:sz w:val="32"/>
                <w:szCs w:val="32"/>
              </w:rPr>
            </w:pPr>
            <w:r>
              <w:rPr>
                <w:rFonts w:ascii="Calibri" w:eastAsia="Calibri" w:hAnsi="Calibri" w:cs="Calibri"/>
                <w:b/>
                <w:color w:val="000000"/>
                <w:sz w:val="32"/>
                <w:szCs w:val="32"/>
              </w:rPr>
              <w:t>WEAKNESSES</w:t>
            </w:r>
          </w:p>
        </w:tc>
      </w:tr>
      <w:tr w:rsidR="003A3BCA" w14:paraId="5DC3130E" w14:textId="77777777">
        <w:trPr>
          <w:trHeight w:val="418"/>
        </w:trPr>
        <w:tc>
          <w:tcPr>
            <w:tcW w:w="5255" w:type="dxa"/>
            <w:tcBorders>
              <w:top w:val="nil"/>
              <w:left w:val="single" w:sz="4" w:space="0" w:color="000000"/>
              <w:bottom w:val="single" w:sz="4" w:space="0" w:color="000000"/>
              <w:right w:val="single" w:sz="4" w:space="0" w:color="000000"/>
            </w:tcBorders>
            <w:shd w:val="clear" w:color="auto" w:fill="auto"/>
            <w:vAlign w:val="center"/>
          </w:tcPr>
          <w:p w14:paraId="2B70E015" w14:textId="77777777" w:rsidR="003A3BCA" w:rsidRDefault="008276B6">
            <w:pPr>
              <w:rPr>
                <w:rFonts w:ascii="Calibri" w:eastAsia="Calibri" w:hAnsi="Calibri" w:cs="Calibri"/>
                <w:color w:val="000000"/>
              </w:rPr>
            </w:pPr>
            <w:r>
              <w:rPr>
                <w:rFonts w:ascii="Calibri" w:eastAsia="Calibri" w:hAnsi="Calibri" w:cs="Calibri"/>
                <w:color w:val="000000"/>
              </w:rPr>
              <w:t>1. Elite financial capabilities</w:t>
            </w:r>
          </w:p>
        </w:tc>
        <w:tc>
          <w:tcPr>
            <w:tcW w:w="4189" w:type="dxa"/>
            <w:tcBorders>
              <w:top w:val="nil"/>
              <w:left w:val="nil"/>
              <w:bottom w:val="single" w:sz="4" w:space="0" w:color="000000"/>
              <w:right w:val="single" w:sz="4" w:space="0" w:color="000000"/>
            </w:tcBorders>
            <w:shd w:val="clear" w:color="auto" w:fill="auto"/>
            <w:vAlign w:val="center"/>
          </w:tcPr>
          <w:p w14:paraId="24514B50" w14:textId="77777777" w:rsidR="003A3BCA" w:rsidRDefault="008276B6">
            <w:pPr>
              <w:rPr>
                <w:rFonts w:ascii="Calibri" w:eastAsia="Calibri" w:hAnsi="Calibri" w:cs="Calibri"/>
                <w:color w:val="000000"/>
              </w:rPr>
            </w:pPr>
            <w:r>
              <w:rPr>
                <w:rFonts w:ascii="Calibri" w:eastAsia="Calibri" w:hAnsi="Calibri" w:cs="Calibri"/>
                <w:color w:val="000000"/>
              </w:rPr>
              <w:t>1. Lack of contemporary competitiveness and success</w:t>
            </w:r>
          </w:p>
        </w:tc>
      </w:tr>
      <w:tr w:rsidR="003A3BCA" w14:paraId="782A3967" w14:textId="77777777">
        <w:trPr>
          <w:trHeight w:val="418"/>
        </w:trPr>
        <w:tc>
          <w:tcPr>
            <w:tcW w:w="5255" w:type="dxa"/>
            <w:tcBorders>
              <w:top w:val="nil"/>
              <w:left w:val="single" w:sz="4" w:space="0" w:color="000000"/>
              <w:bottom w:val="single" w:sz="4" w:space="0" w:color="000000"/>
              <w:right w:val="single" w:sz="4" w:space="0" w:color="000000"/>
            </w:tcBorders>
            <w:shd w:val="clear" w:color="auto" w:fill="auto"/>
            <w:vAlign w:val="center"/>
          </w:tcPr>
          <w:p w14:paraId="1FBED582" w14:textId="77777777" w:rsidR="003A3BCA" w:rsidRDefault="008276B6">
            <w:pPr>
              <w:rPr>
                <w:rFonts w:ascii="Calibri" w:eastAsia="Calibri" w:hAnsi="Calibri" w:cs="Calibri"/>
                <w:color w:val="000000"/>
              </w:rPr>
            </w:pPr>
            <w:r>
              <w:rPr>
                <w:rFonts w:ascii="Calibri" w:eastAsia="Calibri" w:hAnsi="Calibri" w:cs="Calibri"/>
                <w:color w:val="000000"/>
              </w:rPr>
              <w:t>2. Established global presence and brand reputation</w:t>
            </w:r>
          </w:p>
        </w:tc>
        <w:tc>
          <w:tcPr>
            <w:tcW w:w="4189" w:type="dxa"/>
            <w:tcBorders>
              <w:top w:val="nil"/>
              <w:left w:val="nil"/>
              <w:bottom w:val="single" w:sz="4" w:space="0" w:color="000000"/>
              <w:right w:val="single" w:sz="4" w:space="0" w:color="000000"/>
            </w:tcBorders>
            <w:shd w:val="clear" w:color="auto" w:fill="auto"/>
            <w:vAlign w:val="center"/>
          </w:tcPr>
          <w:p w14:paraId="77119266" w14:textId="77777777" w:rsidR="003A3BCA" w:rsidRDefault="008276B6">
            <w:pPr>
              <w:rPr>
                <w:rFonts w:ascii="Calibri" w:eastAsia="Calibri" w:hAnsi="Calibri" w:cs="Calibri"/>
                <w:color w:val="000000"/>
              </w:rPr>
            </w:pPr>
            <w:r>
              <w:rPr>
                <w:rFonts w:ascii="Calibri" w:eastAsia="Calibri" w:hAnsi="Calibri" w:cs="Calibri"/>
                <w:color w:val="000000"/>
              </w:rPr>
              <w:t>2. Infrastructural negligence compared to overall investments in players</w:t>
            </w:r>
          </w:p>
        </w:tc>
      </w:tr>
      <w:tr w:rsidR="003A3BCA" w14:paraId="622A0996" w14:textId="77777777">
        <w:trPr>
          <w:trHeight w:val="418"/>
        </w:trPr>
        <w:tc>
          <w:tcPr>
            <w:tcW w:w="5255" w:type="dxa"/>
            <w:tcBorders>
              <w:top w:val="nil"/>
              <w:left w:val="single" w:sz="4" w:space="0" w:color="000000"/>
              <w:bottom w:val="nil"/>
              <w:right w:val="single" w:sz="4" w:space="0" w:color="000000"/>
            </w:tcBorders>
            <w:shd w:val="clear" w:color="auto" w:fill="auto"/>
            <w:vAlign w:val="center"/>
          </w:tcPr>
          <w:p w14:paraId="06E9296B" w14:textId="77777777" w:rsidR="003A3BCA" w:rsidRDefault="008276B6">
            <w:pPr>
              <w:rPr>
                <w:rFonts w:ascii="Calibri" w:eastAsia="Calibri" w:hAnsi="Calibri" w:cs="Calibri"/>
                <w:color w:val="000000"/>
              </w:rPr>
            </w:pPr>
            <w:r>
              <w:rPr>
                <w:rFonts w:ascii="Calibri" w:eastAsia="Calibri" w:hAnsi="Calibri" w:cs="Calibri"/>
                <w:color w:val="000000"/>
              </w:rPr>
              <w:t>3. Excellent youth planning, ensuring the club’s future</w:t>
            </w:r>
          </w:p>
        </w:tc>
        <w:tc>
          <w:tcPr>
            <w:tcW w:w="4189" w:type="dxa"/>
            <w:tcBorders>
              <w:top w:val="nil"/>
              <w:left w:val="nil"/>
              <w:bottom w:val="nil"/>
              <w:right w:val="single" w:sz="4" w:space="0" w:color="000000"/>
            </w:tcBorders>
            <w:shd w:val="clear" w:color="auto" w:fill="auto"/>
            <w:vAlign w:val="center"/>
          </w:tcPr>
          <w:p w14:paraId="39E6B13B" w14:textId="77777777" w:rsidR="003A3BCA" w:rsidRDefault="008276B6">
            <w:pPr>
              <w:rPr>
                <w:rFonts w:ascii="Calibri" w:eastAsia="Calibri" w:hAnsi="Calibri" w:cs="Calibri"/>
                <w:color w:val="000000"/>
              </w:rPr>
            </w:pPr>
            <w:r>
              <w:rPr>
                <w:rFonts w:ascii="Calibri" w:eastAsia="Calibri" w:hAnsi="Calibri" w:cs="Calibri"/>
                <w:color w:val="000000"/>
              </w:rPr>
              <w:t> </w:t>
            </w:r>
          </w:p>
        </w:tc>
      </w:tr>
      <w:tr w:rsidR="003A3BCA" w14:paraId="5D5B3196" w14:textId="77777777">
        <w:trPr>
          <w:trHeight w:val="418"/>
        </w:trPr>
        <w:tc>
          <w:tcPr>
            <w:tcW w:w="5255" w:type="dxa"/>
            <w:tcBorders>
              <w:top w:val="single" w:sz="4" w:space="0" w:color="000000"/>
              <w:left w:val="single" w:sz="4" w:space="0" w:color="000000"/>
              <w:bottom w:val="single" w:sz="4" w:space="0" w:color="000000"/>
              <w:right w:val="nil"/>
            </w:tcBorders>
            <w:shd w:val="clear" w:color="auto" w:fill="auto"/>
            <w:vAlign w:val="bottom"/>
          </w:tcPr>
          <w:p w14:paraId="01BEA194" w14:textId="77777777" w:rsidR="003A3BCA" w:rsidRDefault="008276B6">
            <w:pPr>
              <w:rPr>
                <w:rFonts w:ascii="Calibri" w:eastAsia="Calibri" w:hAnsi="Calibri" w:cs="Calibri"/>
                <w:color w:val="000000"/>
              </w:rPr>
            </w:pPr>
            <w:r>
              <w:rPr>
                <w:rFonts w:ascii="Calibri" w:eastAsia="Calibri" w:hAnsi="Calibri" w:cs="Calibri"/>
                <w:color w:val="000000"/>
              </w:rPr>
              <w:t> </w:t>
            </w:r>
          </w:p>
        </w:tc>
        <w:tc>
          <w:tcPr>
            <w:tcW w:w="4189" w:type="dxa"/>
            <w:tcBorders>
              <w:top w:val="single" w:sz="4" w:space="0" w:color="000000"/>
              <w:left w:val="nil"/>
              <w:bottom w:val="single" w:sz="4" w:space="0" w:color="000000"/>
              <w:right w:val="single" w:sz="4" w:space="0" w:color="000000"/>
            </w:tcBorders>
            <w:shd w:val="clear" w:color="auto" w:fill="auto"/>
            <w:vAlign w:val="bottom"/>
          </w:tcPr>
          <w:p w14:paraId="09495554" w14:textId="77777777" w:rsidR="003A3BCA" w:rsidRDefault="008276B6">
            <w:pPr>
              <w:rPr>
                <w:rFonts w:ascii="Calibri" w:eastAsia="Calibri" w:hAnsi="Calibri" w:cs="Calibri"/>
                <w:color w:val="000000"/>
              </w:rPr>
            </w:pPr>
            <w:r>
              <w:rPr>
                <w:rFonts w:ascii="Calibri" w:eastAsia="Calibri" w:hAnsi="Calibri" w:cs="Calibri"/>
                <w:color w:val="000000"/>
              </w:rPr>
              <w:t> </w:t>
            </w:r>
          </w:p>
        </w:tc>
      </w:tr>
      <w:tr w:rsidR="003A3BCA" w14:paraId="0CC82FA7" w14:textId="77777777">
        <w:trPr>
          <w:trHeight w:val="548"/>
        </w:trPr>
        <w:tc>
          <w:tcPr>
            <w:tcW w:w="5255" w:type="dxa"/>
            <w:tcBorders>
              <w:top w:val="nil"/>
              <w:left w:val="single" w:sz="4" w:space="0" w:color="000000"/>
              <w:bottom w:val="single" w:sz="4" w:space="0" w:color="000000"/>
              <w:right w:val="single" w:sz="4" w:space="0" w:color="000000"/>
            </w:tcBorders>
            <w:shd w:val="clear" w:color="auto" w:fill="auto"/>
            <w:vAlign w:val="center"/>
          </w:tcPr>
          <w:p w14:paraId="0E8A2F90" w14:textId="77777777" w:rsidR="003A3BCA" w:rsidRDefault="008276B6">
            <w:pPr>
              <w:jc w:val="center"/>
              <w:rPr>
                <w:rFonts w:ascii="Calibri" w:eastAsia="Calibri" w:hAnsi="Calibri" w:cs="Calibri"/>
                <w:b/>
                <w:color w:val="000000"/>
                <w:sz w:val="32"/>
                <w:szCs w:val="32"/>
              </w:rPr>
            </w:pPr>
            <w:r>
              <w:rPr>
                <w:rFonts w:ascii="Calibri" w:eastAsia="Calibri" w:hAnsi="Calibri" w:cs="Calibri"/>
                <w:b/>
                <w:color w:val="000000"/>
                <w:sz w:val="32"/>
                <w:szCs w:val="32"/>
              </w:rPr>
              <w:t>OPPORTUNITIES</w:t>
            </w:r>
          </w:p>
        </w:tc>
        <w:tc>
          <w:tcPr>
            <w:tcW w:w="4189" w:type="dxa"/>
            <w:tcBorders>
              <w:top w:val="nil"/>
              <w:left w:val="nil"/>
              <w:bottom w:val="single" w:sz="4" w:space="0" w:color="000000"/>
              <w:right w:val="single" w:sz="4" w:space="0" w:color="000000"/>
            </w:tcBorders>
            <w:shd w:val="clear" w:color="auto" w:fill="auto"/>
            <w:vAlign w:val="center"/>
          </w:tcPr>
          <w:p w14:paraId="664F56F7" w14:textId="77777777" w:rsidR="003A3BCA" w:rsidRDefault="008276B6">
            <w:pPr>
              <w:jc w:val="center"/>
              <w:rPr>
                <w:rFonts w:ascii="Calibri" w:eastAsia="Calibri" w:hAnsi="Calibri" w:cs="Calibri"/>
                <w:b/>
                <w:color w:val="000000"/>
                <w:sz w:val="32"/>
                <w:szCs w:val="32"/>
              </w:rPr>
            </w:pPr>
            <w:r>
              <w:rPr>
                <w:rFonts w:ascii="Calibri" w:eastAsia="Calibri" w:hAnsi="Calibri" w:cs="Calibri"/>
                <w:b/>
                <w:color w:val="000000"/>
                <w:sz w:val="32"/>
                <w:szCs w:val="32"/>
              </w:rPr>
              <w:t>THREATS</w:t>
            </w:r>
          </w:p>
        </w:tc>
      </w:tr>
      <w:tr w:rsidR="003A3BCA" w14:paraId="70D9CBDE" w14:textId="77777777">
        <w:trPr>
          <w:trHeight w:val="418"/>
        </w:trPr>
        <w:tc>
          <w:tcPr>
            <w:tcW w:w="5255" w:type="dxa"/>
            <w:tcBorders>
              <w:top w:val="nil"/>
              <w:left w:val="single" w:sz="4" w:space="0" w:color="000000"/>
              <w:bottom w:val="single" w:sz="4" w:space="0" w:color="000000"/>
              <w:right w:val="single" w:sz="4" w:space="0" w:color="000000"/>
            </w:tcBorders>
            <w:shd w:val="clear" w:color="auto" w:fill="auto"/>
            <w:vAlign w:val="center"/>
          </w:tcPr>
          <w:p w14:paraId="76D8DF0C" w14:textId="77777777" w:rsidR="003A3BCA" w:rsidRDefault="008276B6">
            <w:pPr>
              <w:rPr>
                <w:rFonts w:ascii="Calibri" w:eastAsia="Calibri" w:hAnsi="Calibri" w:cs="Calibri"/>
                <w:color w:val="000000"/>
              </w:rPr>
            </w:pPr>
            <w:r>
              <w:rPr>
                <w:rFonts w:ascii="Calibri" w:eastAsia="Calibri" w:hAnsi="Calibri" w:cs="Calibri"/>
                <w:color w:val="000000"/>
              </w:rPr>
              <w:lastRenderedPageBreak/>
              <w:t>1. Constant increase in overall sports engagement</w:t>
            </w:r>
          </w:p>
        </w:tc>
        <w:tc>
          <w:tcPr>
            <w:tcW w:w="4189" w:type="dxa"/>
            <w:tcBorders>
              <w:top w:val="nil"/>
              <w:left w:val="nil"/>
              <w:bottom w:val="single" w:sz="4" w:space="0" w:color="000000"/>
              <w:right w:val="single" w:sz="4" w:space="0" w:color="000000"/>
            </w:tcBorders>
            <w:shd w:val="clear" w:color="auto" w:fill="auto"/>
            <w:vAlign w:val="center"/>
          </w:tcPr>
          <w:p w14:paraId="78F1D734" w14:textId="77777777" w:rsidR="003A3BCA" w:rsidRDefault="008276B6">
            <w:pPr>
              <w:rPr>
                <w:rFonts w:ascii="Calibri" w:eastAsia="Calibri" w:hAnsi="Calibri" w:cs="Calibri"/>
                <w:color w:val="000000"/>
              </w:rPr>
            </w:pPr>
            <w:r>
              <w:rPr>
                <w:rFonts w:ascii="Calibri" w:eastAsia="Calibri" w:hAnsi="Calibri" w:cs="Calibri"/>
                <w:color w:val="000000"/>
              </w:rPr>
              <w:t>1. Ever-growing competitiveness for talent acquisition and resources</w:t>
            </w:r>
          </w:p>
        </w:tc>
      </w:tr>
      <w:tr w:rsidR="003A3BCA" w14:paraId="77ED1CEF" w14:textId="77777777">
        <w:trPr>
          <w:trHeight w:val="418"/>
        </w:trPr>
        <w:tc>
          <w:tcPr>
            <w:tcW w:w="5255" w:type="dxa"/>
            <w:tcBorders>
              <w:top w:val="nil"/>
              <w:left w:val="single" w:sz="4" w:space="0" w:color="000000"/>
              <w:bottom w:val="single" w:sz="4" w:space="0" w:color="000000"/>
              <w:right w:val="single" w:sz="4" w:space="0" w:color="000000"/>
            </w:tcBorders>
            <w:shd w:val="clear" w:color="auto" w:fill="auto"/>
            <w:vAlign w:val="center"/>
          </w:tcPr>
          <w:p w14:paraId="6E6EE5BA" w14:textId="77777777" w:rsidR="003A3BCA" w:rsidRDefault="008276B6">
            <w:pPr>
              <w:rPr>
                <w:rFonts w:ascii="Calibri" w:eastAsia="Calibri" w:hAnsi="Calibri" w:cs="Calibri"/>
                <w:color w:val="000000"/>
              </w:rPr>
            </w:pPr>
            <w:r>
              <w:rPr>
                <w:rFonts w:ascii="Calibri" w:eastAsia="Calibri" w:hAnsi="Calibri" w:cs="Calibri"/>
                <w:color w:val="000000"/>
              </w:rPr>
              <w:t xml:space="preserve">2. </w:t>
            </w:r>
            <w:r>
              <w:rPr>
                <w:rFonts w:ascii="Calibri" w:eastAsia="Calibri" w:hAnsi="Calibri" w:cs="Calibri"/>
              </w:rPr>
              <w:t>Population</w:t>
            </w:r>
            <w:r>
              <w:rPr>
                <w:rFonts w:ascii="Calibri" w:eastAsia="Calibri" w:hAnsi="Calibri" w:cs="Calibri"/>
                <w:color w:val="000000"/>
              </w:rPr>
              <w:t xml:space="preserve"> growth, allowing for financial and youth development improvements</w:t>
            </w:r>
          </w:p>
        </w:tc>
        <w:tc>
          <w:tcPr>
            <w:tcW w:w="4189" w:type="dxa"/>
            <w:tcBorders>
              <w:top w:val="nil"/>
              <w:left w:val="nil"/>
              <w:bottom w:val="single" w:sz="4" w:space="0" w:color="000000"/>
              <w:right w:val="single" w:sz="4" w:space="0" w:color="000000"/>
            </w:tcBorders>
            <w:shd w:val="clear" w:color="auto" w:fill="auto"/>
            <w:vAlign w:val="center"/>
          </w:tcPr>
          <w:p w14:paraId="2F7007EF" w14:textId="77777777" w:rsidR="003A3BCA" w:rsidRDefault="008276B6">
            <w:pPr>
              <w:rPr>
                <w:rFonts w:ascii="Calibri" w:eastAsia="Calibri" w:hAnsi="Calibri" w:cs="Calibri"/>
                <w:color w:val="000000"/>
              </w:rPr>
            </w:pPr>
            <w:r>
              <w:rPr>
                <w:rFonts w:ascii="Calibri" w:eastAsia="Calibri" w:hAnsi="Calibri" w:cs="Calibri"/>
                <w:color w:val="000000"/>
              </w:rPr>
              <w:t>2. Brexit’s uncertainties regarding recruiting</w:t>
            </w:r>
          </w:p>
        </w:tc>
      </w:tr>
      <w:tr w:rsidR="003A3BCA" w14:paraId="727AB501" w14:textId="77777777">
        <w:trPr>
          <w:trHeight w:val="418"/>
        </w:trPr>
        <w:tc>
          <w:tcPr>
            <w:tcW w:w="5255" w:type="dxa"/>
            <w:tcBorders>
              <w:top w:val="nil"/>
              <w:left w:val="single" w:sz="4" w:space="0" w:color="000000"/>
              <w:bottom w:val="single" w:sz="4" w:space="0" w:color="000000"/>
              <w:right w:val="single" w:sz="4" w:space="0" w:color="000000"/>
            </w:tcBorders>
            <w:shd w:val="clear" w:color="auto" w:fill="auto"/>
            <w:vAlign w:val="center"/>
          </w:tcPr>
          <w:p w14:paraId="5E7BF71B" w14:textId="77777777" w:rsidR="003A3BCA" w:rsidRDefault="008276B6">
            <w:pPr>
              <w:rPr>
                <w:rFonts w:ascii="Calibri" w:eastAsia="Calibri" w:hAnsi="Calibri" w:cs="Calibri"/>
                <w:color w:val="000000"/>
              </w:rPr>
            </w:pPr>
            <w:r>
              <w:rPr>
                <w:rFonts w:ascii="Calibri" w:eastAsia="Calibri" w:hAnsi="Calibri" w:cs="Calibri"/>
                <w:color w:val="000000"/>
              </w:rPr>
              <w:t xml:space="preserve">3. Advancements in </w:t>
            </w:r>
            <w:r>
              <w:rPr>
                <w:rFonts w:ascii="Calibri" w:eastAsia="Calibri" w:hAnsi="Calibri" w:cs="Calibri"/>
              </w:rPr>
              <w:t>data-driven</w:t>
            </w:r>
            <w:r>
              <w:rPr>
                <w:rFonts w:ascii="Calibri" w:eastAsia="Calibri" w:hAnsi="Calibri" w:cs="Calibri"/>
                <w:color w:val="000000"/>
              </w:rPr>
              <w:t xml:space="preserve"> solutions for better planning and decision-making</w:t>
            </w:r>
          </w:p>
        </w:tc>
        <w:tc>
          <w:tcPr>
            <w:tcW w:w="4189" w:type="dxa"/>
            <w:tcBorders>
              <w:top w:val="nil"/>
              <w:left w:val="nil"/>
              <w:bottom w:val="single" w:sz="4" w:space="0" w:color="000000"/>
              <w:right w:val="single" w:sz="4" w:space="0" w:color="000000"/>
            </w:tcBorders>
            <w:shd w:val="clear" w:color="auto" w:fill="auto"/>
            <w:vAlign w:val="center"/>
          </w:tcPr>
          <w:p w14:paraId="54C3B16E" w14:textId="77777777" w:rsidR="003A3BCA" w:rsidRDefault="008276B6">
            <w:pPr>
              <w:rPr>
                <w:rFonts w:ascii="Calibri" w:eastAsia="Calibri" w:hAnsi="Calibri" w:cs="Calibri"/>
                <w:color w:val="000000"/>
              </w:rPr>
            </w:pPr>
            <w:r>
              <w:rPr>
                <w:rFonts w:ascii="Calibri" w:eastAsia="Calibri" w:hAnsi="Calibri" w:cs="Calibri"/>
                <w:color w:val="000000"/>
              </w:rPr>
              <w:t>3. Worsen economic conditions</w:t>
            </w:r>
          </w:p>
        </w:tc>
      </w:tr>
      <w:tr w:rsidR="003A3BCA" w14:paraId="4E2C92BF" w14:textId="77777777">
        <w:trPr>
          <w:trHeight w:val="418"/>
        </w:trPr>
        <w:tc>
          <w:tcPr>
            <w:tcW w:w="5255" w:type="dxa"/>
            <w:tcBorders>
              <w:top w:val="nil"/>
              <w:left w:val="single" w:sz="4" w:space="0" w:color="000000"/>
              <w:bottom w:val="single" w:sz="4" w:space="0" w:color="000000"/>
              <w:right w:val="single" w:sz="4" w:space="0" w:color="000000"/>
            </w:tcBorders>
            <w:shd w:val="clear" w:color="auto" w:fill="auto"/>
            <w:vAlign w:val="center"/>
          </w:tcPr>
          <w:p w14:paraId="687EE4B7" w14:textId="77777777" w:rsidR="003A3BCA" w:rsidRDefault="008276B6">
            <w:pPr>
              <w:rPr>
                <w:rFonts w:ascii="Calibri" w:eastAsia="Calibri" w:hAnsi="Calibri" w:cs="Calibri"/>
                <w:color w:val="000000"/>
              </w:rPr>
            </w:pPr>
            <w:r>
              <w:rPr>
                <w:rFonts w:ascii="Calibri" w:eastAsia="Calibri" w:hAnsi="Calibri" w:cs="Calibri"/>
                <w:color w:val="000000"/>
              </w:rPr>
              <w:t>4. Progress in marketing opportunities and adaptations</w:t>
            </w:r>
          </w:p>
        </w:tc>
        <w:tc>
          <w:tcPr>
            <w:tcW w:w="4189" w:type="dxa"/>
            <w:tcBorders>
              <w:top w:val="nil"/>
              <w:left w:val="nil"/>
              <w:bottom w:val="single" w:sz="4" w:space="0" w:color="000000"/>
              <w:right w:val="single" w:sz="4" w:space="0" w:color="000000"/>
            </w:tcBorders>
            <w:shd w:val="clear" w:color="auto" w:fill="auto"/>
            <w:vAlign w:val="center"/>
          </w:tcPr>
          <w:p w14:paraId="67193C56" w14:textId="77777777" w:rsidR="003A3BCA" w:rsidRDefault="008276B6">
            <w:pPr>
              <w:rPr>
                <w:rFonts w:ascii="Calibri" w:eastAsia="Calibri" w:hAnsi="Calibri" w:cs="Calibri"/>
                <w:color w:val="000000"/>
              </w:rPr>
            </w:pPr>
            <w:r>
              <w:rPr>
                <w:rFonts w:ascii="Calibri" w:eastAsia="Calibri" w:hAnsi="Calibri" w:cs="Calibri"/>
                <w:color w:val="000000"/>
              </w:rPr>
              <w:t> </w:t>
            </w:r>
          </w:p>
        </w:tc>
      </w:tr>
    </w:tbl>
    <w:p w14:paraId="1F068B9F" w14:textId="77777777" w:rsidR="003A3BCA" w:rsidRDefault="008276B6">
      <w:pPr>
        <w:pBdr>
          <w:top w:val="nil"/>
          <w:left w:val="nil"/>
          <w:bottom w:val="nil"/>
          <w:right w:val="nil"/>
          <w:between w:val="nil"/>
        </w:pBdr>
        <w:spacing w:after="200"/>
        <w:rPr>
          <w:rFonts w:ascii="Calibri" w:eastAsia="Calibri" w:hAnsi="Calibri" w:cs="Calibri"/>
          <w:i/>
          <w:color w:val="44546A"/>
          <w:sz w:val="18"/>
          <w:szCs w:val="18"/>
        </w:rPr>
      </w:pPr>
      <w:r>
        <w:rPr>
          <w:rFonts w:ascii="Calibri" w:eastAsia="Calibri" w:hAnsi="Calibri" w:cs="Calibri"/>
          <w:i/>
          <w:color w:val="44546A"/>
          <w:sz w:val="18"/>
          <w:szCs w:val="18"/>
        </w:rPr>
        <w:t>Table 2. Primary SWOT Matrix</w:t>
      </w:r>
    </w:p>
    <w:p w14:paraId="59270B42" w14:textId="77777777" w:rsidR="003A3BCA" w:rsidRDefault="008276B6">
      <w:pPr>
        <w:spacing w:line="360" w:lineRule="auto"/>
        <w:jc w:val="both"/>
      </w:pPr>
      <w:r>
        <w:t>4.1.1. Strengths:</w:t>
      </w:r>
    </w:p>
    <w:p w14:paraId="49E7BB2B" w14:textId="77777777" w:rsidR="003A3BCA" w:rsidRDefault="008276B6">
      <w:pPr>
        <w:spacing w:line="360" w:lineRule="auto"/>
        <w:ind w:firstLine="720"/>
        <w:jc w:val="both"/>
      </w:pPr>
      <w:r>
        <w:t xml:space="preserve">1. Elite financial capabilities – As mentioned in the KSF, Manchester United, despite their lack of on-field success, are one of the most financially powerful clubs in world football, given their large and diverse revenue streams. From 2017 to 2022, Manchester United is the club that has the biggest net spend in England and in world football in general. Moreover, United’s been ranked in the top 3 and top 5 in each of the last 10 years in the Deloitte Money League (a ranking on football clubs’ revenue and financial capabilities), with the period 2013 to 2016 being much stronger for the club, as they had occupied top spot for several years during that timeframe. </w:t>
      </w:r>
    </w:p>
    <w:p w14:paraId="5A043271" w14:textId="77777777" w:rsidR="003A3BCA" w:rsidRDefault="008276B6">
      <w:pPr>
        <w:spacing w:line="360" w:lineRule="auto"/>
        <w:ind w:firstLine="720"/>
        <w:jc w:val="both"/>
      </w:pPr>
      <w:r>
        <w:t xml:space="preserve">When it comes to United’s revenue streams, they are divided into three categories: commercial revenue, broadcasting revenue, and matchday revenue, with each contributing a certain share of the total. Figure 2 shows how the club’s revenue streams composition from 2009 to 2022, as per Statista. The overall picture shows an upwards trend for the whole period, apart from 2020 when the club’s financials were struck by COVID-19 and the subsequent lockdowns that followed into 2021 as well. Since then, the club has been in a recovery period, still shy of its 2019 record figures of around $800 million. </w:t>
      </w:r>
    </w:p>
    <w:p w14:paraId="6E100060" w14:textId="77777777" w:rsidR="003A3BCA" w:rsidRDefault="008276B6">
      <w:pPr>
        <w:spacing w:line="360" w:lineRule="auto"/>
        <w:ind w:firstLine="720"/>
        <w:jc w:val="both"/>
      </w:pPr>
      <w:r>
        <w:t xml:space="preserve">The biggest share of the club’s revenue comes from commercial deals, and the amount of money this segment has brought the club was constantly rising throughout the years, with its peak being in 2018 when it reached almost $400 million. What’s interesting about Figure 2 is the fact that for 2021 Manchester United had almost no revenue coming for matchday ticket sales </w:t>
      </w:r>
      <w:proofErr w:type="gramStart"/>
      <w:r>
        <w:t>due to the fact that</w:t>
      </w:r>
      <w:proofErr w:type="gramEnd"/>
      <w:r>
        <w:t xml:space="preserve"> almost all games that year were played behind closed doors, i.e., without any fans in the stands. </w:t>
      </w:r>
    </w:p>
    <w:p w14:paraId="76EB4F38" w14:textId="77777777" w:rsidR="003A3BCA" w:rsidRDefault="008276B6">
      <w:pPr>
        <w:keepNext/>
        <w:spacing w:line="360" w:lineRule="auto"/>
        <w:ind w:firstLine="720"/>
        <w:jc w:val="both"/>
      </w:pPr>
      <w:r>
        <w:rPr>
          <w:noProof/>
        </w:rPr>
        <w:lastRenderedPageBreak/>
        <w:drawing>
          <wp:inline distT="0" distB="0" distL="0" distR="0" wp14:anchorId="5E67110D" wp14:editId="3305FAC3">
            <wp:extent cx="4906160" cy="2766513"/>
            <wp:effectExtent l="0" t="0" r="0" b="0"/>
            <wp:docPr id="13" name="image4.png" descr="A picture containing text, screenshot, font, diagram&#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png" descr="A picture containing text, screenshot, font, diagram&#10;&#10;Description automatically generated"/>
                    <pic:cNvPicPr preferRelativeResize="0"/>
                  </pic:nvPicPr>
                  <pic:blipFill>
                    <a:blip r:embed="rId12"/>
                    <a:srcRect/>
                    <a:stretch>
                      <a:fillRect/>
                    </a:stretch>
                  </pic:blipFill>
                  <pic:spPr>
                    <a:xfrm>
                      <a:off x="0" y="0"/>
                      <a:ext cx="4906160" cy="2766513"/>
                    </a:xfrm>
                    <a:prstGeom prst="rect">
                      <a:avLst/>
                    </a:prstGeom>
                    <a:ln/>
                  </pic:spPr>
                </pic:pic>
              </a:graphicData>
            </a:graphic>
          </wp:inline>
        </w:drawing>
      </w:r>
    </w:p>
    <w:p w14:paraId="3C4B0A5C" w14:textId="77777777" w:rsidR="003A3BCA" w:rsidRDefault="008276B6">
      <w:pPr>
        <w:pBdr>
          <w:top w:val="nil"/>
          <w:left w:val="nil"/>
          <w:bottom w:val="nil"/>
          <w:right w:val="nil"/>
          <w:between w:val="nil"/>
        </w:pBdr>
        <w:spacing w:after="200"/>
        <w:jc w:val="both"/>
        <w:rPr>
          <w:rFonts w:ascii="Calibri" w:eastAsia="Calibri" w:hAnsi="Calibri" w:cs="Calibri"/>
          <w:i/>
          <w:color w:val="44546A"/>
          <w:sz w:val="18"/>
          <w:szCs w:val="18"/>
        </w:rPr>
      </w:pPr>
      <w:r>
        <w:rPr>
          <w:rFonts w:ascii="Calibri" w:eastAsia="Calibri" w:hAnsi="Calibri" w:cs="Calibri"/>
          <w:i/>
          <w:color w:val="44546A"/>
          <w:sz w:val="18"/>
          <w:szCs w:val="18"/>
        </w:rPr>
        <w:t>Figure 2. Breakdown of Manchester United's revenue streams in million USD; Source: Statista</w:t>
      </w:r>
    </w:p>
    <w:p w14:paraId="25D93E5F" w14:textId="77777777" w:rsidR="003A3BCA" w:rsidRDefault="008276B6">
      <w:pPr>
        <w:spacing w:line="360" w:lineRule="auto"/>
        <w:ind w:firstLine="720"/>
        <w:jc w:val="both"/>
      </w:pPr>
      <w:r>
        <w:t xml:space="preserve">Another interesting observation is that Manchester United managed to shift its biggest revenue provider from broadcasting rights to commercial revenue during said </w:t>
      </w:r>
      <w:proofErr w:type="gramStart"/>
      <w:r>
        <w:t>period of time</w:t>
      </w:r>
      <w:proofErr w:type="gramEnd"/>
      <w:r>
        <w:t xml:space="preserve">. </w:t>
      </w:r>
    </w:p>
    <w:p w14:paraId="1A3A78EA" w14:textId="77777777" w:rsidR="003A3BCA" w:rsidRDefault="008276B6">
      <w:pPr>
        <w:keepNext/>
        <w:spacing w:line="360" w:lineRule="auto"/>
        <w:ind w:firstLine="720"/>
        <w:jc w:val="both"/>
      </w:pPr>
      <w:r>
        <w:rPr>
          <w:noProof/>
        </w:rPr>
        <w:drawing>
          <wp:inline distT="0" distB="0" distL="0" distR="0" wp14:anchorId="0771D8EB" wp14:editId="359B6D30">
            <wp:extent cx="4836492" cy="2908309"/>
            <wp:effectExtent l="0" t="0" r="0" b="0"/>
            <wp:docPr id="16" name="image13.png" descr="A picture containing text, screenshot, font, 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3.png" descr="A picture containing text, screenshot, font, logo&#10;&#10;Description automatically generated"/>
                    <pic:cNvPicPr preferRelativeResize="0"/>
                  </pic:nvPicPr>
                  <pic:blipFill>
                    <a:blip r:embed="rId13"/>
                    <a:srcRect/>
                    <a:stretch>
                      <a:fillRect/>
                    </a:stretch>
                  </pic:blipFill>
                  <pic:spPr>
                    <a:xfrm>
                      <a:off x="0" y="0"/>
                      <a:ext cx="4836492" cy="2908309"/>
                    </a:xfrm>
                    <a:prstGeom prst="rect">
                      <a:avLst/>
                    </a:prstGeom>
                    <a:ln/>
                  </pic:spPr>
                </pic:pic>
              </a:graphicData>
            </a:graphic>
          </wp:inline>
        </w:drawing>
      </w:r>
    </w:p>
    <w:p w14:paraId="503D578A" w14:textId="77777777" w:rsidR="003A3BCA" w:rsidRDefault="008276B6">
      <w:pPr>
        <w:pBdr>
          <w:top w:val="nil"/>
          <w:left w:val="nil"/>
          <w:bottom w:val="nil"/>
          <w:right w:val="nil"/>
          <w:between w:val="nil"/>
        </w:pBdr>
        <w:spacing w:after="200"/>
        <w:jc w:val="both"/>
        <w:rPr>
          <w:rFonts w:ascii="Calibri" w:eastAsia="Calibri" w:hAnsi="Calibri" w:cs="Calibri"/>
          <w:i/>
          <w:color w:val="44546A"/>
          <w:sz w:val="18"/>
          <w:szCs w:val="18"/>
        </w:rPr>
      </w:pPr>
      <w:r>
        <w:rPr>
          <w:rFonts w:ascii="Calibri" w:eastAsia="Calibri" w:hAnsi="Calibri" w:cs="Calibri"/>
          <w:i/>
          <w:color w:val="44546A"/>
          <w:sz w:val="18"/>
          <w:szCs w:val="18"/>
        </w:rPr>
        <w:t>Figure 3. Comparison in Manchester United's revenue structure in 2009 and 2019; Source: manutd.com</w:t>
      </w:r>
    </w:p>
    <w:p w14:paraId="5C541B41" w14:textId="77777777" w:rsidR="003A3BCA" w:rsidRDefault="008276B6">
      <w:pPr>
        <w:spacing w:line="360" w:lineRule="auto"/>
        <w:ind w:firstLine="720"/>
        <w:jc w:val="both"/>
      </w:pPr>
      <w:r>
        <w:t xml:space="preserve">Figure 3 shows how that shift happened. Back in 2009, Manchester United was much more reliant on their revenue coming from matchday ticket sales (41%) and broadcasting rights (35%), with the commercial sector being much less utilized, whereas in 2019, the situation is quite the opposite, as commercial revenue made up 44% of the club’s total revenue for the year, whereas matchday revenue only contributed 18%, implying how heavily marketed and efficiently run the club is, in terms of marketability. </w:t>
      </w:r>
    </w:p>
    <w:p w14:paraId="21A66974" w14:textId="77777777" w:rsidR="003A3BCA" w:rsidRDefault="008276B6">
      <w:pPr>
        <w:spacing w:line="360" w:lineRule="auto"/>
        <w:ind w:firstLine="720"/>
        <w:jc w:val="both"/>
      </w:pPr>
      <w:r>
        <w:lastRenderedPageBreak/>
        <w:t xml:space="preserve">Moreover, to show how great the club is situated to make money, from the clubs in the top 10 of the Deloitte Money League, only Liverpool (27%) and Tottenham (29%) have a higher year-on-year growth in total revenue than Manchester United (23%). </w:t>
      </w:r>
    </w:p>
    <w:p w14:paraId="08283CA5" w14:textId="77777777" w:rsidR="003A3BCA" w:rsidRDefault="008276B6">
      <w:pPr>
        <w:spacing w:line="360" w:lineRule="auto"/>
        <w:ind w:firstLine="720"/>
        <w:jc w:val="both"/>
        <w:rPr>
          <w:color w:val="000000"/>
        </w:rPr>
      </w:pPr>
      <w:r>
        <w:t xml:space="preserve">2. </w:t>
      </w:r>
      <w:r>
        <w:rPr>
          <w:color w:val="000000"/>
        </w:rPr>
        <w:t>Established global presence and brand reputation – As mentioned above, Manchester United is responsible for 5 of the 25 most expensive transfers in football history. Moreover, they’re the club more that’s been engaged in transfer activity the most over the past 5 years. United is also regarded as the most supported football club in the world, and the club itself claims that the global community which supports it amounts to over 1 billion people</w:t>
      </w:r>
      <w:r>
        <w:rPr>
          <w:color w:val="000000"/>
          <w:vertAlign w:val="superscript"/>
        </w:rPr>
        <w:footnoteReference w:id="21"/>
      </w:r>
      <w:r>
        <w:rPr>
          <w:color w:val="000000"/>
          <w:vertAlign w:val="superscript"/>
        </w:rPr>
        <w:footnoteReference w:id="22"/>
      </w:r>
      <w:r>
        <w:rPr>
          <w:color w:val="000000"/>
        </w:rPr>
        <w:t>.</w:t>
      </w:r>
      <w:r>
        <w:t xml:space="preserve"> </w:t>
      </w:r>
      <w:r>
        <w:rPr>
          <w:color w:val="000000"/>
        </w:rPr>
        <w:t xml:space="preserve">Moreover, we have already established that Manchester United’s the most successful English club and one of the most successful European ones in general. </w:t>
      </w:r>
    </w:p>
    <w:p w14:paraId="0AAB2D95" w14:textId="77777777" w:rsidR="003A3BCA" w:rsidRDefault="008276B6">
      <w:pPr>
        <w:spacing w:line="360" w:lineRule="auto"/>
        <w:ind w:firstLine="720"/>
        <w:jc w:val="both"/>
        <w:rPr>
          <w:color w:val="000000"/>
        </w:rPr>
      </w:pPr>
      <w:r>
        <w:rPr>
          <w:color w:val="000000"/>
        </w:rPr>
        <w:t xml:space="preserve">All of these confirm the premise that the club’s brand reputation is one of if not its biggest </w:t>
      </w:r>
      <w:r>
        <w:t>strengths</w:t>
      </w:r>
      <w:r>
        <w:rPr>
          <w:color w:val="000000"/>
        </w:rPr>
        <w:t xml:space="preserve">, and frankly speaking, United doesn’t need to provide much more evidence, </w:t>
      </w:r>
      <w:proofErr w:type="gramStart"/>
      <w:r>
        <w:rPr>
          <w:color w:val="000000"/>
        </w:rPr>
        <w:t>in order to</w:t>
      </w:r>
      <w:proofErr w:type="gramEnd"/>
      <w:r>
        <w:rPr>
          <w:color w:val="000000"/>
        </w:rPr>
        <w:t xml:space="preserve"> be seen as one of the most influential and supported football clubs in the world. </w:t>
      </w:r>
    </w:p>
    <w:p w14:paraId="640063F9" w14:textId="77777777" w:rsidR="003A3BCA" w:rsidRDefault="008276B6">
      <w:pPr>
        <w:spacing w:line="360" w:lineRule="auto"/>
        <w:ind w:firstLine="720"/>
        <w:jc w:val="both"/>
        <w:rPr>
          <w:color w:val="000000"/>
        </w:rPr>
      </w:pPr>
      <w:r>
        <w:rPr>
          <w:color w:val="000000"/>
        </w:rPr>
        <w:t xml:space="preserve">3. Excellent youth planning, ensuring the club’s future – Manchester United’s set the record for the most consecutive games in which a player who has graduated from the club’s academy has featured in the matchday squad, and what a record that is, since 1937, or over 4000 consecutive games in the club’s history there has been at least 1 youth player from the academy that has featured in the club’s matchday squad (Kenmare, 2022). </w:t>
      </w:r>
    </w:p>
    <w:p w14:paraId="7E084628" w14:textId="77777777" w:rsidR="003A3BCA" w:rsidRDefault="003A3BCA">
      <w:pPr>
        <w:spacing w:line="360" w:lineRule="auto"/>
        <w:jc w:val="both"/>
        <w:rPr>
          <w:color w:val="000000"/>
        </w:rPr>
      </w:pPr>
    </w:p>
    <w:p w14:paraId="1E7872A8" w14:textId="77777777" w:rsidR="003A3BCA" w:rsidRDefault="008276B6">
      <w:pPr>
        <w:spacing w:line="360" w:lineRule="auto"/>
        <w:jc w:val="both"/>
        <w:rPr>
          <w:color w:val="000000"/>
        </w:rPr>
      </w:pPr>
      <w:r>
        <w:rPr>
          <w:color w:val="000000"/>
        </w:rPr>
        <w:t>4.1.2. Weaknesses:</w:t>
      </w:r>
    </w:p>
    <w:p w14:paraId="0DD34FE8" w14:textId="77777777" w:rsidR="003A3BCA" w:rsidRDefault="008276B6">
      <w:pPr>
        <w:spacing w:line="360" w:lineRule="auto"/>
        <w:ind w:firstLine="720"/>
        <w:jc w:val="both"/>
        <w:rPr>
          <w:color w:val="000000"/>
        </w:rPr>
      </w:pPr>
      <w:r>
        <w:rPr>
          <w:color w:val="000000"/>
        </w:rPr>
        <w:t xml:space="preserve">1. Lack of contemporary competitiveness and success – The last piece of silverware that Manchester United won was back in 2017. Frankly speaking, this is unacceptable for a club of United’s magnitude. Also, during a couple of campaigns in the English Premier League, the Manchester giant didn’t even finish inside the top 4 and missed out on playing in the UEFA Champions League. To top it all off, the last time United won the English Premier League was in season 2012/2013, which means that it’s been 10 years since the most successful English club sat down on its hard earn throne. In that time, United saw its biggest rivals – Liverpool and Manchester City win the English Premier League, win the Champions League, and overall be much more competitive and have much more success than United. Its international competition – Real Madrid, Barcelona, and Bayern Munich have also been playing much better </w:t>
      </w:r>
      <w:r>
        <w:rPr>
          <w:color w:val="000000"/>
        </w:rPr>
        <w:lastRenderedPageBreak/>
        <w:t xml:space="preserve">than United and subsequently achieving more than them. Moreover, as observed from the yearly Deloitte Money League reports, due to its lack of success, United lost the top spot for being the richest club in the world. Yes, Manchester United are still one of the most financially powerful clubs in the world, all things considered, but they once held the top spot for years before they started to fall off, in terms of being competitive in England, and in Europe. </w:t>
      </w:r>
    </w:p>
    <w:p w14:paraId="7EAD2595" w14:textId="77777777" w:rsidR="003A3BCA" w:rsidRDefault="008276B6">
      <w:pPr>
        <w:spacing w:line="360" w:lineRule="auto"/>
        <w:ind w:firstLine="720"/>
        <w:jc w:val="both"/>
        <w:rPr>
          <w:color w:val="000000"/>
        </w:rPr>
      </w:pPr>
      <w:r>
        <w:rPr>
          <w:color w:val="000000"/>
        </w:rPr>
        <w:t xml:space="preserve">2. Infrastructural negligence compared to overall investments in players – The last reconstruction at Old Trafford, Manchester United’s playing ground, was done in 2006 and it’s estimated that any new repair job done on Old Trafford would cost upwards of £1 billion. This estimate, for instance, is comparable to United’s net spend on players since 2010 – 1,3 billion EUR. Indeed, as already established, Manchester United’s an elite club, probably the most elite, when it comes to financial prowess, but the amount of money they need to spend to do the </w:t>
      </w:r>
      <w:proofErr w:type="gramStart"/>
      <w:r>
        <w:rPr>
          <w:color w:val="000000"/>
        </w:rPr>
        <w:t>much-needed</w:t>
      </w:r>
      <w:proofErr w:type="gramEnd"/>
      <w:r>
        <w:rPr>
          <w:color w:val="000000"/>
        </w:rPr>
        <w:t xml:space="preserve"> repairments on its home turf, would mean that the club will need to adjust their spendings a bit, in order to accommodate such a hefty investment. Robertson (2021) reports that in the last 11 years (up until 2021), 5 Premier League clubs have spent more money on infrastructural development than Manchester United (in United’s case is cosmetical repairs); those clubs are Tottenham, Manchester City, Liverpool, Brighton, and Arsenal. Yes, Old Trafford is a majestical piece of infrastructure, but as with every single thing, it needs upgrades, and given how long the stadium hasn’t been repaired, how many teams have invested more in infrastructure, how many teams have won more trophies than United despite spending much less, one has to point that United’s investment activities for the past 5-10 years have not been the wisest, especially having considered the end-results. </w:t>
      </w:r>
    </w:p>
    <w:p w14:paraId="5387CF12" w14:textId="77777777" w:rsidR="003A3BCA" w:rsidRDefault="003A3BCA">
      <w:pPr>
        <w:spacing w:line="360" w:lineRule="auto"/>
        <w:jc w:val="both"/>
        <w:rPr>
          <w:color w:val="000000"/>
        </w:rPr>
      </w:pPr>
    </w:p>
    <w:p w14:paraId="1C1FCED1" w14:textId="77777777" w:rsidR="003A3BCA" w:rsidRDefault="008276B6">
      <w:pPr>
        <w:spacing w:line="360" w:lineRule="auto"/>
        <w:jc w:val="both"/>
        <w:rPr>
          <w:color w:val="000000"/>
        </w:rPr>
      </w:pPr>
      <w:r>
        <w:rPr>
          <w:color w:val="000000"/>
        </w:rPr>
        <w:t xml:space="preserve">4.1.3. Opportunities: </w:t>
      </w:r>
    </w:p>
    <w:p w14:paraId="0B4DE346" w14:textId="77777777" w:rsidR="003A3BCA" w:rsidRDefault="008276B6">
      <w:pPr>
        <w:spacing w:line="360" w:lineRule="auto"/>
        <w:ind w:firstLine="720"/>
        <w:jc w:val="both"/>
        <w:rPr>
          <w:color w:val="000000"/>
        </w:rPr>
      </w:pPr>
      <w:r>
        <w:rPr>
          <w:color w:val="000000"/>
        </w:rPr>
        <w:t>1. Constant inflow of more sports engagement – England and the UK</w:t>
      </w:r>
      <w:r>
        <w:t>, in general,</w:t>
      </w:r>
      <w:r>
        <w:rPr>
          <w:color w:val="000000"/>
        </w:rPr>
        <w:t xml:space="preserve"> are notorious for their sports culture, with “King” football comfortably sitting on top and being unreachable for other sports. As reported in the PEST analysis, the percentage of people who’d consider themselves monthly sports viewers grew by 14% between 2020 and 2022. That’s a great increase in the space of just two years, considering that there was a pandemic and that many sporting events and competitions were </w:t>
      </w:r>
      <w:r>
        <w:t>shut down</w:t>
      </w:r>
      <w:r>
        <w:rPr>
          <w:color w:val="000000"/>
        </w:rPr>
        <w:t xml:space="preserve"> for certain amounts of time during this timeframe. Moreover, it’s established that the level of competition in the football industry in England is fierce, and the more competitive something is, the more enjoyable it becomes both to neutral and not-so-neutral fans and supporters. The English football clubs have been the best in Europe for the past several years, resulting in two all-English UEFA Champions League finals and two more finals where one of the sides was English all within the past 5 years. </w:t>
      </w:r>
    </w:p>
    <w:p w14:paraId="4614A283" w14:textId="77777777" w:rsidR="003A3BCA" w:rsidRDefault="008276B6">
      <w:pPr>
        <w:spacing w:line="360" w:lineRule="auto"/>
        <w:ind w:firstLine="720"/>
        <w:jc w:val="both"/>
        <w:rPr>
          <w:color w:val="000000"/>
        </w:rPr>
      </w:pPr>
      <w:r>
        <w:rPr>
          <w:color w:val="000000"/>
        </w:rPr>
        <w:lastRenderedPageBreak/>
        <w:t xml:space="preserve">When you combine fierce competition and elite performance capabilities with a vivid and ever-growing sports culture of a country – you get an ideal situation that any sports organization can benefit from. If more people continue engaging with football as fans, the more likely they are to become eventual customers of the sports organization in question. And unlike normal business, customers, or better put, sports fans, are notorious for their loyalty, even when their beloved team doesn’t perform up to the standard that fans might expect to see. </w:t>
      </w:r>
    </w:p>
    <w:p w14:paraId="20AB4A44" w14:textId="77777777" w:rsidR="003A3BCA" w:rsidRDefault="008276B6">
      <w:pPr>
        <w:spacing w:line="360" w:lineRule="auto"/>
        <w:ind w:firstLine="720"/>
        <w:jc w:val="both"/>
        <w:rPr>
          <w:color w:val="000000"/>
        </w:rPr>
      </w:pPr>
      <w:r>
        <w:rPr>
          <w:color w:val="000000"/>
        </w:rPr>
        <w:t xml:space="preserve">2. </w:t>
      </w:r>
      <w:r>
        <w:t>Population</w:t>
      </w:r>
      <w:r>
        <w:rPr>
          <w:color w:val="000000"/>
        </w:rPr>
        <w:t xml:space="preserve"> growth, allowing for financial and youth development improvements – It’s known to almost everyone that most of the advanced economies are faced with a demographic crisis in the coming years. Fortunately, for the UK at least, they are one of the countries that has seen its population steadily increase. The UK “added” some 9 million people to </w:t>
      </w:r>
      <w:r>
        <w:t>its</w:t>
      </w:r>
      <w:r>
        <w:rPr>
          <w:color w:val="000000"/>
        </w:rPr>
        <w:t xml:space="preserve"> population figures since the turn of the millennium. Moreover, the current projections for 2050 suggest that the UK will continue to grow, adding around 4 million people to its current population. Migration is indeed one of, if not the biggest, contributor to this increase, but this increase will nevertheless help the British economy. </w:t>
      </w:r>
    </w:p>
    <w:p w14:paraId="664CE1E6" w14:textId="77777777" w:rsidR="003A3BCA" w:rsidRDefault="008276B6">
      <w:pPr>
        <w:spacing w:line="360" w:lineRule="auto"/>
        <w:ind w:firstLine="720"/>
        <w:jc w:val="both"/>
        <w:rPr>
          <w:color w:val="000000"/>
        </w:rPr>
      </w:pPr>
      <w:r>
        <w:rPr>
          <w:color w:val="000000"/>
        </w:rPr>
        <w:t xml:space="preserve">Combining the optimistic news about the increasing sports engagement with the even more optimistic views on the UK’s population, the football industry could </w:t>
      </w:r>
      <w:proofErr w:type="gramStart"/>
      <w:r>
        <w:rPr>
          <w:color w:val="000000"/>
        </w:rPr>
        <w:t>definitely feel</w:t>
      </w:r>
      <w:proofErr w:type="gramEnd"/>
      <w:r>
        <w:rPr>
          <w:color w:val="000000"/>
        </w:rPr>
        <w:t xml:space="preserve"> upbeat about the prospects that the future holds. More people living in the country with more people who consider themselves sports fans will allow the club to expand </w:t>
      </w:r>
      <w:r>
        <w:t>its</w:t>
      </w:r>
      <w:r>
        <w:rPr>
          <w:color w:val="000000"/>
        </w:rPr>
        <w:t xml:space="preserve"> commercial reach, to collaborate more with both businesses and supporters’ trusts. If clubs manage to capitalize on the new pool of customers and turn them into loyal supporters of their organization, this is bound to increase their commercial and matchday revenues, given the loyalty of football and sports fans in general. Furthermore, the clubs will also be able to capitalize on the rising youth population by creating more and more youth academy initiatives that encourage children and young adults to join their youth academies. </w:t>
      </w:r>
    </w:p>
    <w:p w14:paraId="2E833489" w14:textId="77777777" w:rsidR="003A3BCA" w:rsidRDefault="008276B6">
      <w:pPr>
        <w:spacing w:line="360" w:lineRule="auto"/>
        <w:ind w:firstLine="720"/>
        <w:jc w:val="both"/>
        <w:rPr>
          <w:color w:val="000000"/>
        </w:rPr>
      </w:pPr>
      <w:r>
        <w:rPr>
          <w:color w:val="000000"/>
        </w:rPr>
        <w:t xml:space="preserve">3. Advancements in </w:t>
      </w:r>
      <w:r>
        <w:t>data-driven</w:t>
      </w:r>
      <w:r>
        <w:rPr>
          <w:color w:val="000000"/>
        </w:rPr>
        <w:t xml:space="preserve"> solutions for better planning and decision-making – The approaches and methodologies from the famous “Moneyball” movie starring Brad Pitt are being implemented in the football world nowadays, in unprecedented volumes. Many data-driven companies such as </w:t>
      </w:r>
      <w:proofErr w:type="spellStart"/>
      <w:r>
        <w:rPr>
          <w:color w:val="000000"/>
        </w:rPr>
        <w:t>Wyscout</w:t>
      </w:r>
      <w:proofErr w:type="spellEnd"/>
      <w:r>
        <w:rPr>
          <w:color w:val="000000"/>
        </w:rPr>
        <w:t xml:space="preserve">, </w:t>
      </w:r>
      <w:proofErr w:type="spellStart"/>
      <w:r>
        <w:rPr>
          <w:color w:val="000000"/>
        </w:rPr>
        <w:t>Opta</w:t>
      </w:r>
      <w:proofErr w:type="spellEnd"/>
      <w:r>
        <w:rPr>
          <w:color w:val="000000"/>
        </w:rPr>
        <w:t xml:space="preserve">, </w:t>
      </w:r>
      <w:proofErr w:type="spellStart"/>
      <w:r>
        <w:rPr>
          <w:color w:val="000000"/>
        </w:rPr>
        <w:t>SkillCorner</w:t>
      </w:r>
      <w:proofErr w:type="spellEnd"/>
      <w:r>
        <w:rPr>
          <w:color w:val="000000"/>
        </w:rPr>
        <w:t xml:space="preserve">, </w:t>
      </w:r>
      <w:proofErr w:type="spellStart"/>
      <w:r>
        <w:rPr>
          <w:color w:val="000000"/>
        </w:rPr>
        <w:t>Statsbomb</w:t>
      </w:r>
      <w:proofErr w:type="spellEnd"/>
      <w:r>
        <w:rPr>
          <w:color w:val="000000"/>
        </w:rPr>
        <w:t xml:space="preserve">, </w:t>
      </w:r>
      <w:proofErr w:type="spellStart"/>
      <w:r>
        <w:rPr>
          <w:color w:val="000000"/>
        </w:rPr>
        <w:t>FBref</w:t>
      </w:r>
      <w:proofErr w:type="spellEnd"/>
      <w:r>
        <w:rPr>
          <w:color w:val="000000"/>
        </w:rPr>
        <w:t xml:space="preserve">, and Transfermarkt are now available to sports organizations providing them with full-range of different services that cover every single step of the supply chain in the world of football. </w:t>
      </w:r>
      <w:r>
        <w:t>If you</w:t>
      </w:r>
      <w:r>
        <w:rPr>
          <w:color w:val="000000"/>
        </w:rPr>
        <w:t xml:space="preserve"> need </w:t>
      </w:r>
      <w:r>
        <w:t>information</w:t>
      </w:r>
      <w:r>
        <w:rPr>
          <w:color w:val="000000"/>
        </w:rPr>
        <w:t xml:space="preserve"> about a player’s market value – you go to Transfermarkt where a team of professionals </w:t>
      </w:r>
      <w:r>
        <w:t>has</w:t>
      </w:r>
      <w:r>
        <w:rPr>
          <w:color w:val="000000"/>
        </w:rPr>
        <w:t xml:space="preserve"> created a model that best estimates a player’s fair value; if you need </w:t>
      </w:r>
      <w:r>
        <w:t>information</w:t>
      </w:r>
      <w:r>
        <w:rPr>
          <w:color w:val="000000"/>
        </w:rPr>
        <w:t xml:space="preserve"> about his wages or about where he ranks amongst his position peers for a certain football metric – you go on </w:t>
      </w:r>
      <w:proofErr w:type="spellStart"/>
      <w:r>
        <w:rPr>
          <w:color w:val="000000"/>
        </w:rPr>
        <w:t>FBref</w:t>
      </w:r>
      <w:proofErr w:type="spellEnd"/>
      <w:r>
        <w:rPr>
          <w:color w:val="000000"/>
        </w:rPr>
        <w:t xml:space="preserve"> and dive deep into the scouting reports. If one cannot be satisfied with statistics </w:t>
      </w:r>
      <w:r>
        <w:rPr>
          <w:color w:val="000000"/>
        </w:rPr>
        <w:lastRenderedPageBreak/>
        <w:t xml:space="preserve">only, </w:t>
      </w:r>
      <w:proofErr w:type="gramStart"/>
      <w:r>
        <w:rPr>
          <w:color w:val="000000"/>
        </w:rPr>
        <w:t>in order to</w:t>
      </w:r>
      <w:proofErr w:type="gramEnd"/>
      <w:r>
        <w:rPr>
          <w:color w:val="000000"/>
        </w:rPr>
        <w:t xml:space="preserve"> determine a player’s ability, </w:t>
      </w:r>
      <w:r>
        <w:t>one</w:t>
      </w:r>
      <w:r>
        <w:rPr>
          <w:color w:val="000000"/>
        </w:rPr>
        <w:t xml:space="preserve"> can go on </w:t>
      </w:r>
      <w:proofErr w:type="spellStart"/>
      <w:r>
        <w:rPr>
          <w:color w:val="000000"/>
        </w:rPr>
        <w:t>Wyscout</w:t>
      </w:r>
      <w:proofErr w:type="spellEnd"/>
      <w:r>
        <w:rPr>
          <w:color w:val="000000"/>
        </w:rPr>
        <w:t xml:space="preserve"> and watch endless video materials on that player highlighting his good and bad qualities. The same applies to every other company that provides data </w:t>
      </w:r>
      <w:r>
        <w:t>analytics</w:t>
      </w:r>
      <w:r>
        <w:rPr>
          <w:color w:val="000000"/>
        </w:rPr>
        <w:t xml:space="preserve"> solutions for the world of football. Having the ability to use so much data in every aspect of the game and business of football allows the organizations to have </w:t>
      </w:r>
      <w:r>
        <w:t>more detailed and objective information</w:t>
      </w:r>
      <w:r>
        <w:rPr>
          <w:color w:val="000000"/>
        </w:rPr>
        <w:t xml:space="preserve"> in front of their eyes, and to be presented with more accurate input that can be used to create a </w:t>
      </w:r>
      <w:r>
        <w:t>business-developing</w:t>
      </w:r>
      <w:r>
        <w:rPr>
          <w:color w:val="000000"/>
        </w:rPr>
        <w:t xml:space="preserve"> output. </w:t>
      </w:r>
    </w:p>
    <w:p w14:paraId="7A832888" w14:textId="77777777" w:rsidR="003A3BCA" w:rsidRDefault="008276B6">
      <w:pPr>
        <w:spacing w:line="360" w:lineRule="auto"/>
        <w:ind w:firstLine="720"/>
        <w:jc w:val="both"/>
        <w:rPr>
          <w:color w:val="000000"/>
        </w:rPr>
      </w:pPr>
      <w:r>
        <w:rPr>
          <w:color w:val="000000"/>
        </w:rPr>
        <w:t xml:space="preserve">4. Progress in marketing opportunities and adaptations – As seen in the part about United’s strengths, commercial deals now contribute the most </w:t>
      </w:r>
      <w:r>
        <w:t>to</w:t>
      </w:r>
      <w:r>
        <w:rPr>
          <w:color w:val="000000"/>
        </w:rPr>
        <w:t xml:space="preserve"> the club’s revenue streams, and as per Deloitte’s Money League reports, this is also true for most of the best and highest earning clubs on the planet. Nowadays, different sponsors from different industries battle for real estate on football teams’ jerseys. Apart from the usual jersey providers – Nike, Adidas, Puma, and other sportswear brands, the rest of the football shirt can be occupied by virtually any business, </w:t>
      </w:r>
      <w:proofErr w:type="gramStart"/>
      <w:r>
        <w:rPr>
          <w:color w:val="000000"/>
        </w:rPr>
        <w:t>as long as</w:t>
      </w:r>
      <w:proofErr w:type="gramEnd"/>
      <w:r>
        <w:rPr>
          <w:color w:val="000000"/>
        </w:rPr>
        <w:t xml:space="preserve"> they have money, with no limitations about the real estate of the football shirt, i.e., as long as there is space on it, businesses could, in theory, battle for a sponsorship deal that would see their brand logo put on the shirts. Moreover, football teams now engage a lot with their supporters on social media, as they have recognized the need for an online presence. The football teams are now “running” commercial platforms that </w:t>
      </w:r>
      <w:r>
        <w:t>see</w:t>
      </w:r>
      <w:r>
        <w:rPr>
          <w:color w:val="000000"/>
        </w:rPr>
        <w:t xml:space="preserve"> them collaborate with different businesses in the most unimaginable, yet profitable ways. </w:t>
      </w:r>
    </w:p>
    <w:p w14:paraId="14B6F586" w14:textId="77777777" w:rsidR="003A3BCA" w:rsidRDefault="003A3BCA">
      <w:pPr>
        <w:spacing w:line="360" w:lineRule="auto"/>
        <w:jc w:val="both"/>
        <w:rPr>
          <w:color w:val="000000"/>
        </w:rPr>
      </w:pPr>
    </w:p>
    <w:p w14:paraId="49F5E2EE" w14:textId="77777777" w:rsidR="003A3BCA" w:rsidRDefault="008276B6">
      <w:pPr>
        <w:spacing w:line="360" w:lineRule="auto"/>
        <w:jc w:val="both"/>
        <w:rPr>
          <w:color w:val="000000"/>
        </w:rPr>
      </w:pPr>
      <w:r>
        <w:rPr>
          <w:color w:val="000000"/>
        </w:rPr>
        <w:t>4.1.4. Threats:</w:t>
      </w:r>
    </w:p>
    <w:p w14:paraId="790FA8B6" w14:textId="77777777" w:rsidR="003A3BCA" w:rsidRDefault="008276B6">
      <w:pPr>
        <w:spacing w:line="360" w:lineRule="auto"/>
        <w:ind w:firstLine="720"/>
        <w:jc w:val="both"/>
        <w:rPr>
          <w:color w:val="000000"/>
        </w:rPr>
      </w:pPr>
      <w:r>
        <w:rPr>
          <w:color w:val="000000"/>
        </w:rPr>
        <w:t xml:space="preserve">1. Ever-growing competitiveness for talent acquisition and resources – As established in Porter’s 5 Forces analysis, football in England is the literal embodiment of the word competitiveness, as the quantity of teams and leagues is as high as it can possibly get. Moreover, the English teams are one of the most successful and most respected teams in the world, not to mention the richest and strongest financially. The English teams are also currently the best in Europe, given their recent performances in the European competitions and the influential English Premier League imply that they are best positioned to sign the best talent in the world. The “selling” teams fully acknowledge this and are not shy of asking for premium rates for their players, even if this means that they don’t immediately sell an unsettled player. The English Premier League is famous for its big 6 (Man United, Man City, Liverpool, Arsenal, Chelsea, and Tottenham) but it can only provide 4 spots for guaranteed participation in the UEFA Champions League, therefore, two of the best teams in the country are forced to miss out on the luxurious tournament. The threat of missing this pan-European tournament is certainly one of the biggest talking points that each of the big 6 begins their seasons with. And </w:t>
      </w:r>
      <w:r>
        <w:rPr>
          <w:color w:val="000000"/>
        </w:rPr>
        <w:lastRenderedPageBreak/>
        <w:t xml:space="preserve">even without the big 6, the English Premier League is still home to great teams that </w:t>
      </w:r>
      <w:proofErr w:type="gramStart"/>
      <w:r>
        <w:rPr>
          <w:color w:val="000000"/>
        </w:rPr>
        <w:t>are able to</w:t>
      </w:r>
      <w:proofErr w:type="gramEnd"/>
      <w:r>
        <w:rPr>
          <w:color w:val="000000"/>
        </w:rPr>
        <w:t xml:space="preserve"> disrupt the existing hierarchy here and there, and in the case of Leicester City in 2015, to even win the league title and be crowned the champions of the strongest and most competitive football league in the world – the English Premier League. Doyle (2022) reports that climbing up one spot, i.e., going from 6</w:t>
      </w:r>
      <w:r>
        <w:rPr>
          <w:color w:val="000000"/>
          <w:vertAlign w:val="superscript"/>
        </w:rPr>
        <w:t>th</w:t>
      </w:r>
      <w:r>
        <w:rPr>
          <w:color w:val="000000"/>
        </w:rPr>
        <w:t xml:space="preserve"> to 5</w:t>
      </w:r>
      <w:r>
        <w:rPr>
          <w:color w:val="000000"/>
          <w:vertAlign w:val="superscript"/>
        </w:rPr>
        <w:t>th</w:t>
      </w:r>
      <w:r>
        <w:rPr>
          <w:color w:val="000000"/>
        </w:rPr>
        <w:t xml:space="preserve">, and so on for the rest of the 20 positions in the EPL, results in an improved </w:t>
      </w:r>
      <w:r>
        <w:t>payday</w:t>
      </w:r>
      <w:r>
        <w:rPr>
          <w:color w:val="000000"/>
        </w:rPr>
        <w:t xml:space="preserve"> for the EPL clubs – each climbed position allows them to earn £2 million additionally. So, given all the competitive perks that the better positions give the clubs, the battle for higher positions is also driven by monetary needs, further highlighting the fierce competitive mindset of each of the competing teams.  </w:t>
      </w:r>
    </w:p>
    <w:p w14:paraId="68C84FAB" w14:textId="77777777" w:rsidR="003A3BCA" w:rsidRDefault="008276B6">
      <w:pPr>
        <w:spacing w:line="360" w:lineRule="auto"/>
        <w:ind w:firstLine="720"/>
        <w:jc w:val="both"/>
        <w:rPr>
          <w:color w:val="000000"/>
        </w:rPr>
      </w:pPr>
      <w:r>
        <w:rPr>
          <w:color w:val="000000"/>
        </w:rPr>
        <w:t xml:space="preserve">2. Brexit’s uncertainties regarding recruiting – Since Brexit became official, it has become a little bit more difficult to recruit players from the EU, as the UK is no longer of the European Economic Area, and the movement of people is not free, therefore creating slight bureaucratic complications which lead to the need for working visas. The implication of this decision made by the UK government for football teams is that they’re no longer able to recruit youth players from other EU countries before they have turned 18 years, something that wasn’t necessary a couple of years ago. This could have an impact on how English clubs recruit talent from countries within the European Union in the </w:t>
      </w:r>
      <w:r>
        <w:t>long run</w:t>
      </w:r>
      <w:r>
        <w:rPr>
          <w:color w:val="000000"/>
        </w:rPr>
        <w:t xml:space="preserve"> and might force said clubs to settle for mostly using and acquiring domestic talent from all over the United Kingdom. </w:t>
      </w:r>
    </w:p>
    <w:p w14:paraId="67A52F35" w14:textId="77777777" w:rsidR="003A3BCA" w:rsidRDefault="008276B6">
      <w:pPr>
        <w:spacing w:line="360" w:lineRule="auto"/>
        <w:ind w:firstLine="720"/>
        <w:jc w:val="both"/>
        <w:rPr>
          <w:color w:val="000000"/>
        </w:rPr>
      </w:pPr>
      <w:r>
        <w:rPr>
          <w:color w:val="000000"/>
        </w:rPr>
        <w:t xml:space="preserve">If Brexit does indeed complicate recruitment for clubs from the EPL, this will pose many challenges and will ultimately require whole new recruitment strategies and might put the English at a competitive disadvantage to their peers from mainland Europe in the European club competitions. </w:t>
      </w:r>
    </w:p>
    <w:p w14:paraId="4710E729" w14:textId="77777777" w:rsidR="003A3BCA" w:rsidRDefault="008276B6">
      <w:pPr>
        <w:spacing w:line="360" w:lineRule="auto"/>
        <w:ind w:firstLine="720"/>
        <w:jc w:val="both"/>
        <w:rPr>
          <w:rFonts w:ascii="Calibri" w:eastAsia="Calibri" w:hAnsi="Calibri" w:cs="Calibri"/>
          <w:color w:val="2F5496"/>
          <w:sz w:val="26"/>
          <w:szCs w:val="26"/>
        </w:rPr>
      </w:pPr>
      <w:r>
        <w:rPr>
          <w:color w:val="000000"/>
        </w:rPr>
        <w:t xml:space="preserve">3. Worsen economic conditions – The UK, as well as most of the world, is currently going through a rough economic period, kickstarted by the COVID-19 pandemic. The country’s GDP has been volatile for a while now. Moreover, the country’s seen a decline in inward FDI, and given that many clubs in England are sponsored </w:t>
      </w:r>
      <w:r>
        <w:t>by</w:t>
      </w:r>
      <w:r>
        <w:rPr>
          <w:color w:val="000000"/>
        </w:rPr>
        <w:t xml:space="preserve"> businessmen from abroad, should the economic climate in Britain continue to look foggy, outside </w:t>
      </w:r>
      <w:r>
        <w:t>investors</w:t>
      </w:r>
      <w:r>
        <w:rPr>
          <w:color w:val="000000"/>
        </w:rPr>
        <w:t xml:space="preserve"> might stop putting as much money into English football as they do now. Some implications from this might be lowered revenues from commercial deals and matchday </w:t>
      </w:r>
      <w:r>
        <w:t>ticket</w:t>
      </w:r>
      <w:r>
        <w:rPr>
          <w:color w:val="000000"/>
        </w:rPr>
        <w:t xml:space="preserve"> sales, as households are seeing a drop in their disposable incomes. If that’s the case, clubs might be forced to reshape their investment strategies for the short-term and utilize youth player development over expensive recruitment from abroad. </w:t>
      </w:r>
      <w:r>
        <w:br w:type="page"/>
      </w:r>
    </w:p>
    <w:p w14:paraId="6E80E0BD" w14:textId="77777777" w:rsidR="003A3BCA" w:rsidRPr="00C4399E" w:rsidRDefault="008276B6" w:rsidP="00C4399E">
      <w:pPr>
        <w:pStyle w:val="Heading2"/>
        <w:jc w:val="both"/>
        <w:rPr>
          <w:rFonts w:ascii="Times New Roman" w:eastAsia="Times New Roman" w:hAnsi="Times New Roman" w:cs="Times New Roman"/>
        </w:rPr>
      </w:pPr>
      <w:bookmarkStart w:id="12" w:name="_Toc136274670"/>
      <w:r w:rsidRPr="00C4399E">
        <w:rPr>
          <w:rFonts w:ascii="Times New Roman" w:hAnsi="Times New Roman" w:cs="Times New Roman"/>
        </w:rPr>
        <w:lastRenderedPageBreak/>
        <w:t>5.1. Data Analysis</w:t>
      </w:r>
      <w:bookmarkEnd w:id="12"/>
      <w:r w:rsidRPr="00C4399E">
        <w:rPr>
          <w:rFonts w:ascii="Times New Roman" w:eastAsia="Times New Roman" w:hAnsi="Times New Roman" w:cs="Times New Roman"/>
        </w:rPr>
        <w:t xml:space="preserve"> </w:t>
      </w:r>
    </w:p>
    <w:p w14:paraId="613AB27C" w14:textId="77777777" w:rsidR="003A3BCA" w:rsidRDefault="008276B6">
      <w:pPr>
        <w:spacing w:line="360" w:lineRule="auto"/>
        <w:jc w:val="both"/>
      </w:pPr>
      <w:r>
        <w:tab/>
        <w:t xml:space="preserve">This section will be used to compare and understand which variables determine success in English football. </w:t>
      </w:r>
    </w:p>
    <w:p w14:paraId="23DE3AC1" w14:textId="1F9F0723" w:rsidR="003A3BCA" w:rsidRDefault="008276B6">
      <w:pPr>
        <w:spacing w:line="360" w:lineRule="auto"/>
        <w:ind w:firstLine="720"/>
        <w:jc w:val="both"/>
      </w:pPr>
      <w:r>
        <w:t xml:space="preserve">Firstly, to test Szymanski’s (2013) and </w:t>
      </w:r>
      <w:proofErr w:type="spellStart"/>
      <w:r>
        <w:t>Gasquez</w:t>
      </w:r>
      <w:proofErr w:type="spellEnd"/>
      <w:r>
        <w:t xml:space="preserve"> and </w:t>
      </w:r>
      <w:proofErr w:type="spellStart"/>
      <w:r>
        <w:t>Royuela’s</w:t>
      </w:r>
      <w:proofErr w:type="spellEnd"/>
      <w:r>
        <w:t xml:space="preserve"> (2016) findings on how wage bill and economic resources (in this scenario, the market value of the football club, as it is the closest metric to economic output) against the final league position of the clubs in the English Premier League from season 2013/2014 to season 2021/2022. The idea behind this regression is to understand whether, for the English Premier League, buying expensive and top-end talent alone can make a team more competitive and increase domestic success, or as per </w:t>
      </w:r>
      <w:proofErr w:type="spellStart"/>
      <w:r>
        <w:t>Grimditch</w:t>
      </w:r>
      <w:proofErr w:type="spellEnd"/>
      <w:r>
        <w:t xml:space="preserve"> (2022) success requires building processes, instead of meaninglessly spending money on the best and most expensive players in the world. </w:t>
      </w:r>
    </w:p>
    <w:p w14:paraId="32E18A61" w14:textId="3E356C64" w:rsidR="002A7725" w:rsidRDefault="002A7725">
      <w:pPr>
        <w:spacing w:line="360" w:lineRule="auto"/>
        <w:ind w:firstLine="720"/>
        <w:jc w:val="both"/>
      </w:pPr>
      <w:r>
        <w:t xml:space="preserve">The dependent variables, selected for this test, are market value (in million EUR) and annual wage bill (in million EUR). Market value data for each season was gathered through Transfermarkt, whereas the information about clubs’ annual wage bill was </w:t>
      </w:r>
      <w:r w:rsidR="00874A05">
        <w:t xml:space="preserve">collected via FBref.com. Market value of a football clubs shows how much the clubs’ assets (players) are valued at a point in time, whereas annual wage bill shows how expensive it was to assemble the </w:t>
      </w:r>
      <w:r w:rsidR="00564720">
        <w:t xml:space="preserve">team, given the wages that said club pays to its players. </w:t>
      </w:r>
      <w:r w:rsidR="003F5A38">
        <w:t>Both dependent variables test whether success in the English Premier League could be “bought” by simply pouring money into assembling the most expensive team.</w:t>
      </w:r>
    </w:p>
    <w:p w14:paraId="13EB03FC" w14:textId="67B7B231" w:rsidR="00990FC4" w:rsidRPr="002A7725" w:rsidRDefault="00990FC4">
      <w:pPr>
        <w:spacing w:line="360" w:lineRule="auto"/>
        <w:ind w:firstLine="720"/>
        <w:jc w:val="both"/>
      </w:pPr>
      <w:r>
        <w:t xml:space="preserve">The independent variable is the English Premier League clubs’ final league position between 2013 and 2022. </w:t>
      </w:r>
    </w:p>
    <w:p w14:paraId="2C45A4B0" w14:textId="77777777" w:rsidR="003A3BCA" w:rsidRDefault="008276B6">
      <w:pPr>
        <w:keepNext/>
        <w:spacing w:line="360" w:lineRule="auto"/>
      </w:pPr>
      <w:r>
        <w:rPr>
          <w:noProof/>
        </w:rPr>
        <w:drawing>
          <wp:inline distT="0" distB="0" distL="0" distR="0" wp14:anchorId="26B89EA9" wp14:editId="13AB732B">
            <wp:extent cx="5756954" cy="2928701"/>
            <wp:effectExtent l="0" t="0" r="0" b="0"/>
            <wp:docPr id="15" name="image10.png" descr="Tabl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0.png" descr="Table&#10;&#10;Description automatically generated"/>
                    <pic:cNvPicPr preferRelativeResize="0"/>
                  </pic:nvPicPr>
                  <pic:blipFill>
                    <a:blip r:embed="rId14"/>
                    <a:srcRect/>
                    <a:stretch>
                      <a:fillRect/>
                    </a:stretch>
                  </pic:blipFill>
                  <pic:spPr>
                    <a:xfrm>
                      <a:off x="0" y="0"/>
                      <a:ext cx="5756954" cy="2928701"/>
                    </a:xfrm>
                    <a:prstGeom prst="rect">
                      <a:avLst/>
                    </a:prstGeom>
                    <a:ln/>
                  </pic:spPr>
                </pic:pic>
              </a:graphicData>
            </a:graphic>
          </wp:inline>
        </w:drawing>
      </w:r>
    </w:p>
    <w:p w14:paraId="06CBABB0" w14:textId="77777777" w:rsidR="003A3BCA" w:rsidRDefault="008276B6">
      <w:pPr>
        <w:pBdr>
          <w:top w:val="nil"/>
          <w:left w:val="nil"/>
          <w:bottom w:val="nil"/>
          <w:right w:val="nil"/>
          <w:between w:val="nil"/>
        </w:pBdr>
        <w:spacing w:after="200"/>
        <w:jc w:val="both"/>
        <w:rPr>
          <w:rFonts w:ascii="Calibri" w:eastAsia="Calibri" w:hAnsi="Calibri" w:cs="Calibri"/>
          <w:i/>
          <w:color w:val="44546A"/>
          <w:sz w:val="18"/>
          <w:szCs w:val="18"/>
        </w:rPr>
      </w:pPr>
      <w:r>
        <w:rPr>
          <w:rFonts w:ascii="Calibri" w:eastAsia="Calibri" w:hAnsi="Calibri" w:cs="Calibri"/>
          <w:i/>
          <w:color w:val="44546A"/>
          <w:sz w:val="18"/>
          <w:szCs w:val="18"/>
        </w:rPr>
        <w:t>Figure 4. Regression Analysis; Market Value and Wage Bill against Final League Position</w:t>
      </w:r>
    </w:p>
    <w:p w14:paraId="4E8637CF" w14:textId="38EA7849" w:rsidR="003A3BCA" w:rsidRDefault="008276B6">
      <w:pPr>
        <w:spacing w:line="360" w:lineRule="auto"/>
        <w:ind w:firstLine="720"/>
        <w:jc w:val="both"/>
      </w:pPr>
      <w:r>
        <w:lastRenderedPageBreak/>
        <w:t>As it can be seen, the model does indeed prove that there is a correlation between the two variables and the final league position of the English Premier League clubs within the studied period. The results were gathered through transfermark.com (Market Value) and fbref.com (Wage Bills). The adjusted R squared is only 53%, however, implying that, yes, there is a correlation between the studied variables, however, these two variables alone are not enough to determine the final position of the clubs in the English Premier League during those years. This brings us to the limitations of this regression – 1) football is unpredictable, and luck is involved one too many times. A prime example of this is Leicester City’s title campaign in 2015/2016, where they had the 17</w:t>
      </w:r>
      <w:r>
        <w:rPr>
          <w:vertAlign w:val="superscript"/>
        </w:rPr>
        <w:t>th</w:t>
      </w:r>
      <w:r>
        <w:t xml:space="preserve"> biggest wage bill and the 11</w:t>
      </w:r>
      <w:r>
        <w:rPr>
          <w:vertAlign w:val="superscript"/>
        </w:rPr>
        <w:t>th</w:t>
      </w:r>
      <w:r>
        <w:t xml:space="preserve"> most expensive squad in the league, in terms of market value, and still won the league. This campaign will forever be remembered for one thing – Leicester won the Premier League, despite having 5000/1 odds to do so, the single biggest upset in football history. This is an event that simply is impossible to predict, especially having in mind that the club was facing relegation the season prior. Luck plays an unbelievable amount in the eventual results; 2) the second limitation is injuries. Although they were included in the model at first, they were excluded later, as they didn’t </w:t>
      </w:r>
      <w:proofErr w:type="gramStart"/>
      <w:r>
        <w:t>have an effect on</w:t>
      </w:r>
      <w:proofErr w:type="gramEnd"/>
      <w:r>
        <w:t xml:space="preserve"> the results. The number of injuries alone cannot be used to predict performance, as it is very possible that the club with the most injuries still end up winning the league. This is possible, for instance, if all their bench or rotation players constantly get injured, but none of their best players are injured, the team is still in a good position to perform well. On the other hand, for some clubs even a single injury could damage their season – imagine that Club X signed a new and expensive player A to replace player B who has left the club. Player A gets injured in the second game of the season and only comes back in the last game of the season. Although the market value and wage bill of this Club X increased, the player responsible for this didn’t play the whole season and didn’t contribute at all, in fact, the club was worse off because now the backup player to the one who was replaced for the better player A had to play all season, effectively meaning that the backup of the backup became a starter; 3) Number of managerial changes – as mentioned in the literature review, clubs usually change managers when they feel that they are bound to perform better under new management. This variable was added to the model, but it had 0 effect, as it is a limitation. For instance, a club could make 5 managerial changes throughout the season and still win it; if their market value and wage bill are much higher than the rest of the teams, this shouldn’t be a problem. On the other hand, many of the teams that don’t perform well stick to one manager all season, irrespective of their market value and wage bill, the fact that they didn’t change their manager wouldn’t imply a better finish. There are so many things that managers bring, that are not connected with their </w:t>
      </w:r>
      <w:r>
        <w:lastRenderedPageBreak/>
        <w:t xml:space="preserve">amount – style of play, tactics, player relationship, culture, etc. It’s impossible to quantify any of those. </w:t>
      </w:r>
    </w:p>
    <w:p w14:paraId="0E17D4DF" w14:textId="117CB7A5" w:rsidR="003A3BCA" w:rsidRDefault="008276B6">
      <w:pPr>
        <w:spacing w:line="360" w:lineRule="auto"/>
        <w:ind w:firstLine="720"/>
        <w:jc w:val="both"/>
      </w:pPr>
      <w:r>
        <w:t xml:space="preserve">So, when it comes to club performance </w:t>
      </w:r>
      <w:proofErr w:type="gramStart"/>
      <w:r>
        <w:t>on the basis of</w:t>
      </w:r>
      <w:proofErr w:type="gramEnd"/>
      <w:r>
        <w:t xml:space="preserve"> buying the best and most expensive talent, this will guarantee success, but not always, and not always the success they are looking for, as there are many other things that contribute to the final outcome. And, unfortunately, those things cannot be quantified. Other excluded from the model variables include the average age of the players, squad size, number of foreign players, percentage of foreign players, etc. None of them influenced the model, in fact, tried with market value and wage bill they were usually statistically insignificant. The most likely cause for this is multicollinearity – as stated by Banos (2018), foreign players do indeed increase English clubs’ creativity and technical ability, but to a certain extent, as the closer to 100% the </w:t>
      </w:r>
      <w:r w:rsidR="0085444B">
        <w:t>percentage</w:t>
      </w:r>
      <w:r>
        <w:t xml:space="preserve"> of foreign players, the more inverse the relationship becomes. Therefore, to better understand which are the variables that do indeed have a positive effect on English clubs’ final league position, a closer examination of player performance must be done because, at the end of the day, no matter how expensive the players are, if their performances are subpar, having them wouldn’t matter. </w:t>
      </w:r>
    </w:p>
    <w:p w14:paraId="434E2C3A" w14:textId="77777777" w:rsidR="003A3BCA" w:rsidRDefault="003A3BCA">
      <w:pPr>
        <w:spacing w:line="360" w:lineRule="auto"/>
        <w:ind w:firstLine="720"/>
        <w:jc w:val="both"/>
      </w:pPr>
    </w:p>
    <w:p w14:paraId="29039645" w14:textId="77777777" w:rsidR="003A3BCA" w:rsidRDefault="008276B6">
      <w:pPr>
        <w:pBdr>
          <w:top w:val="nil"/>
          <w:left w:val="nil"/>
          <w:bottom w:val="nil"/>
          <w:right w:val="nil"/>
          <w:between w:val="nil"/>
        </w:pBdr>
        <w:spacing w:after="200"/>
        <w:rPr>
          <w:rFonts w:ascii="Calibri" w:eastAsia="Calibri" w:hAnsi="Calibri" w:cs="Calibri"/>
          <w:i/>
          <w:color w:val="44546A"/>
          <w:sz w:val="18"/>
          <w:szCs w:val="18"/>
        </w:rPr>
      </w:pPr>
      <w:r>
        <w:rPr>
          <w:rFonts w:ascii="Calibri" w:eastAsia="Calibri" w:hAnsi="Calibri" w:cs="Calibri"/>
          <w:i/>
          <w:noProof/>
          <w:color w:val="44546A"/>
          <w:sz w:val="18"/>
          <w:szCs w:val="18"/>
        </w:rPr>
        <w:drawing>
          <wp:inline distT="0" distB="0" distL="0" distR="0" wp14:anchorId="336DEDD2" wp14:editId="1B4969C8">
            <wp:extent cx="5816941" cy="3149991"/>
            <wp:effectExtent l="0" t="0" r="0" b="0"/>
            <wp:docPr id="18" name="image5.png" descr="Graphical user interface, application, table, Excel&#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png" descr="Graphical user interface, application, table, Excel&#10;&#10;Description automatically generated"/>
                    <pic:cNvPicPr preferRelativeResize="0"/>
                  </pic:nvPicPr>
                  <pic:blipFill>
                    <a:blip r:embed="rId15"/>
                    <a:srcRect/>
                    <a:stretch>
                      <a:fillRect/>
                    </a:stretch>
                  </pic:blipFill>
                  <pic:spPr>
                    <a:xfrm>
                      <a:off x="0" y="0"/>
                      <a:ext cx="5816941" cy="3149991"/>
                    </a:xfrm>
                    <a:prstGeom prst="rect">
                      <a:avLst/>
                    </a:prstGeom>
                    <a:ln/>
                  </pic:spPr>
                </pic:pic>
              </a:graphicData>
            </a:graphic>
          </wp:inline>
        </w:drawing>
      </w:r>
      <w:r>
        <w:rPr>
          <w:rFonts w:ascii="Calibri" w:eastAsia="Calibri" w:hAnsi="Calibri" w:cs="Calibri"/>
          <w:i/>
          <w:color w:val="44546A"/>
          <w:sz w:val="18"/>
          <w:szCs w:val="18"/>
        </w:rPr>
        <w:br/>
        <w:t>Figure 5. Regression analysis on player performance variables against final league position.</w:t>
      </w:r>
    </w:p>
    <w:p w14:paraId="633F4CE9" w14:textId="1A2A7671" w:rsidR="005F43C1" w:rsidRDefault="008276B6">
      <w:pPr>
        <w:spacing w:line="360" w:lineRule="auto"/>
        <w:ind w:firstLine="720"/>
        <w:jc w:val="both"/>
      </w:pPr>
      <w:r>
        <w:t xml:space="preserve">Figure </w:t>
      </w:r>
      <w:r w:rsidR="00B81760">
        <w:t>5</w:t>
      </w:r>
      <w:r>
        <w:t xml:space="preserve"> shows the summary output of the regression analysis between these key performance variables against final league position</w:t>
      </w:r>
      <w:r w:rsidR="005F43C1">
        <w:t>.</w:t>
      </w:r>
    </w:p>
    <w:p w14:paraId="09A8AFCF" w14:textId="4FE03C3E" w:rsidR="003A3BCA" w:rsidRDefault="005F43C1">
      <w:pPr>
        <w:spacing w:line="360" w:lineRule="auto"/>
        <w:ind w:firstLine="720"/>
        <w:jc w:val="both"/>
      </w:pPr>
      <w:r>
        <w:t xml:space="preserve">Dependent variables </w:t>
      </w:r>
      <w:r w:rsidR="00F04DDA">
        <w:t>- possession</w:t>
      </w:r>
      <w:r w:rsidR="008276B6">
        <w:t xml:space="preserve"> of the ball, key passes, Goals minus Expected Goals (</w:t>
      </w:r>
      <w:proofErr w:type="spellStart"/>
      <w:r w:rsidR="008276B6">
        <w:t>xG</w:t>
      </w:r>
      <w:proofErr w:type="spellEnd"/>
      <w:r w:rsidR="008276B6">
        <w:t>), percentage of aerial duels won, and Opponent Goals minus Expected Goals (</w:t>
      </w:r>
      <w:proofErr w:type="spellStart"/>
      <w:r w:rsidR="008276B6">
        <w:t>xG</w:t>
      </w:r>
      <w:proofErr w:type="spellEnd"/>
      <w:r w:rsidR="008276B6">
        <w:t xml:space="preserve">). </w:t>
      </w:r>
      <w:r w:rsidR="00F04DDA">
        <w:t xml:space="preserve">All </w:t>
      </w:r>
      <w:r w:rsidR="00F04DDA">
        <w:lastRenderedPageBreak/>
        <w:t>variables were</w:t>
      </w:r>
      <w:r w:rsidR="008276B6">
        <w:t xml:space="preserve"> </w:t>
      </w:r>
      <w:r w:rsidR="00F04DDA">
        <w:t>collected</w:t>
      </w:r>
      <w:r w:rsidR="008276B6">
        <w:t xml:space="preserve"> via </w:t>
      </w:r>
      <w:r w:rsidR="00F04DDA">
        <w:t>FB</w:t>
      </w:r>
      <w:r w:rsidR="008276B6">
        <w:t xml:space="preserve">ref.com, however, the data only covers seasons 2017/2018 through 2021/2022. Prior data wasn’t available anywhere, which is the first limitation of the study. The variables were chosen on the following principle – possession of the ball demonstrates a club’s ability to control the game, its distribution, and its tempo. The more a club holds possession of the ball, the more control they have, and the better their chances to win are. Things that contribute to more possession include the number of attempted passes, the percentage of successful passes, how fast a team </w:t>
      </w:r>
      <w:proofErr w:type="gramStart"/>
      <w:r w:rsidR="008276B6">
        <w:t>is able to</w:t>
      </w:r>
      <w:proofErr w:type="gramEnd"/>
      <w:r w:rsidR="008276B6">
        <w:t xml:space="preserve"> regain control of the ball, etc. The metric key passes, on the other hand, illustrates a club’s ability to create chances, to open the game, and to break defenses down, </w:t>
      </w:r>
      <w:proofErr w:type="gramStart"/>
      <w:r w:rsidR="008276B6">
        <w:t>in an attempt to</w:t>
      </w:r>
      <w:proofErr w:type="gramEnd"/>
      <w:r w:rsidR="008276B6">
        <w:t xml:space="preserve"> score more goals. The more key passes a club makes, the more shots it usually makes</w:t>
      </w:r>
      <w:r w:rsidR="00F04DDA">
        <w:t xml:space="preserve"> (given that the definition of a key pass is a pass that leads to a shot at the opposition goal)</w:t>
      </w:r>
      <w:r w:rsidR="008276B6">
        <w:t xml:space="preserve">, and this would normally lead to more goals or attempts at goal. Goals minus </w:t>
      </w:r>
      <w:proofErr w:type="spellStart"/>
      <w:r w:rsidR="008276B6">
        <w:t>xG</w:t>
      </w:r>
      <w:proofErr w:type="spellEnd"/>
      <w:r w:rsidR="008276B6">
        <w:t xml:space="preserve"> showcase how effective certain clubs have been when it comes to finishing their chances – if a team has scored 60 goals but has had </w:t>
      </w:r>
      <w:proofErr w:type="spellStart"/>
      <w:r w:rsidR="008276B6">
        <w:t>xG</w:t>
      </w:r>
      <w:proofErr w:type="spellEnd"/>
      <w:r w:rsidR="008276B6">
        <w:t xml:space="preserve"> of 70, it means that it should’ve scored at least 10 more goals, implying that this club’s attack wasn’t effective, rather wasteful, and has probably cost them better performances and final league position. The bigger the difference, the better, as this implies clinical attack, and proven </w:t>
      </w:r>
      <w:proofErr w:type="spellStart"/>
      <w:r w:rsidR="008276B6">
        <w:t>goalscorers</w:t>
      </w:r>
      <w:proofErr w:type="spellEnd"/>
      <w:r w:rsidR="008276B6">
        <w:t xml:space="preserve"> who know how to perform under pressure. The % of aerial duels won suggests how likely a team is to win first and second balls launched to their own half. Also, this metric differentiates the teams who play more defensively and must win more aerial duels from those who play more offensively and need to be less engaged in the defensive side of the game. It’s a relative metric showing the efficiency when it comes to needing to win aerial duels. Opponent goals minus </w:t>
      </w:r>
      <w:proofErr w:type="spellStart"/>
      <w:r w:rsidR="008276B6">
        <w:t>xG</w:t>
      </w:r>
      <w:proofErr w:type="spellEnd"/>
      <w:r w:rsidR="008276B6">
        <w:t xml:space="preserve"> illustrate the exact opposite – how effective a defense has been in terms of keeping as many goals away as possible – if a club has received an opponent </w:t>
      </w:r>
      <w:proofErr w:type="spellStart"/>
      <w:r w:rsidR="008276B6">
        <w:t>xG</w:t>
      </w:r>
      <w:proofErr w:type="spellEnd"/>
      <w:r w:rsidR="008276B6">
        <w:t xml:space="preserve"> of 55 but has only conceded 40 goals, it means that their defense has been very effective at defending the goal, and has prevented their team from conceding at least 15 more goals, which in most cases would result in a very different final league position for said club. The smaller the number is (negatives included), the better and the more efficient the defense of the club is. Other variables such as passes attempted, % of successful passes, shots on target, % of shots being on target, tackles, clearances, and goalkeeping individual performance were also tested against final league position, included in the model that is, but failed to improve the model, rather they made it worse, with most of the mentioned variables being statistically insignificant, largely due to them being mutually correlated with those that were included in the final model. The idea of the model presented is to illustrate English football clubs’ performance in each area of the game so that a more comprehensive model is made </w:t>
      </w:r>
      <w:proofErr w:type="gramStart"/>
      <w:r w:rsidR="008276B6">
        <w:t>in order to</w:t>
      </w:r>
      <w:proofErr w:type="gramEnd"/>
      <w:r w:rsidR="008276B6">
        <w:t xml:space="preserve"> understand which variables actually </w:t>
      </w:r>
      <w:r w:rsidR="008276B6">
        <w:lastRenderedPageBreak/>
        <w:t xml:space="preserve">have more weight on the eventual performance. Although some of the limitations and excluded variables were mentioned, it is important to mention one more – individual quality. The players of the highest calibers are often able to influence some games on their own, understandably so. With an adjusted R squared of 79%, it could be argued that the predictive model is quite good, as it leaves very little room for other variables to influence the final league position of EPL teams. Such variables could include luck (in the form of unlikely results from your team’s side), unlikely results from competing teams, individual class of bought players, injuries, managerial changes, etc. </w:t>
      </w:r>
    </w:p>
    <w:p w14:paraId="6873FCF3" w14:textId="7D3FB2FF" w:rsidR="00C4399E" w:rsidRDefault="00C4399E">
      <w:pPr>
        <w:spacing w:line="360" w:lineRule="auto"/>
        <w:ind w:firstLine="720"/>
        <w:jc w:val="both"/>
      </w:pPr>
      <w:r>
        <w:t>The independent variable, in this regression model, is the English Premier League club</w:t>
      </w:r>
      <w:r w:rsidR="00746CD2">
        <w:t>s’</w:t>
      </w:r>
      <w:r>
        <w:t xml:space="preserve"> final league position between 2017 and 2022, for a total of 5 seasons.</w:t>
      </w:r>
    </w:p>
    <w:p w14:paraId="276D4A67" w14:textId="77777777" w:rsidR="003A3BCA" w:rsidRDefault="008276B6">
      <w:pPr>
        <w:spacing w:line="360" w:lineRule="auto"/>
        <w:ind w:firstLine="720"/>
        <w:jc w:val="both"/>
      </w:pPr>
      <w:r>
        <w:t xml:space="preserve">So, focusing more specifically on Manchester United and the regression model, </w:t>
      </w:r>
      <w:proofErr w:type="gramStart"/>
      <w:r>
        <w:t>in order to</w:t>
      </w:r>
      <w:proofErr w:type="gramEnd"/>
      <w:r>
        <w:t xml:space="preserve"> adapt it and get any findings on the club’s performance, both expected and actual. </w:t>
      </w:r>
    </w:p>
    <w:tbl>
      <w:tblPr>
        <w:tblStyle w:val="a1"/>
        <w:tblW w:w="9728" w:type="dxa"/>
        <w:tblInd w:w="-309" w:type="dxa"/>
        <w:tblLayout w:type="fixed"/>
        <w:tblLook w:val="0400" w:firstRow="0" w:lastRow="0" w:firstColumn="0" w:lastColumn="0" w:noHBand="0" w:noVBand="1"/>
      </w:tblPr>
      <w:tblGrid>
        <w:gridCol w:w="1377"/>
        <w:gridCol w:w="1297"/>
        <w:gridCol w:w="1955"/>
        <w:gridCol w:w="915"/>
        <w:gridCol w:w="766"/>
        <w:gridCol w:w="989"/>
        <w:gridCol w:w="1377"/>
        <w:gridCol w:w="1052"/>
      </w:tblGrid>
      <w:tr w:rsidR="003A3BCA" w14:paraId="4167AEF9" w14:textId="77777777">
        <w:trPr>
          <w:trHeight w:val="697"/>
        </w:trPr>
        <w:tc>
          <w:tcPr>
            <w:tcW w:w="137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6CC1FB8" w14:textId="77777777" w:rsidR="003A3BCA" w:rsidRDefault="008276B6">
            <w:pPr>
              <w:rPr>
                <w:rFonts w:ascii="Calibri" w:eastAsia="Calibri" w:hAnsi="Calibri" w:cs="Calibri"/>
                <w:color w:val="000000"/>
              </w:rPr>
            </w:pPr>
            <w:r>
              <w:rPr>
                <w:rFonts w:ascii="Calibri" w:eastAsia="Calibri" w:hAnsi="Calibri" w:cs="Calibri"/>
                <w:color w:val="000000"/>
              </w:rPr>
              <w:t>Club</w:t>
            </w:r>
          </w:p>
        </w:tc>
        <w:tc>
          <w:tcPr>
            <w:tcW w:w="1297" w:type="dxa"/>
            <w:tcBorders>
              <w:top w:val="single" w:sz="4" w:space="0" w:color="000000"/>
              <w:left w:val="nil"/>
              <w:bottom w:val="single" w:sz="4" w:space="0" w:color="000000"/>
              <w:right w:val="single" w:sz="4" w:space="0" w:color="000000"/>
            </w:tcBorders>
            <w:shd w:val="clear" w:color="auto" w:fill="auto"/>
            <w:vAlign w:val="bottom"/>
          </w:tcPr>
          <w:p w14:paraId="7FE9A890" w14:textId="77777777" w:rsidR="003A3BCA" w:rsidRDefault="008276B6">
            <w:pPr>
              <w:rPr>
                <w:rFonts w:ascii="Calibri" w:eastAsia="Calibri" w:hAnsi="Calibri" w:cs="Calibri"/>
                <w:color w:val="000000"/>
              </w:rPr>
            </w:pPr>
            <w:r>
              <w:rPr>
                <w:rFonts w:ascii="Calibri" w:eastAsia="Calibri" w:hAnsi="Calibri" w:cs="Calibri"/>
                <w:color w:val="000000"/>
              </w:rPr>
              <w:t>Season</w:t>
            </w:r>
          </w:p>
        </w:tc>
        <w:tc>
          <w:tcPr>
            <w:tcW w:w="1955" w:type="dxa"/>
            <w:tcBorders>
              <w:top w:val="single" w:sz="4" w:space="0" w:color="000000"/>
              <w:left w:val="nil"/>
              <w:bottom w:val="single" w:sz="4" w:space="0" w:color="000000"/>
              <w:right w:val="single" w:sz="4" w:space="0" w:color="000000"/>
            </w:tcBorders>
            <w:shd w:val="clear" w:color="auto" w:fill="auto"/>
            <w:vAlign w:val="bottom"/>
          </w:tcPr>
          <w:p w14:paraId="41F48A88" w14:textId="77777777" w:rsidR="003A3BCA" w:rsidRDefault="008276B6">
            <w:pPr>
              <w:rPr>
                <w:rFonts w:ascii="Calibri" w:eastAsia="Calibri" w:hAnsi="Calibri" w:cs="Calibri"/>
                <w:color w:val="000000"/>
              </w:rPr>
            </w:pPr>
            <w:r>
              <w:rPr>
                <w:rFonts w:ascii="Calibri" w:eastAsia="Calibri" w:hAnsi="Calibri" w:cs="Calibri"/>
                <w:color w:val="000000"/>
              </w:rPr>
              <w:t>Possession %</w:t>
            </w:r>
          </w:p>
        </w:tc>
        <w:tc>
          <w:tcPr>
            <w:tcW w:w="915" w:type="dxa"/>
            <w:tcBorders>
              <w:top w:val="single" w:sz="4" w:space="0" w:color="000000"/>
              <w:left w:val="nil"/>
              <w:bottom w:val="single" w:sz="4" w:space="0" w:color="000000"/>
              <w:right w:val="single" w:sz="4" w:space="0" w:color="000000"/>
            </w:tcBorders>
            <w:shd w:val="clear" w:color="auto" w:fill="auto"/>
            <w:vAlign w:val="bottom"/>
          </w:tcPr>
          <w:p w14:paraId="5D7364BD" w14:textId="77777777" w:rsidR="003A3BCA" w:rsidRDefault="008276B6">
            <w:pPr>
              <w:rPr>
                <w:rFonts w:ascii="Calibri" w:eastAsia="Calibri" w:hAnsi="Calibri" w:cs="Calibri"/>
                <w:color w:val="000000"/>
              </w:rPr>
            </w:pPr>
            <w:r>
              <w:rPr>
                <w:rFonts w:ascii="Calibri" w:eastAsia="Calibri" w:hAnsi="Calibri" w:cs="Calibri"/>
                <w:color w:val="000000"/>
              </w:rPr>
              <w:t>Key Passes</w:t>
            </w:r>
          </w:p>
        </w:tc>
        <w:tc>
          <w:tcPr>
            <w:tcW w:w="766" w:type="dxa"/>
            <w:tcBorders>
              <w:top w:val="single" w:sz="4" w:space="0" w:color="000000"/>
              <w:left w:val="nil"/>
              <w:bottom w:val="single" w:sz="4" w:space="0" w:color="000000"/>
              <w:right w:val="single" w:sz="4" w:space="0" w:color="000000"/>
            </w:tcBorders>
            <w:shd w:val="clear" w:color="auto" w:fill="auto"/>
            <w:vAlign w:val="bottom"/>
          </w:tcPr>
          <w:p w14:paraId="2EEC7EA1" w14:textId="77777777" w:rsidR="003A3BCA" w:rsidRDefault="008276B6">
            <w:pPr>
              <w:rPr>
                <w:rFonts w:ascii="Calibri" w:eastAsia="Calibri" w:hAnsi="Calibri" w:cs="Calibri"/>
                <w:color w:val="000000"/>
              </w:rPr>
            </w:pPr>
            <w:r>
              <w:rPr>
                <w:rFonts w:ascii="Calibri" w:eastAsia="Calibri" w:hAnsi="Calibri" w:cs="Calibri"/>
                <w:color w:val="000000"/>
              </w:rPr>
              <w:t xml:space="preserve">Goals - </w:t>
            </w:r>
            <w:proofErr w:type="spellStart"/>
            <w:r>
              <w:rPr>
                <w:rFonts w:ascii="Calibri" w:eastAsia="Calibri" w:hAnsi="Calibri" w:cs="Calibri"/>
                <w:color w:val="000000"/>
              </w:rPr>
              <w:t>xG</w:t>
            </w:r>
            <w:proofErr w:type="spellEnd"/>
          </w:p>
        </w:tc>
        <w:tc>
          <w:tcPr>
            <w:tcW w:w="989" w:type="dxa"/>
            <w:tcBorders>
              <w:top w:val="single" w:sz="4" w:space="0" w:color="000000"/>
              <w:left w:val="nil"/>
              <w:bottom w:val="single" w:sz="4" w:space="0" w:color="000000"/>
              <w:right w:val="single" w:sz="4" w:space="0" w:color="000000"/>
            </w:tcBorders>
            <w:shd w:val="clear" w:color="auto" w:fill="auto"/>
            <w:vAlign w:val="bottom"/>
          </w:tcPr>
          <w:p w14:paraId="41C2A368" w14:textId="77777777" w:rsidR="003A3BCA" w:rsidRDefault="008276B6">
            <w:pPr>
              <w:rPr>
                <w:rFonts w:ascii="Calibri" w:eastAsia="Calibri" w:hAnsi="Calibri" w:cs="Calibri"/>
                <w:color w:val="000000"/>
              </w:rPr>
            </w:pPr>
            <w:r>
              <w:rPr>
                <w:rFonts w:ascii="Calibri" w:eastAsia="Calibri" w:hAnsi="Calibri" w:cs="Calibri"/>
                <w:color w:val="000000"/>
              </w:rPr>
              <w:t>Aerials Won %</w:t>
            </w:r>
          </w:p>
        </w:tc>
        <w:tc>
          <w:tcPr>
            <w:tcW w:w="1377" w:type="dxa"/>
            <w:tcBorders>
              <w:top w:val="single" w:sz="4" w:space="0" w:color="000000"/>
              <w:left w:val="nil"/>
              <w:bottom w:val="single" w:sz="4" w:space="0" w:color="000000"/>
              <w:right w:val="single" w:sz="4" w:space="0" w:color="000000"/>
            </w:tcBorders>
            <w:shd w:val="clear" w:color="auto" w:fill="auto"/>
            <w:vAlign w:val="bottom"/>
          </w:tcPr>
          <w:p w14:paraId="63039A1B" w14:textId="77777777" w:rsidR="003A3BCA" w:rsidRDefault="008276B6">
            <w:pPr>
              <w:rPr>
                <w:rFonts w:ascii="Calibri" w:eastAsia="Calibri" w:hAnsi="Calibri" w:cs="Calibri"/>
                <w:color w:val="000000"/>
              </w:rPr>
            </w:pPr>
            <w:r>
              <w:rPr>
                <w:rFonts w:ascii="Calibri" w:eastAsia="Calibri" w:hAnsi="Calibri" w:cs="Calibri"/>
                <w:color w:val="000000"/>
              </w:rPr>
              <w:t xml:space="preserve">Opponent Goals - </w:t>
            </w:r>
            <w:proofErr w:type="spellStart"/>
            <w:r>
              <w:rPr>
                <w:rFonts w:ascii="Calibri" w:eastAsia="Calibri" w:hAnsi="Calibri" w:cs="Calibri"/>
                <w:color w:val="000000"/>
              </w:rPr>
              <w:t>xG</w:t>
            </w:r>
            <w:proofErr w:type="spellEnd"/>
          </w:p>
        </w:tc>
        <w:tc>
          <w:tcPr>
            <w:tcW w:w="1052" w:type="dxa"/>
            <w:tcBorders>
              <w:top w:val="single" w:sz="4" w:space="0" w:color="000000"/>
              <w:left w:val="nil"/>
              <w:bottom w:val="single" w:sz="4" w:space="0" w:color="000000"/>
              <w:right w:val="single" w:sz="4" w:space="0" w:color="000000"/>
            </w:tcBorders>
            <w:shd w:val="clear" w:color="auto" w:fill="auto"/>
            <w:vAlign w:val="bottom"/>
          </w:tcPr>
          <w:p w14:paraId="1C3BE909" w14:textId="77777777" w:rsidR="003A3BCA" w:rsidRDefault="008276B6">
            <w:pPr>
              <w:rPr>
                <w:rFonts w:ascii="Calibri" w:eastAsia="Calibri" w:hAnsi="Calibri" w:cs="Calibri"/>
                <w:color w:val="000000"/>
              </w:rPr>
            </w:pPr>
            <w:r>
              <w:rPr>
                <w:rFonts w:ascii="Calibri" w:eastAsia="Calibri" w:hAnsi="Calibri" w:cs="Calibri"/>
                <w:color w:val="000000"/>
              </w:rPr>
              <w:t>League Position</w:t>
            </w:r>
          </w:p>
        </w:tc>
      </w:tr>
      <w:tr w:rsidR="003A3BCA" w14:paraId="79F9F958" w14:textId="77777777">
        <w:trPr>
          <w:trHeight w:val="697"/>
        </w:trPr>
        <w:tc>
          <w:tcPr>
            <w:tcW w:w="1377" w:type="dxa"/>
            <w:tcBorders>
              <w:top w:val="nil"/>
              <w:left w:val="single" w:sz="4" w:space="0" w:color="000000"/>
              <w:bottom w:val="single" w:sz="4" w:space="0" w:color="000000"/>
              <w:right w:val="single" w:sz="4" w:space="0" w:color="000000"/>
            </w:tcBorders>
            <w:shd w:val="clear" w:color="auto" w:fill="auto"/>
            <w:vAlign w:val="bottom"/>
          </w:tcPr>
          <w:p w14:paraId="41B062D8" w14:textId="77777777" w:rsidR="003A3BCA" w:rsidRDefault="008276B6">
            <w:pPr>
              <w:rPr>
                <w:rFonts w:ascii="Calibri" w:eastAsia="Calibri" w:hAnsi="Calibri" w:cs="Calibri"/>
                <w:color w:val="000000"/>
              </w:rPr>
            </w:pPr>
            <w:r>
              <w:rPr>
                <w:rFonts w:ascii="Calibri" w:eastAsia="Calibri" w:hAnsi="Calibri" w:cs="Calibri"/>
                <w:color w:val="000000"/>
              </w:rPr>
              <w:t>Man United</w:t>
            </w:r>
          </w:p>
        </w:tc>
        <w:tc>
          <w:tcPr>
            <w:tcW w:w="1297" w:type="dxa"/>
            <w:tcBorders>
              <w:top w:val="nil"/>
              <w:left w:val="nil"/>
              <w:bottom w:val="single" w:sz="4" w:space="0" w:color="000000"/>
              <w:right w:val="single" w:sz="4" w:space="0" w:color="000000"/>
            </w:tcBorders>
            <w:shd w:val="clear" w:color="auto" w:fill="auto"/>
            <w:vAlign w:val="bottom"/>
          </w:tcPr>
          <w:p w14:paraId="26CCD0E3" w14:textId="77777777" w:rsidR="003A3BCA" w:rsidRDefault="008276B6">
            <w:pPr>
              <w:rPr>
                <w:rFonts w:ascii="Calibri" w:eastAsia="Calibri" w:hAnsi="Calibri" w:cs="Calibri"/>
                <w:color w:val="000000"/>
              </w:rPr>
            </w:pPr>
            <w:r>
              <w:rPr>
                <w:rFonts w:ascii="Calibri" w:eastAsia="Calibri" w:hAnsi="Calibri" w:cs="Calibri"/>
                <w:color w:val="000000"/>
              </w:rPr>
              <w:t>2017/2018</w:t>
            </w:r>
          </w:p>
        </w:tc>
        <w:tc>
          <w:tcPr>
            <w:tcW w:w="1955" w:type="dxa"/>
            <w:tcBorders>
              <w:top w:val="nil"/>
              <w:left w:val="nil"/>
              <w:bottom w:val="single" w:sz="4" w:space="0" w:color="000000"/>
              <w:right w:val="single" w:sz="4" w:space="0" w:color="000000"/>
            </w:tcBorders>
            <w:shd w:val="clear" w:color="auto" w:fill="auto"/>
            <w:vAlign w:val="bottom"/>
          </w:tcPr>
          <w:p w14:paraId="1A7654D5" w14:textId="77777777" w:rsidR="003A3BCA" w:rsidRDefault="008276B6">
            <w:pPr>
              <w:jc w:val="right"/>
              <w:rPr>
                <w:rFonts w:ascii="Calibri" w:eastAsia="Calibri" w:hAnsi="Calibri" w:cs="Calibri"/>
                <w:color w:val="000000"/>
              </w:rPr>
            </w:pPr>
            <w:r>
              <w:rPr>
                <w:rFonts w:ascii="Calibri" w:eastAsia="Calibri" w:hAnsi="Calibri" w:cs="Calibri"/>
                <w:color w:val="000000"/>
              </w:rPr>
              <w:t>54,7</w:t>
            </w:r>
          </w:p>
        </w:tc>
        <w:tc>
          <w:tcPr>
            <w:tcW w:w="915" w:type="dxa"/>
            <w:tcBorders>
              <w:top w:val="nil"/>
              <w:left w:val="nil"/>
              <w:bottom w:val="single" w:sz="4" w:space="0" w:color="000000"/>
              <w:right w:val="single" w:sz="4" w:space="0" w:color="000000"/>
            </w:tcBorders>
            <w:shd w:val="clear" w:color="auto" w:fill="auto"/>
            <w:vAlign w:val="bottom"/>
          </w:tcPr>
          <w:p w14:paraId="48A123FA" w14:textId="77777777" w:rsidR="003A3BCA" w:rsidRDefault="008276B6">
            <w:pPr>
              <w:jc w:val="right"/>
              <w:rPr>
                <w:rFonts w:ascii="Calibri" w:eastAsia="Calibri" w:hAnsi="Calibri" w:cs="Calibri"/>
                <w:color w:val="000000"/>
              </w:rPr>
            </w:pPr>
            <w:r>
              <w:rPr>
                <w:rFonts w:ascii="Calibri" w:eastAsia="Calibri" w:hAnsi="Calibri" w:cs="Calibri"/>
                <w:color w:val="000000"/>
              </w:rPr>
              <w:t>377</w:t>
            </w:r>
          </w:p>
        </w:tc>
        <w:tc>
          <w:tcPr>
            <w:tcW w:w="766" w:type="dxa"/>
            <w:tcBorders>
              <w:top w:val="nil"/>
              <w:left w:val="nil"/>
              <w:bottom w:val="single" w:sz="4" w:space="0" w:color="000000"/>
              <w:right w:val="single" w:sz="4" w:space="0" w:color="000000"/>
            </w:tcBorders>
            <w:shd w:val="clear" w:color="auto" w:fill="auto"/>
            <w:vAlign w:val="bottom"/>
          </w:tcPr>
          <w:p w14:paraId="68EE1B4A" w14:textId="77777777" w:rsidR="003A3BCA" w:rsidRDefault="008276B6">
            <w:pPr>
              <w:jc w:val="right"/>
              <w:rPr>
                <w:rFonts w:ascii="Calibri" w:eastAsia="Calibri" w:hAnsi="Calibri" w:cs="Calibri"/>
                <w:color w:val="000000"/>
              </w:rPr>
            </w:pPr>
            <w:r>
              <w:rPr>
                <w:rFonts w:ascii="Calibri" w:eastAsia="Calibri" w:hAnsi="Calibri" w:cs="Calibri"/>
                <w:color w:val="000000"/>
              </w:rPr>
              <w:t>11,3</w:t>
            </w:r>
          </w:p>
        </w:tc>
        <w:tc>
          <w:tcPr>
            <w:tcW w:w="989" w:type="dxa"/>
            <w:tcBorders>
              <w:top w:val="nil"/>
              <w:left w:val="nil"/>
              <w:bottom w:val="single" w:sz="4" w:space="0" w:color="000000"/>
              <w:right w:val="single" w:sz="4" w:space="0" w:color="000000"/>
            </w:tcBorders>
            <w:shd w:val="clear" w:color="auto" w:fill="auto"/>
            <w:vAlign w:val="bottom"/>
          </w:tcPr>
          <w:p w14:paraId="1199CE30" w14:textId="77777777" w:rsidR="003A3BCA" w:rsidRDefault="008276B6">
            <w:pPr>
              <w:jc w:val="right"/>
              <w:rPr>
                <w:rFonts w:ascii="Calibri" w:eastAsia="Calibri" w:hAnsi="Calibri" w:cs="Calibri"/>
                <w:color w:val="000000"/>
              </w:rPr>
            </w:pPr>
            <w:r>
              <w:rPr>
                <w:rFonts w:ascii="Calibri" w:eastAsia="Calibri" w:hAnsi="Calibri" w:cs="Calibri"/>
                <w:color w:val="000000"/>
              </w:rPr>
              <w:t>55,6</w:t>
            </w:r>
          </w:p>
        </w:tc>
        <w:tc>
          <w:tcPr>
            <w:tcW w:w="1377" w:type="dxa"/>
            <w:tcBorders>
              <w:top w:val="nil"/>
              <w:left w:val="nil"/>
              <w:bottom w:val="single" w:sz="4" w:space="0" w:color="000000"/>
              <w:right w:val="single" w:sz="4" w:space="0" w:color="000000"/>
            </w:tcBorders>
            <w:shd w:val="clear" w:color="auto" w:fill="auto"/>
            <w:vAlign w:val="bottom"/>
          </w:tcPr>
          <w:p w14:paraId="5487B4EB" w14:textId="77777777" w:rsidR="003A3BCA" w:rsidRDefault="008276B6">
            <w:pPr>
              <w:jc w:val="right"/>
              <w:rPr>
                <w:rFonts w:ascii="Calibri" w:eastAsia="Calibri" w:hAnsi="Calibri" w:cs="Calibri"/>
                <w:color w:val="000000"/>
              </w:rPr>
            </w:pPr>
            <w:r>
              <w:rPr>
                <w:rFonts w:ascii="Calibri" w:eastAsia="Calibri" w:hAnsi="Calibri" w:cs="Calibri"/>
                <w:color w:val="000000"/>
              </w:rPr>
              <w:t>-14,7</w:t>
            </w:r>
          </w:p>
        </w:tc>
        <w:tc>
          <w:tcPr>
            <w:tcW w:w="1052" w:type="dxa"/>
            <w:tcBorders>
              <w:top w:val="nil"/>
              <w:left w:val="nil"/>
              <w:bottom w:val="single" w:sz="4" w:space="0" w:color="000000"/>
              <w:right w:val="single" w:sz="4" w:space="0" w:color="000000"/>
            </w:tcBorders>
            <w:shd w:val="clear" w:color="auto" w:fill="auto"/>
            <w:vAlign w:val="bottom"/>
          </w:tcPr>
          <w:p w14:paraId="75347F06" w14:textId="77777777" w:rsidR="003A3BCA" w:rsidRDefault="008276B6">
            <w:pPr>
              <w:jc w:val="right"/>
              <w:rPr>
                <w:rFonts w:ascii="Calibri" w:eastAsia="Calibri" w:hAnsi="Calibri" w:cs="Calibri"/>
                <w:color w:val="000000"/>
              </w:rPr>
            </w:pPr>
            <w:r>
              <w:rPr>
                <w:rFonts w:ascii="Calibri" w:eastAsia="Calibri" w:hAnsi="Calibri" w:cs="Calibri"/>
                <w:color w:val="000000"/>
              </w:rPr>
              <w:t>2</w:t>
            </w:r>
          </w:p>
        </w:tc>
      </w:tr>
      <w:tr w:rsidR="003A3BCA" w14:paraId="5F2CBE95" w14:textId="77777777">
        <w:trPr>
          <w:trHeight w:val="697"/>
        </w:trPr>
        <w:tc>
          <w:tcPr>
            <w:tcW w:w="1377" w:type="dxa"/>
            <w:tcBorders>
              <w:top w:val="nil"/>
              <w:left w:val="single" w:sz="4" w:space="0" w:color="000000"/>
              <w:bottom w:val="single" w:sz="4" w:space="0" w:color="000000"/>
              <w:right w:val="single" w:sz="4" w:space="0" w:color="000000"/>
            </w:tcBorders>
            <w:shd w:val="clear" w:color="auto" w:fill="auto"/>
            <w:vAlign w:val="bottom"/>
          </w:tcPr>
          <w:p w14:paraId="05DFA207" w14:textId="77777777" w:rsidR="003A3BCA" w:rsidRDefault="008276B6">
            <w:pPr>
              <w:rPr>
                <w:rFonts w:ascii="Calibri" w:eastAsia="Calibri" w:hAnsi="Calibri" w:cs="Calibri"/>
                <w:color w:val="000000"/>
              </w:rPr>
            </w:pPr>
            <w:r>
              <w:rPr>
                <w:rFonts w:ascii="Calibri" w:eastAsia="Calibri" w:hAnsi="Calibri" w:cs="Calibri"/>
                <w:color w:val="000000"/>
              </w:rPr>
              <w:t>Man United</w:t>
            </w:r>
          </w:p>
        </w:tc>
        <w:tc>
          <w:tcPr>
            <w:tcW w:w="1297" w:type="dxa"/>
            <w:tcBorders>
              <w:top w:val="nil"/>
              <w:left w:val="nil"/>
              <w:bottom w:val="single" w:sz="4" w:space="0" w:color="000000"/>
              <w:right w:val="single" w:sz="4" w:space="0" w:color="000000"/>
            </w:tcBorders>
            <w:shd w:val="clear" w:color="auto" w:fill="auto"/>
            <w:vAlign w:val="bottom"/>
          </w:tcPr>
          <w:p w14:paraId="6F57A029" w14:textId="77777777" w:rsidR="003A3BCA" w:rsidRDefault="008276B6">
            <w:pPr>
              <w:rPr>
                <w:rFonts w:ascii="Calibri" w:eastAsia="Calibri" w:hAnsi="Calibri" w:cs="Calibri"/>
                <w:color w:val="000000"/>
              </w:rPr>
            </w:pPr>
            <w:r>
              <w:rPr>
                <w:rFonts w:ascii="Calibri" w:eastAsia="Calibri" w:hAnsi="Calibri" w:cs="Calibri"/>
                <w:color w:val="000000"/>
              </w:rPr>
              <w:t>2018/2019</w:t>
            </w:r>
          </w:p>
        </w:tc>
        <w:tc>
          <w:tcPr>
            <w:tcW w:w="1955" w:type="dxa"/>
            <w:tcBorders>
              <w:top w:val="nil"/>
              <w:left w:val="nil"/>
              <w:bottom w:val="single" w:sz="4" w:space="0" w:color="000000"/>
              <w:right w:val="single" w:sz="4" w:space="0" w:color="000000"/>
            </w:tcBorders>
            <w:shd w:val="clear" w:color="auto" w:fill="auto"/>
            <w:vAlign w:val="bottom"/>
          </w:tcPr>
          <w:p w14:paraId="0FA838E3" w14:textId="77777777" w:rsidR="003A3BCA" w:rsidRDefault="008276B6">
            <w:pPr>
              <w:jc w:val="right"/>
              <w:rPr>
                <w:rFonts w:ascii="Calibri" w:eastAsia="Calibri" w:hAnsi="Calibri" w:cs="Calibri"/>
                <w:color w:val="000000"/>
              </w:rPr>
            </w:pPr>
            <w:r>
              <w:rPr>
                <w:rFonts w:ascii="Calibri" w:eastAsia="Calibri" w:hAnsi="Calibri" w:cs="Calibri"/>
                <w:color w:val="000000"/>
              </w:rPr>
              <w:t>54,7</w:t>
            </w:r>
          </w:p>
        </w:tc>
        <w:tc>
          <w:tcPr>
            <w:tcW w:w="915" w:type="dxa"/>
            <w:tcBorders>
              <w:top w:val="nil"/>
              <w:left w:val="nil"/>
              <w:bottom w:val="single" w:sz="4" w:space="0" w:color="000000"/>
              <w:right w:val="single" w:sz="4" w:space="0" w:color="000000"/>
            </w:tcBorders>
            <w:shd w:val="clear" w:color="auto" w:fill="auto"/>
            <w:vAlign w:val="bottom"/>
          </w:tcPr>
          <w:p w14:paraId="439B16D6" w14:textId="77777777" w:rsidR="003A3BCA" w:rsidRDefault="008276B6">
            <w:pPr>
              <w:jc w:val="right"/>
              <w:rPr>
                <w:rFonts w:ascii="Calibri" w:eastAsia="Calibri" w:hAnsi="Calibri" w:cs="Calibri"/>
                <w:color w:val="000000"/>
              </w:rPr>
            </w:pPr>
            <w:r>
              <w:rPr>
                <w:rFonts w:ascii="Calibri" w:eastAsia="Calibri" w:hAnsi="Calibri" w:cs="Calibri"/>
                <w:color w:val="000000"/>
              </w:rPr>
              <w:t>381</w:t>
            </w:r>
          </w:p>
        </w:tc>
        <w:tc>
          <w:tcPr>
            <w:tcW w:w="766" w:type="dxa"/>
            <w:tcBorders>
              <w:top w:val="nil"/>
              <w:left w:val="nil"/>
              <w:bottom w:val="single" w:sz="4" w:space="0" w:color="000000"/>
              <w:right w:val="single" w:sz="4" w:space="0" w:color="000000"/>
            </w:tcBorders>
            <w:shd w:val="clear" w:color="auto" w:fill="auto"/>
            <w:vAlign w:val="bottom"/>
          </w:tcPr>
          <w:p w14:paraId="2FC7D653" w14:textId="77777777" w:rsidR="003A3BCA" w:rsidRDefault="008276B6">
            <w:pPr>
              <w:jc w:val="right"/>
              <w:rPr>
                <w:rFonts w:ascii="Calibri" w:eastAsia="Calibri" w:hAnsi="Calibri" w:cs="Calibri"/>
                <w:color w:val="000000"/>
              </w:rPr>
            </w:pPr>
            <w:r>
              <w:rPr>
                <w:rFonts w:ascii="Calibri" w:eastAsia="Calibri" w:hAnsi="Calibri" w:cs="Calibri"/>
                <w:color w:val="000000"/>
              </w:rPr>
              <w:t>3,6</w:t>
            </w:r>
          </w:p>
        </w:tc>
        <w:tc>
          <w:tcPr>
            <w:tcW w:w="989" w:type="dxa"/>
            <w:tcBorders>
              <w:top w:val="nil"/>
              <w:left w:val="nil"/>
              <w:bottom w:val="single" w:sz="4" w:space="0" w:color="000000"/>
              <w:right w:val="single" w:sz="4" w:space="0" w:color="000000"/>
            </w:tcBorders>
            <w:shd w:val="clear" w:color="auto" w:fill="auto"/>
            <w:vAlign w:val="bottom"/>
          </w:tcPr>
          <w:p w14:paraId="20760C0A" w14:textId="77777777" w:rsidR="003A3BCA" w:rsidRDefault="008276B6">
            <w:pPr>
              <w:jc w:val="right"/>
              <w:rPr>
                <w:rFonts w:ascii="Calibri" w:eastAsia="Calibri" w:hAnsi="Calibri" w:cs="Calibri"/>
                <w:color w:val="000000"/>
              </w:rPr>
            </w:pPr>
            <w:r>
              <w:rPr>
                <w:rFonts w:ascii="Calibri" w:eastAsia="Calibri" w:hAnsi="Calibri" w:cs="Calibri"/>
                <w:color w:val="000000"/>
              </w:rPr>
              <w:t>55,5</w:t>
            </w:r>
          </w:p>
        </w:tc>
        <w:tc>
          <w:tcPr>
            <w:tcW w:w="1377" w:type="dxa"/>
            <w:tcBorders>
              <w:top w:val="nil"/>
              <w:left w:val="nil"/>
              <w:bottom w:val="single" w:sz="4" w:space="0" w:color="000000"/>
              <w:right w:val="single" w:sz="4" w:space="0" w:color="000000"/>
            </w:tcBorders>
            <w:shd w:val="clear" w:color="auto" w:fill="auto"/>
            <w:vAlign w:val="bottom"/>
          </w:tcPr>
          <w:p w14:paraId="6BB8A5F6" w14:textId="77777777" w:rsidR="003A3BCA" w:rsidRDefault="008276B6">
            <w:pPr>
              <w:jc w:val="right"/>
              <w:rPr>
                <w:rFonts w:ascii="Calibri" w:eastAsia="Calibri" w:hAnsi="Calibri" w:cs="Calibri"/>
                <w:color w:val="000000"/>
              </w:rPr>
            </w:pPr>
            <w:r>
              <w:rPr>
                <w:rFonts w:ascii="Calibri" w:eastAsia="Calibri" w:hAnsi="Calibri" w:cs="Calibri"/>
                <w:color w:val="000000"/>
              </w:rPr>
              <w:t>0,4</w:t>
            </w:r>
          </w:p>
        </w:tc>
        <w:tc>
          <w:tcPr>
            <w:tcW w:w="1052" w:type="dxa"/>
            <w:tcBorders>
              <w:top w:val="nil"/>
              <w:left w:val="nil"/>
              <w:bottom w:val="single" w:sz="4" w:space="0" w:color="000000"/>
              <w:right w:val="single" w:sz="4" w:space="0" w:color="000000"/>
            </w:tcBorders>
            <w:shd w:val="clear" w:color="auto" w:fill="auto"/>
            <w:vAlign w:val="bottom"/>
          </w:tcPr>
          <w:p w14:paraId="25C3AF67" w14:textId="77777777" w:rsidR="003A3BCA" w:rsidRDefault="008276B6">
            <w:pPr>
              <w:jc w:val="right"/>
              <w:rPr>
                <w:rFonts w:ascii="Calibri" w:eastAsia="Calibri" w:hAnsi="Calibri" w:cs="Calibri"/>
                <w:color w:val="000000"/>
              </w:rPr>
            </w:pPr>
            <w:r>
              <w:rPr>
                <w:rFonts w:ascii="Calibri" w:eastAsia="Calibri" w:hAnsi="Calibri" w:cs="Calibri"/>
                <w:color w:val="000000"/>
              </w:rPr>
              <w:t>6</w:t>
            </w:r>
          </w:p>
        </w:tc>
      </w:tr>
      <w:tr w:rsidR="003A3BCA" w14:paraId="32BB650C" w14:textId="77777777">
        <w:trPr>
          <w:trHeight w:val="697"/>
        </w:trPr>
        <w:tc>
          <w:tcPr>
            <w:tcW w:w="1377" w:type="dxa"/>
            <w:tcBorders>
              <w:top w:val="nil"/>
              <w:left w:val="single" w:sz="4" w:space="0" w:color="000000"/>
              <w:bottom w:val="single" w:sz="4" w:space="0" w:color="000000"/>
              <w:right w:val="single" w:sz="4" w:space="0" w:color="000000"/>
            </w:tcBorders>
            <w:shd w:val="clear" w:color="auto" w:fill="auto"/>
            <w:vAlign w:val="bottom"/>
          </w:tcPr>
          <w:p w14:paraId="529854DC" w14:textId="77777777" w:rsidR="003A3BCA" w:rsidRDefault="008276B6">
            <w:pPr>
              <w:rPr>
                <w:rFonts w:ascii="Calibri" w:eastAsia="Calibri" w:hAnsi="Calibri" w:cs="Calibri"/>
                <w:color w:val="000000"/>
              </w:rPr>
            </w:pPr>
            <w:r>
              <w:rPr>
                <w:rFonts w:ascii="Calibri" w:eastAsia="Calibri" w:hAnsi="Calibri" w:cs="Calibri"/>
                <w:color w:val="000000"/>
              </w:rPr>
              <w:t>Man United</w:t>
            </w:r>
          </w:p>
        </w:tc>
        <w:tc>
          <w:tcPr>
            <w:tcW w:w="1297" w:type="dxa"/>
            <w:tcBorders>
              <w:top w:val="nil"/>
              <w:left w:val="nil"/>
              <w:bottom w:val="single" w:sz="4" w:space="0" w:color="000000"/>
              <w:right w:val="single" w:sz="4" w:space="0" w:color="000000"/>
            </w:tcBorders>
            <w:shd w:val="clear" w:color="auto" w:fill="auto"/>
            <w:vAlign w:val="bottom"/>
          </w:tcPr>
          <w:p w14:paraId="38FC69FE" w14:textId="77777777" w:rsidR="003A3BCA" w:rsidRDefault="008276B6">
            <w:pPr>
              <w:rPr>
                <w:rFonts w:ascii="Calibri" w:eastAsia="Calibri" w:hAnsi="Calibri" w:cs="Calibri"/>
                <w:color w:val="000000"/>
              </w:rPr>
            </w:pPr>
            <w:r>
              <w:rPr>
                <w:rFonts w:ascii="Calibri" w:eastAsia="Calibri" w:hAnsi="Calibri" w:cs="Calibri"/>
                <w:color w:val="000000"/>
              </w:rPr>
              <w:t>2019/2020</w:t>
            </w:r>
          </w:p>
        </w:tc>
        <w:tc>
          <w:tcPr>
            <w:tcW w:w="1955" w:type="dxa"/>
            <w:tcBorders>
              <w:top w:val="nil"/>
              <w:left w:val="nil"/>
              <w:bottom w:val="single" w:sz="4" w:space="0" w:color="000000"/>
              <w:right w:val="single" w:sz="4" w:space="0" w:color="000000"/>
            </w:tcBorders>
            <w:shd w:val="clear" w:color="auto" w:fill="auto"/>
            <w:vAlign w:val="bottom"/>
          </w:tcPr>
          <w:p w14:paraId="467B0898" w14:textId="77777777" w:rsidR="003A3BCA" w:rsidRDefault="008276B6">
            <w:pPr>
              <w:jc w:val="right"/>
              <w:rPr>
                <w:rFonts w:ascii="Calibri" w:eastAsia="Calibri" w:hAnsi="Calibri" w:cs="Calibri"/>
                <w:color w:val="000000"/>
              </w:rPr>
            </w:pPr>
            <w:r>
              <w:rPr>
                <w:rFonts w:ascii="Calibri" w:eastAsia="Calibri" w:hAnsi="Calibri" w:cs="Calibri"/>
                <w:color w:val="000000"/>
              </w:rPr>
              <w:t>55,8</w:t>
            </w:r>
          </w:p>
        </w:tc>
        <w:tc>
          <w:tcPr>
            <w:tcW w:w="915" w:type="dxa"/>
            <w:tcBorders>
              <w:top w:val="nil"/>
              <w:left w:val="nil"/>
              <w:bottom w:val="single" w:sz="4" w:space="0" w:color="000000"/>
              <w:right w:val="single" w:sz="4" w:space="0" w:color="000000"/>
            </w:tcBorders>
            <w:shd w:val="clear" w:color="auto" w:fill="auto"/>
            <w:vAlign w:val="bottom"/>
          </w:tcPr>
          <w:p w14:paraId="79058875" w14:textId="77777777" w:rsidR="003A3BCA" w:rsidRDefault="008276B6">
            <w:pPr>
              <w:jc w:val="right"/>
              <w:rPr>
                <w:rFonts w:ascii="Calibri" w:eastAsia="Calibri" w:hAnsi="Calibri" w:cs="Calibri"/>
                <w:color w:val="000000"/>
              </w:rPr>
            </w:pPr>
            <w:r>
              <w:rPr>
                <w:rFonts w:ascii="Calibri" w:eastAsia="Calibri" w:hAnsi="Calibri" w:cs="Calibri"/>
                <w:color w:val="000000"/>
              </w:rPr>
              <w:t>402</w:t>
            </w:r>
          </w:p>
        </w:tc>
        <w:tc>
          <w:tcPr>
            <w:tcW w:w="766" w:type="dxa"/>
            <w:tcBorders>
              <w:top w:val="nil"/>
              <w:left w:val="nil"/>
              <w:bottom w:val="single" w:sz="4" w:space="0" w:color="000000"/>
              <w:right w:val="single" w:sz="4" w:space="0" w:color="000000"/>
            </w:tcBorders>
            <w:shd w:val="clear" w:color="auto" w:fill="auto"/>
            <w:vAlign w:val="bottom"/>
          </w:tcPr>
          <w:p w14:paraId="6450D727" w14:textId="77777777" w:rsidR="003A3BCA" w:rsidRDefault="008276B6">
            <w:pPr>
              <w:jc w:val="right"/>
              <w:rPr>
                <w:rFonts w:ascii="Calibri" w:eastAsia="Calibri" w:hAnsi="Calibri" w:cs="Calibri"/>
                <w:color w:val="000000"/>
              </w:rPr>
            </w:pPr>
            <w:r>
              <w:rPr>
                <w:rFonts w:ascii="Calibri" w:eastAsia="Calibri" w:hAnsi="Calibri" w:cs="Calibri"/>
                <w:color w:val="000000"/>
              </w:rPr>
              <w:t>2,8</w:t>
            </w:r>
          </w:p>
        </w:tc>
        <w:tc>
          <w:tcPr>
            <w:tcW w:w="989" w:type="dxa"/>
            <w:tcBorders>
              <w:top w:val="nil"/>
              <w:left w:val="nil"/>
              <w:bottom w:val="single" w:sz="4" w:space="0" w:color="000000"/>
              <w:right w:val="single" w:sz="4" w:space="0" w:color="000000"/>
            </w:tcBorders>
            <w:shd w:val="clear" w:color="auto" w:fill="auto"/>
            <w:vAlign w:val="bottom"/>
          </w:tcPr>
          <w:p w14:paraId="0C5AEDAE" w14:textId="77777777" w:rsidR="003A3BCA" w:rsidRDefault="008276B6">
            <w:pPr>
              <w:jc w:val="right"/>
              <w:rPr>
                <w:rFonts w:ascii="Calibri" w:eastAsia="Calibri" w:hAnsi="Calibri" w:cs="Calibri"/>
                <w:color w:val="000000"/>
              </w:rPr>
            </w:pPr>
            <w:r>
              <w:rPr>
                <w:rFonts w:ascii="Calibri" w:eastAsia="Calibri" w:hAnsi="Calibri" w:cs="Calibri"/>
                <w:color w:val="000000"/>
              </w:rPr>
              <w:t>52,1</w:t>
            </w:r>
          </w:p>
        </w:tc>
        <w:tc>
          <w:tcPr>
            <w:tcW w:w="1377" w:type="dxa"/>
            <w:tcBorders>
              <w:top w:val="nil"/>
              <w:left w:val="nil"/>
              <w:bottom w:val="single" w:sz="4" w:space="0" w:color="000000"/>
              <w:right w:val="single" w:sz="4" w:space="0" w:color="000000"/>
            </w:tcBorders>
            <w:shd w:val="clear" w:color="auto" w:fill="auto"/>
            <w:vAlign w:val="bottom"/>
          </w:tcPr>
          <w:p w14:paraId="175CDF04" w14:textId="77777777" w:rsidR="003A3BCA" w:rsidRDefault="008276B6">
            <w:pPr>
              <w:jc w:val="right"/>
              <w:rPr>
                <w:rFonts w:ascii="Calibri" w:eastAsia="Calibri" w:hAnsi="Calibri" w:cs="Calibri"/>
                <w:color w:val="000000"/>
              </w:rPr>
            </w:pPr>
            <w:r>
              <w:rPr>
                <w:rFonts w:ascii="Calibri" w:eastAsia="Calibri" w:hAnsi="Calibri" w:cs="Calibri"/>
                <w:color w:val="000000"/>
              </w:rPr>
              <w:t>-2,7</w:t>
            </w:r>
          </w:p>
        </w:tc>
        <w:tc>
          <w:tcPr>
            <w:tcW w:w="1052" w:type="dxa"/>
            <w:tcBorders>
              <w:top w:val="nil"/>
              <w:left w:val="nil"/>
              <w:bottom w:val="single" w:sz="4" w:space="0" w:color="000000"/>
              <w:right w:val="single" w:sz="4" w:space="0" w:color="000000"/>
            </w:tcBorders>
            <w:shd w:val="clear" w:color="auto" w:fill="auto"/>
            <w:vAlign w:val="bottom"/>
          </w:tcPr>
          <w:p w14:paraId="60E455C6" w14:textId="77777777" w:rsidR="003A3BCA" w:rsidRDefault="008276B6">
            <w:pPr>
              <w:jc w:val="right"/>
              <w:rPr>
                <w:rFonts w:ascii="Calibri" w:eastAsia="Calibri" w:hAnsi="Calibri" w:cs="Calibri"/>
                <w:color w:val="000000"/>
              </w:rPr>
            </w:pPr>
            <w:r>
              <w:rPr>
                <w:rFonts w:ascii="Calibri" w:eastAsia="Calibri" w:hAnsi="Calibri" w:cs="Calibri"/>
                <w:color w:val="000000"/>
              </w:rPr>
              <w:t>3</w:t>
            </w:r>
          </w:p>
        </w:tc>
      </w:tr>
      <w:tr w:rsidR="003A3BCA" w14:paraId="5B1C1BEE" w14:textId="77777777">
        <w:trPr>
          <w:trHeight w:val="697"/>
        </w:trPr>
        <w:tc>
          <w:tcPr>
            <w:tcW w:w="1377" w:type="dxa"/>
            <w:tcBorders>
              <w:top w:val="nil"/>
              <w:left w:val="single" w:sz="4" w:space="0" w:color="000000"/>
              <w:bottom w:val="single" w:sz="4" w:space="0" w:color="000000"/>
              <w:right w:val="single" w:sz="4" w:space="0" w:color="000000"/>
            </w:tcBorders>
            <w:shd w:val="clear" w:color="auto" w:fill="auto"/>
            <w:vAlign w:val="bottom"/>
          </w:tcPr>
          <w:p w14:paraId="5A204836" w14:textId="77777777" w:rsidR="003A3BCA" w:rsidRDefault="008276B6">
            <w:pPr>
              <w:rPr>
                <w:rFonts w:ascii="Calibri" w:eastAsia="Calibri" w:hAnsi="Calibri" w:cs="Calibri"/>
                <w:color w:val="000000"/>
              </w:rPr>
            </w:pPr>
            <w:r>
              <w:rPr>
                <w:rFonts w:ascii="Calibri" w:eastAsia="Calibri" w:hAnsi="Calibri" w:cs="Calibri"/>
                <w:color w:val="000000"/>
              </w:rPr>
              <w:t>Man United</w:t>
            </w:r>
          </w:p>
        </w:tc>
        <w:tc>
          <w:tcPr>
            <w:tcW w:w="1297" w:type="dxa"/>
            <w:tcBorders>
              <w:top w:val="nil"/>
              <w:left w:val="nil"/>
              <w:bottom w:val="single" w:sz="4" w:space="0" w:color="000000"/>
              <w:right w:val="single" w:sz="4" w:space="0" w:color="000000"/>
            </w:tcBorders>
            <w:shd w:val="clear" w:color="auto" w:fill="auto"/>
            <w:vAlign w:val="bottom"/>
          </w:tcPr>
          <w:p w14:paraId="237F2B11" w14:textId="77777777" w:rsidR="003A3BCA" w:rsidRDefault="008276B6">
            <w:pPr>
              <w:rPr>
                <w:rFonts w:ascii="Calibri" w:eastAsia="Calibri" w:hAnsi="Calibri" w:cs="Calibri"/>
                <w:color w:val="000000"/>
              </w:rPr>
            </w:pPr>
            <w:r>
              <w:rPr>
                <w:rFonts w:ascii="Calibri" w:eastAsia="Calibri" w:hAnsi="Calibri" w:cs="Calibri"/>
                <w:color w:val="000000"/>
              </w:rPr>
              <w:t>2020/2021</w:t>
            </w:r>
          </w:p>
        </w:tc>
        <w:tc>
          <w:tcPr>
            <w:tcW w:w="1955" w:type="dxa"/>
            <w:tcBorders>
              <w:top w:val="nil"/>
              <w:left w:val="nil"/>
              <w:bottom w:val="single" w:sz="4" w:space="0" w:color="000000"/>
              <w:right w:val="single" w:sz="4" w:space="0" w:color="000000"/>
            </w:tcBorders>
            <w:shd w:val="clear" w:color="auto" w:fill="auto"/>
            <w:vAlign w:val="bottom"/>
          </w:tcPr>
          <w:p w14:paraId="60A3F0C8" w14:textId="77777777" w:rsidR="003A3BCA" w:rsidRDefault="008276B6">
            <w:pPr>
              <w:jc w:val="right"/>
              <w:rPr>
                <w:rFonts w:ascii="Calibri" w:eastAsia="Calibri" w:hAnsi="Calibri" w:cs="Calibri"/>
                <w:color w:val="000000"/>
              </w:rPr>
            </w:pPr>
            <w:r>
              <w:rPr>
                <w:rFonts w:ascii="Calibri" w:eastAsia="Calibri" w:hAnsi="Calibri" w:cs="Calibri"/>
                <w:color w:val="000000"/>
              </w:rPr>
              <w:t>55,7</w:t>
            </w:r>
          </w:p>
        </w:tc>
        <w:tc>
          <w:tcPr>
            <w:tcW w:w="915" w:type="dxa"/>
            <w:tcBorders>
              <w:top w:val="nil"/>
              <w:left w:val="nil"/>
              <w:bottom w:val="single" w:sz="4" w:space="0" w:color="000000"/>
              <w:right w:val="single" w:sz="4" w:space="0" w:color="000000"/>
            </w:tcBorders>
            <w:shd w:val="clear" w:color="auto" w:fill="auto"/>
            <w:vAlign w:val="bottom"/>
          </w:tcPr>
          <w:p w14:paraId="0C591F0C" w14:textId="77777777" w:rsidR="003A3BCA" w:rsidRDefault="008276B6">
            <w:pPr>
              <w:jc w:val="right"/>
              <w:rPr>
                <w:rFonts w:ascii="Calibri" w:eastAsia="Calibri" w:hAnsi="Calibri" w:cs="Calibri"/>
                <w:color w:val="000000"/>
              </w:rPr>
            </w:pPr>
            <w:r>
              <w:rPr>
                <w:rFonts w:ascii="Calibri" w:eastAsia="Calibri" w:hAnsi="Calibri" w:cs="Calibri"/>
                <w:color w:val="000000"/>
              </w:rPr>
              <w:t>414</w:t>
            </w:r>
          </w:p>
        </w:tc>
        <w:tc>
          <w:tcPr>
            <w:tcW w:w="766" w:type="dxa"/>
            <w:tcBorders>
              <w:top w:val="nil"/>
              <w:left w:val="nil"/>
              <w:bottom w:val="single" w:sz="4" w:space="0" w:color="000000"/>
              <w:right w:val="single" w:sz="4" w:space="0" w:color="000000"/>
            </w:tcBorders>
            <w:shd w:val="clear" w:color="auto" w:fill="auto"/>
            <w:vAlign w:val="bottom"/>
          </w:tcPr>
          <w:p w14:paraId="5208C289" w14:textId="77777777" w:rsidR="003A3BCA" w:rsidRDefault="008276B6">
            <w:pPr>
              <w:jc w:val="right"/>
              <w:rPr>
                <w:rFonts w:ascii="Calibri" w:eastAsia="Calibri" w:hAnsi="Calibri" w:cs="Calibri"/>
                <w:color w:val="000000"/>
              </w:rPr>
            </w:pPr>
            <w:r>
              <w:rPr>
                <w:rFonts w:ascii="Calibri" w:eastAsia="Calibri" w:hAnsi="Calibri" w:cs="Calibri"/>
                <w:color w:val="000000"/>
              </w:rPr>
              <w:t>9,9</w:t>
            </w:r>
          </w:p>
        </w:tc>
        <w:tc>
          <w:tcPr>
            <w:tcW w:w="989" w:type="dxa"/>
            <w:tcBorders>
              <w:top w:val="nil"/>
              <w:left w:val="nil"/>
              <w:bottom w:val="single" w:sz="4" w:space="0" w:color="000000"/>
              <w:right w:val="single" w:sz="4" w:space="0" w:color="000000"/>
            </w:tcBorders>
            <w:shd w:val="clear" w:color="auto" w:fill="auto"/>
            <w:vAlign w:val="bottom"/>
          </w:tcPr>
          <w:p w14:paraId="351BDDEF" w14:textId="77777777" w:rsidR="003A3BCA" w:rsidRDefault="008276B6">
            <w:pPr>
              <w:jc w:val="right"/>
              <w:rPr>
                <w:rFonts w:ascii="Calibri" w:eastAsia="Calibri" w:hAnsi="Calibri" w:cs="Calibri"/>
                <w:color w:val="000000"/>
              </w:rPr>
            </w:pPr>
            <w:r>
              <w:rPr>
                <w:rFonts w:ascii="Calibri" w:eastAsia="Calibri" w:hAnsi="Calibri" w:cs="Calibri"/>
                <w:color w:val="000000"/>
              </w:rPr>
              <w:t>56,9</w:t>
            </w:r>
          </w:p>
        </w:tc>
        <w:tc>
          <w:tcPr>
            <w:tcW w:w="1377" w:type="dxa"/>
            <w:tcBorders>
              <w:top w:val="nil"/>
              <w:left w:val="nil"/>
              <w:bottom w:val="single" w:sz="4" w:space="0" w:color="000000"/>
              <w:right w:val="single" w:sz="4" w:space="0" w:color="000000"/>
            </w:tcBorders>
            <w:shd w:val="clear" w:color="auto" w:fill="auto"/>
            <w:vAlign w:val="bottom"/>
          </w:tcPr>
          <w:p w14:paraId="091DDD57" w14:textId="77777777" w:rsidR="003A3BCA" w:rsidRDefault="008276B6">
            <w:pPr>
              <w:jc w:val="right"/>
              <w:rPr>
                <w:rFonts w:ascii="Calibri" w:eastAsia="Calibri" w:hAnsi="Calibri" w:cs="Calibri"/>
                <w:color w:val="000000"/>
              </w:rPr>
            </w:pPr>
            <w:r>
              <w:rPr>
                <w:rFonts w:ascii="Calibri" w:eastAsia="Calibri" w:hAnsi="Calibri" w:cs="Calibri"/>
                <w:color w:val="000000"/>
              </w:rPr>
              <w:t>0,5</w:t>
            </w:r>
          </w:p>
        </w:tc>
        <w:tc>
          <w:tcPr>
            <w:tcW w:w="1052" w:type="dxa"/>
            <w:tcBorders>
              <w:top w:val="nil"/>
              <w:left w:val="nil"/>
              <w:bottom w:val="single" w:sz="4" w:space="0" w:color="000000"/>
              <w:right w:val="single" w:sz="4" w:space="0" w:color="000000"/>
            </w:tcBorders>
            <w:shd w:val="clear" w:color="auto" w:fill="auto"/>
            <w:vAlign w:val="bottom"/>
          </w:tcPr>
          <w:p w14:paraId="59C0F8F8" w14:textId="77777777" w:rsidR="003A3BCA" w:rsidRDefault="008276B6">
            <w:pPr>
              <w:jc w:val="right"/>
              <w:rPr>
                <w:rFonts w:ascii="Calibri" w:eastAsia="Calibri" w:hAnsi="Calibri" w:cs="Calibri"/>
                <w:color w:val="000000"/>
              </w:rPr>
            </w:pPr>
            <w:r>
              <w:rPr>
                <w:rFonts w:ascii="Calibri" w:eastAsia="Calibri" w:hAnsi="Calibri" w:cs="Calibri"/>
                <w:color w:val="000000"/>
              </w:rPr>
              <w:t>2</w:t>
            </w:r>
          </w:p>
        </w:tc>
      </w:tr>
      <w:tr w:rsidR="003A3BCA" w14:paraId="38F2E060" w14:textId="77777777">
        <w:trPr>
          <w:trHeight w:val="697"/>
        </w:trPr>
        <w:tc>
          <w:tcPr>
            <w:tcW w:w="1377" w:type="dxa"/>
            <w:tcBorders>
              <w:top w:val="nil"/>
              <w:left w:val="single" w:sz="4" w:space="0" w:color="000000"/>
              <w:bottom w:val="single" w:sz="4" w:space="0" w:color="000000"/>
              <w:right w:val="single" w:sz="4" w:space="0" w:color="000000"/>
            </w:tcBorders>
            <w:shd w:val="clear" w:color="auto" w:fill="auto"/>
            <w:vAlign w:val="bottom"/>
          </w:tcPr>
          <w:p w14:paraId="6068717F" w14:textId="77777777" w:rsidR="003A3BCA" w:rsidRDefault="008276B6">
            <w:pPr>
              <w:rPr>
                <w:rFonts w:ascii="Calibri" w:eastAsia="Calibri" w:hAnsi="Calibri" w:cs="Calibri"/>
                <w:color w:val="000000"/>
              </w:rPr>
            </w:pPr>
            <w:r>
              <w:rPr>
                <w:rFonts w:ascii="Calibri" w:eastAsia="Calibri" w:hAnsi="Calibri" w:cs="Calibri"/>
                <w:color w:val="000000"/>
              </w:rPr>
              <w:t>Man United</w:t>
            </w:r>
          </w:p>
        </w:tc>
        <w:tc>
          <w:tcPr>
            <w:tcW w:w="1297" w:type="dxa"/>
            <w:tcBorders>
              <w:top w:val="nil"/>
              <w:left w:val="nil"/>
              <w:bottom w:val="single" w:sz="4" w:space="0" w:color="000000"/>
              <w:right w:val="single" w:sz="4" w:space="0" w:color="000000"/>
            </w:tcBorders>
            <w:shd w:val="clear" w:color="auto" w:fill="auto"/>
            <w:vAlign w:val="bottom"/>
          </w:tcPr>
          <w:p w14:paraId="21D6EE87" w14:textId="77777777" w:rsidR="003A3BCA" w:rsidRDefault="008276B6">
            <w:pPr>
              <w:rPr>
                <w:rFonts w:ascii="Calibri" w:eastAsia="Calibri" w:hAnsi="Calibri" w:cs="Calibri"/>
                <w:color w:val="000000"/>
              </w:rPr>
            </w:pPr>
            <w:r>
              <w:rPr>
                <w:rFonts w:ascii="Calibri" w:eastAsia="Calibri" w:hAnsi="Calibri" w:cs="Calibri"/>
                <w:color w:val="000000"/>
              </w:rPr>
              <w:t>2021/2022</w:t>
            </w:r>
          </w:p>
        </w:tc>
        <w:tc>
          <w:tcPr>
            <w:tcW w:w="1955" w:type="dxa"/>
            <w:tcBorders>
              <w:top w:val="nil"/>
              <w:left w:val="nil"/>
              <w:bottom w:val="single" w:sz="4" w:space="0" w:color="000000"/>
              <w:right w:val="single" w:sz="4" w:space="0" w:color="000000"/>
            </w:tcBorders>
            <w:shd w:val="clear" w:color="auto" w:fill="auto"/>
            <w:vAlign w:val="bottom"/>
          </w:tcPr>
          <w:p w14:paraId="4D897F45" w14:textId="77777777" w:rsidR="003A3BCA" w:rsidRDefault="008276B6">
            <w:pPr>
              <w:jc w:val="right"/>
              <w:rPr>
                <w:rFonts w:ascii="Calibri" w:eastAsia="Calibri" w:hAnsi="Calibri" w:cs="Calibri"/>
                <w:color w:val="000000"/>
              </w:rPr>
            </w:pPr>
            <w:r>
              <w:rPr>
                <w:rFonts w:ascii="Calibri" w:eastAsia="Calibri" w:hAnsi="Calibri" w:cs="Calibri"/>
                <w:color w:val="000000"/>
              </w:rPr>
              <w:t>52,7</w:t>
            </w:r>
          </w:p>
        </w:tc>
        <w:tc>
          <w:tcPr>
            <w:tcW w:w="915" w:type="dxa"/>
            <w:tcBorders>
              <w:top w:val="nil"/>
              <w:left w:val="nil"/>
              <w:bottom w:val="single" w:sz="4" w:space="0" w:color="000000"/>
              <w:right w:val="single" w:sz="4" w:space="0" w:color="000000"/>
            </w:tcBorders>
            <w:shd w:val="clear" w:color="auto" w:fill="auto"/>
            <w:vAlign w:val="bottom"/>
          </w:tcPr>
          <w:p w14:paraId="2EE445D2" w14:textId="77777777" w:rsidR="003A3BCA" w:rsidRDefault="008276B6">
            <w:pPr>
              <w:jc w:val="right"/>
              <w:rPr>
                <w:rFonts w:ascii="Calibri" w:eastAsia="Calibri" w:hAnsi="Calibri" w:cs="Calibri"/>
                <w:color w:val="000000"/>
              </w:rPr>
            </w:pPr>
            <w:r>
              <w:rPr>
                <w:rFonts w:ascii="Calibri" w:eastAsia="Calibri" w:hAnsi="Calibri" w:cs="Calibri"/>
                <w:color w:val="000000"/>
              </w:rPr>
              <w:t>407</w:t>
            </w:r>
          </w:p>
        </w:tc>
        <w:tc>
          <w:tcPr>
            <w:tcW w:w="766" w:type="dxa"/>
            <w:tcBorders>
              <w:top w:val="nil"/>
              <w:left w:val="nil"/>
              <w:bottom w:val="single" w:sz="4" w:space="0" w:color="000000"/>
              <w:right w:val="single" w:sz="4" w:space="0" w:color="000000"/>
            </w:tcBorders>
            <w:shd w:val="clear" w:color="auto" w:fill="auto"/>
            <w:vAlign w:val="bottom"/>
          </w:tcPr>
          <w:p w14:paraId="06575545" w14:textId="77777777" w:rsidR="003A3BCA" w:rsidRDefault="008276B6">
            <w:pPr>
              <w:jc w:val="right"/>
              <w:rPr>
                <w:rFonts w:ascii="Calibri" w:eastAsia="Calibri" w:hAnsi="Calibri" w:cs="Calibri"/>
                <w:color w:val="000000"/>
              </w:rPr>
            </w:pPr>
            <w:r>
              <w:rPr>
                <w:rFonts w:ascii="Calibri" w:eastAsia="Calibri" w:hAnsi="Calibri" w:cs="Calibri"/>
                <w:color w:val="000000"/>
              </w:rPr>
              <w:t>0,2</w:t>
            </w:r>
          </w:p>
        </w:tc>
        <w:tc>
          <w:tcPr>
            <w:tcW w:w="989" w:type="dxa"/>
            <w:tcBorders>
              <w:top w:val="nil"/>
              <w:left w:val="nil"/>
              <w:bottom w:val="single" w:sz="4" w:space="0" w:color="000000"/>
              <w:right w:val="single" w:sz="4" w:space="0" w:color="000000"/>
            </w:tcBorders>
            <w:shd w:val="clear" w:color="auto" w:fill="auto"/>
            <w:vAlign w:val="bottom"/>
          </w:tcPr>
          <w:p w14:paraId="5F6EF295" w14:textId="77777777" w:rsidR="003A3BCA" w:rsidRDefault="008276B6">
            <w:pPr>
              <w:jc w:val="right"/>
              <w:rPr>
                <w:rFonts w:ascii="Calibri" w:eastAsia="Calibri" w:hAnsi="Calibri" w:cs="Calibri"/>
                <w:color w:val="000000"/>
              </w:rPr>
            </w:pPr>
            <w:r>
              <w:rPr>
                <w:rFonts w:ascii="Calibri" w:eastAsia="Calibri" w:hAnsi="Calibri" w:cs="Calibri"/>
                <w:color w:val="000000"/>
              </w:rPr>
              <w:t>55,6</w:t>
            </w:r>
          </w:p>
        </w:tc>
        <w:tc>
          <w:tcPr>
            <w:tcW w:w="1377" w:type="dxa"/>
            <w:tcBorders>
              <w:top w:val="nil"/>
              <w:left w:val="nil"/>
              <w:bottom w:val="single" w:sz="4" w:space="0" w:color="000000"/>
              <w:right w:val="single" w:sz="4" w:space="0" w:color="000000"/>
            </w:tcBorders>
            <w:shd w:val="clear" w:color="auto" w:fill="auto"/>
            <w:vAlign w:val="bottom"/>
          </w:tcPr>
          <w:p w14:paraId="3E5D3903" w14:textId="77777777" w:rsidR="003A3BCA" w:rsidRDefault="008276B6">
            <w:pPr>
              <w:jc w:val="right"/>
              <w:rPr>
                <w:rFonts w:ascii="Calibri" w:eastAsia="Calibri" w:hAnsi="Calibri" w:cs="Calibri"/>
                <w:color w:val="000000"/>
              </w:rPr>
            </w:pPr>
            <w:r>
              <w:rPr>
                <w:rFonts w:ascii="Calibri" w:eastAsia="Calibri" w:hAnsi="Calibri" w:cs="Calibri"/>
                <w:color w:val="000000"/>
              </w:rPr>
              <w:t>1</w:t>
            </w:r>
          </w:p>
        </w:tc>
        <w:tc>
          <w:tcPr>
            <w:tcW w:w="1052" w:type="dxa"/>
            <w:tcBorders>
              <w:top w:val="nil"/>
              <w:left w:val="nil"/>
              <w:bottom w:val="single" w:sz="4" w:space="0" w:color="000000"/>
              <w:right w:val="single" w:sz="4" w:space="0" w:color="000000"/>
            </w:tcBorders>
            <w:shd w:val="clear" w:color="auto" w:fill="auto"/>
            <w:vAlign w:val="bottom"/>
          </w:tcPr>
          <w:p w14:paraId="1960FDBC" w14:textId="77777777" w:rsidR="003A3BCA" w:rsidRDefault="008276B6">
            <w:pPr>
              <w:jc w:val="right"/>
              <w:rPr>
                <w:rFonts w:ascii="Calibri" w:eastAsia="Calibri" w:hAnsi="Calibri" w:cs="Calibri"/>
                <w:color w:val="000000"/>
              </w:rPr>
            </w:pPr>
            <w:r>
              <w:rPr>
                <w:rFonts w:ascii="Calibri" w:eastAsia="Calibri" w:hAnsi="Calibri" w:cs="Calibri"/>
                <w:color w:val="000000"/>
              </w:rPr>
              <w:t>6</w:t>
            </w:r>
          </w:p>
        </w:tc>
      </w:tr>
    </w:tbl>
    <w:p w14:paraId="58969CDD" w14:textId="77777777" w:rsidR="003A3BCA" w:rsidRDefault="008276B6">
      <w:pPr>
        <w:pBdr>
          <w:top w:val="nil"/>
          <w:left w:val="nil"/>
          <w:bottom w:val="nil"/>
          <w:right w:val="nil"/>
          <w:between w:val="nil"/>
        </w:pBdr>
        <w:spacing w:after="200"/>
        <w:rPr>
          <w:i/>
          <w:color w:val="44546A"/>
          <w:sz w:val="18"/>
          <w:szCs w:val="18"/>
        </w:rPr>
      </w:pPr>
      <w:r>
        <w:rPr>
          <w:rFonts w:ascii="Calibri" w:eastAsia="Calibri" w:hAnsi="Calibri" w:cs="Calibri"/>
          <w:i/>
          <w:color w:val="44546A"/>
          <w:sz w:val="18"/>
          <w:szCs w:val="18"/>
        </w:rPr>
        <w:t>Table 3. Breakdown of Manchester United's performance by performance variables</w:t>
      </w:r>
    </w:p>
    <w:p w14:paraId="250CA9E5" w14:textId="2B5653CE" w:rsidR="003A3BCA" w:rsidRDefault="008276B6">
      <w:pPr>
        <w:spacing w:line="360" w:lineRule="auto"/>
        <w:ind w:firstLine="720"/>
        <w:jc w:val="both"/>
      </w:pPr>
      <w:r>
        <w:t xml:space="preserve">So, as it can be seen, United’s performance statistics have been all over the place during the last 5 seasons. The club has </w:t>
      </w:r>
      <w:proofErr w:type="gramStart"/>
      <w:r>
        <w:t>definitely improved</w:t>
      </w:r>
      <w:proofErr w:type="gramEnd"/>
      <w:r>
        <w:t xml:space="preserve"> in terms of being able to control the tempo of the game, as there was a constant increase in possession of the ball up until last season. Similar things could be said about the club’s ability to unlock the defenses of other teams and create more chances at goal. On the contrary, a negative trend could be observed – the club gradually became very inefficient in front of the opposition goal, as the players started to need much more chances to convert into goals, which is something no team wants. Similarly, its defense has regressed a lot – the team gradually started conceding more goals than it should’ve, implying an inefficient defensive performance from the team. The team’s final position in the league has also been very inconsistent. After a very poor 2018/2019 season, the club gradually </w:t>
      </w:r>
      <w:r>
        <w:lastRenderedPageBreak/>
        <w:t xml:space="preserve">improved its position two years in a row, before going back to square one again. It must be said, however, that although from this table it could be seen that the club’s performances have been inconsistent, this could be due to an overall inconsistency in the whole league. The only consistent thing from United during those five seasons has been their ability to win aerial duels, which helps with both </w:t>
      </w:r>
      <w:r w:rsidR="00990FC4">
        <w:t>the d</w:t>
      </w:r>
      <w:r>
        <w:t xml:space="preserve">efensive efficiency, as well as controlling the tempo and direction of games. </w:t>
      </w:r>
    </w:p>
    <w:tbl>
      <w:tblPr>
        <w:tblStyle w:val="a2"/>
        <w:tblW w:w="9047" w:type="dxa"/>
        <w:tblLayout w:type="fixed"/>
        <w:tblLook w:val="0400" w:firstRow="0" w:lastRow="0" w:firstColumn="0" w:lastColumn="0" w:noHBand="0" w:noVBand="1"/>
      </w:tblPr>
      <w:tblGrid>
        <w:gridCol w:w="1520"/>
        <w:gridCol w:w="2303"/>
        <w:gridCol w:w="1077"/>
        <w:gridCol w:w="885"/>
        <w:gridCol w:w="1638"/>
        <w:gridCol w:w="1624"/>
      </w:tblGrid>
      <w:tr w:rsidR="003A3BCA" w14:paraId="3AD0B407" w14:textId="77777777">
        <w:trPr>
          <w:trHeight w:val="482"/>
        </w:trPr>
        <w:tc>
          <w:tcPr>
            <w:tcW w:w="15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DE8756" w14:textId="77777777" w:rsidR="003A3BCA" w:rsidRDefault="008276B6">
            <w:pPr>
              <w:jc w:val="center"/>
              <w:rPr>
                <w:rFonts w:ascii="Calibri" w:eastAsia="Calibri" w:hAnsi="Calibri" w:cs="Calibri"/>
                <w:b/>
                <w:color w:val="000000"/>
              </w:rPr>
            </w:pPr>
            <w:r>
              <w:rPr>
                <w:rFonts w:ascii="Calibri" w:eastAsia="Calibri" w:hAnsi="Calibri" w:cs="Calibri"/>
                <w:b/>
                <w:color w:val="000000"/>
              </w:rPr>
              <w:t>Rank within league</w:t>
            </w:r>
          </w:p>
        </w:tc>
        <w:tc>
          <w:tcPr>
            <w:tcW w:w="2303" w:type="dxa"/>
            <w:tcBorders>
              <w:top w:val="single" w:sz="4" w:space="0" w:color="000000"/>
              <w:left w:val="nil"/>
              <w:bottom w:val="single" w:sz="4" w:space="0" w:color="000000"/>
              <w:right w:val="single" w:sz="4" w:space="0" w:color="000000"/>
            </w:tcBorders>
            <w:shd w:val="clear" w:color="auto" w:fill="auto"/>
            <w:vAlign w:val="center"/>
          </w:tcPr>
          <w:p w14:paraId="00FAE396" w14:textId="77777777" w:rsidR="003A3BCA" w:rsidRDefault="008276B6">
            <w:pPr>
              <w:jc w:val="center"/>
              <w:rPr>
                <w:rFonts w:ascii="Calibri" w:eastAsia="Calibri" w:hAnsi="Calibri" w:cs="Calibri"/>
                <w:b/>
                <w:color w:val="000000"/>
              </w:rPr>
            </w:pPr>
            <w:r>
              <w:rPr>
                <w:rFonts w:ascii="Calibri" w:eastAsia="Calibri" w:hAnsi="Calibri" w:cs="Calibri"/>
                <w:b/>
                <w:color w:val="000000"/>
              </w:rPr>
              <w:t>Possession %</w:t>
            </w:r>
          </w:p>
        </w:tc>
        <w:tc>
          <w:tcPr>
            <w:tcW w:w="1077" w:type="dxa"/>
            <w:tcBorders>
              <w:top w:val="single" w:sz="4" w:space="0" w:color="000000"/>
              <w:left w:val="nil"/>
              <w:bottom w:val="single" w:sz="4" w:space="0" w:color="000000"/>
              <w:right w:val="single" w:sz="4" w:space="0" w:color="000000"/>
            </w:tcBorders>
            <w:shd w:val="clear" w:color="auto" w:fill="auto"/>
            <w:vAlign w:val="center"/>
          </w:tcPr>
          <w:p w14:paraId="33F98FFD" w14:textId="77777777" w:rsidR="003A3BCA" w:rsidRDefault="008276B6">
            <w:pPr>
              <w:jc w:val="center"/>
              <w:rPr>
                <w:rFonts w:ascii="Calibri" w:eastAsia="Calibri" w:hAnsi="Calibri" w:cs="Calibri"/>
                <w:b/>
                <w:color w:val="000000"/>
              </w:rPr>
            </w:pPr>
            <w:r>
              <w:rPr>
                <w:rFonts w:ascii="Calibri" w:eastAsia="Calibri" w:hAnsi="Calibri" w:cs="Calibri"/>
                <w:b/>
                <w:color w:val="000000"/>
              </w:rPr>
              <w:t>Key Passes</w:t>
            </w:r>
          </w:p>
        </w:tc>
        <w:tc>
          <w:tcPr>
            <w:tcW w:w="885" w:type="dxa"/>
            <w:tcBorders>
              <w:top w:val="single" w:sz="4" w:space="0" w:color="000000"/>
              <w:left w:val="nil"/>
              <w:bottom w:val="single" w:sz="4" w:space="0" w:color="000000"/>
              <w:right w:val="single" w:sz="4" w:space="0" w:color="000000"/>
            </w:tcBorders>
            <w:shd w:val="clear" w:color="auto" w:fill="auto"/>
            <w:vAlign w:val="center"/>
          </w:tcPr>
          <w:p w14:paraId="0815B3FB" w14:textId="77777777" w:rsidR="003A3BCA" w:rsidRDefault="008276B6">
            <w:pPr>
              <w:jc w:val="center"/>
              <w:rPr>
                <w:rFonts w:ascii="Calibri" w:eastAsia="Calibri" w:hAnsi="Calibri" w:cs="Calibri"/>
                <w:b/>
                <w:color w:val="000000"/>
              </w:rPr>
            </w:pPr>
            <w:r>
              <w:rPr>
                <w:rFonts w:ascii="Calibri" w:eastAsia="Calibri" w:hAnsi="Calibri" w:cs="Calibri"/>
                <w:b/>
                <w:color w:val="000000"/>
              </w:rPr>
              <w:t xml:space="preserve">Goals - </w:t>
            </w:r>
            <w:proofErr w:type="spellStart"/>
            <w:r>
              <w:rPr>
                <w:rFonts w:ascii="Calibri" w:eastAsia="Calibri" w:hAnsi="Calibri" w:cs="Calibri"/>
                <w:b/>
                <w:color w:val="000000"/>
              </w:rPr>
              <w:t>xG</w:t>
            </w:r>
            <w:proofErr w:type="spellEnd"/>
          </w:p>
        </w:tc>
        <w:tc>
          <w:tcPr>
            <w:tcW w:w="1638" w:type="dxa"/>
            <w:tcBorders>
              <w:top w:val="single" w:sz="4" w:space="0" w:color="000000"/>
              <w:left w:val="nil"/>
              <w:bottom w:val="single" w:sz="4" w:space="0" w:color="000000"/>
              <w:right w:val="single" w:sz="4" w:space="0" w:color="000000"/>
            </w:tcBorders>
            <w:shd w:val="clear" w:color="auto" w:fill="auto"/>
            <w:vAlign w:val="center"/>
          </w:tcPr>
          <w:p w14:paraId="43A665B5" w14:textId="77777777" w:rsidR="003A3BCA" w:rsidRDefault="008276B6">
            <w:pPr>
              <w:jc w:val="center"/>
              <w:rPr>
                <w:rFonts w:ascii="Calibri" w:eastAsia="Calibri" w:hAnsi="Calibri" w:cs="Calibri"/>
                <w:b/>
                <w:color w:val="000000"/>
              </w:rPr>
            </w:pPr>
            <w:r>
              <w:rPr>
                <w:rFonts w:ascii="Calibri" w:eastAsia="Calibri" w:hAnsi="Calibri" w:cs="Calibri"/>
                <w:b/>
                <w:color w:val="000000"/>
              </w:rPr>
              <w:t>Aerials Won %</w:t>
            </w:r>
          </w:p>
        </w:tc>
        <w:tc>
          <w:tcPr>
            <w:tcW w:w="1624" w:type="dxa"/>
            <w:tcBorders>
              <w:top w:val="single" w:sz="4" w:space="0" w:color="000000"/>
              <w:left w:val="nil"/>
              <w:bottom w:val="single" w:sz="4" w:space="0" w:color="000000"/>
              <w:right w:val="single" w:sz="4" w:space="0" w:color="000000"/>
            </w:tcBorders>
            <w:shd w:val="clear" w:color="auto" w:fill="auto"/>
            <w:vAlign w:val="center"/>
          </w:tcPr>
          <w:p w14:paraId="6198B7D1" w14:textId="77777777" w:rsidR="003A3BCA" w:rsidRDefault="008276B6">
            <w:pPr>
              <w:jc w:val="center"/>
              <w:rPr>
                <w:rFonts w:ascii="Calibri" w:eastAsia="Calibri" w:hAnsi="Calibri" w:cs="Calibri"/>
                <w:b/>
                <w:color w:val="000000"/>
              </w:rPr>
            </w:pPr>
            <w:r>
              <w:rPr>
                <w:rFonts w:ascii="Calibri" w:eastAsia="Calibri" w:hAnsi="Calibri" w:cs="Calibri"/>
                <w:b/>
                <w:color w:val="000000"/>
              </w:rPr>
              <w:t xml:space="preserve">Opponent Goals - </w:t>
            </w:r>
            <w:proofErr w:type="spellStart"/>
            <w:r>
              <w:rPr>
                <w:rFonts w:ascii="Calibri" w:eastAsia="Calibri" w:hAnsi="Calibri" w:cs="Calibri"/>
                <w:b/>
                <w:color w:val="000000"/>
              </w:rPr>
              <w:t>xG</w:t>
            </w:r>
            <w:proofErr w:type="spellEnd"/>
          </w:p>
        </w:tc>
      </w:tr>
      <w:tr w:rsidR="003A3BCA" w14:paraId="499C959C" w14:textId="77777777">
        <w:trPr>
          <w:trHeight w:val="482"/>
        </w:trPr>
        <w:tc>
          <w:tcPr>
            <w:tcW w:w="1520" w:type="dxa"/>
            <w:tcBorders>
              <w:top w:val="nil"/>
              <w:left w:val="single" w:sz="4" w:space="0" w:color="000000"/>
              <w:bottom w:val="single" w:sz="4" w:space="0" w:color="000000"/>
              <w:right w:val="single" w:sz="4" w:space="0" w:color="000000"/>
            </w:tcBorders>
            <w:shd w:val="clear" w:color="auto" w:fill="auto"/>
            <w:vAlign w:val="bottom"/>
          </w:tcPr>
          <w:p w14:paraId="739747FB" w14:textId="77777777" w:rsidR="003A3BCA" w:rsidRDefault="008276B6">
            <w:pPr>
              <w:jc w:val="center"/>
              <w:rPr>
                <w:rFonts w:ascii="Calibri" w:eastAsia="Calibri" w:hAnsi="Calibri" w:cs="Calibri"/>
                <w:b/>
                <w:color w:val="000000"/>
              </w:rPr>
            </w:pPr>
            <w:r>
              <w:rPr>
                <w:rFonts w:ascii="Calibri" w:eastAsia="Calibri" w:hAnsi="Calibri" w:cs="Calibri"/>
                <w:b/>
                <w:color w:val="000000"/>
              </w:rPr>
              <w:t>2017/2018</w:t>
            </w:r>
          </w:p>
        </w:tc>
        <w:tc>
          <w:tcPr>
            <w:tcW w:w="2303" w:type="dxa"/>
            <w:tcBorders>
              <w:top w:val="nil"/>
              <w:left w:val="nil"/>
              <w:bottom w:val="single" w:sz="4" w:space="0" w:color="000000"/>
              <w:right w:val="single" w:sz="4" w:space="0" w:color="000000"/>
            </w:tcBorders>
            <w:shd w:val="clear" w:color="auto" w:fill="auto"/>
            <w:vAlign w:val="bottom"/>
          </w:tcPr>
          <w:p w14:paraId="0DB1676A" w14:textId="77777777" w:rsidR="003A3BCA" w:rsidRDefault="008276B6">
            <w:pPr>
              <w:jc w:val="center"/>
              <w:rPr>
                <w:rFonts w:ascii="Calibri" w:eastAsia="Calibri" w:hAnsi="Calibri" w:cs="Calibri"/>
                <w:color w:val="000000"/>
              </w:rPr>
            </w:pPr>
            <w:r>
              <w:rPr>
                <w:rFonts w:ascii="Calibri" w:eastAsia="Calibri" w:hAnsi="Calibri" w:cs="Calibri"/>
                <w:color w:val="000000"/>
              </w:rPr>
              <w:t>6</w:t>
            </w:r>
            <w:r>
              <w:rPr>
                <w:rFonts w:ascii="Calibri" w:eastAsia="Calibri" w:hAnsi="Calibri" w:cs="Calibri"/>
                <w:color w:val="000000"/>
                <w:vertAlign w:val="superscript"/>
              </w:rPr>
              <w:t>th</w:t>
            </w:r>
          </w:p>
        </w:tc>
        <w:tc>
          <w:tcPr>
            <w:tcW w:w="1077" w:type="dxa"/>
            <w:tcBorders>
              <w:top w:val="nil"/>
              <w:left w:val="nil"/>
              <w:bottom w:val="single" w:sz="4" w:space="0" w:color="000000"/>
              <w:right w:val="single" w:sz="4" w:space="0" w:color="000000"/>
            </w:tcBorders>
            <w:shd w:val="clear" w:color="auto" w:fill="auto"/>
            <w:vAlign w:val="bottom"/>
          </w:tcPr>
          <w:p w14:paraId="69D91177" w14:textId="77777777" w:rsidR="003A3BCA" w:rsidRDefault="008276B6">
            <w:pPr>
              <w:jc w:val="center"/>
              <w:rPr>
                <w:rFonts w:ascii="Calibri" w:eastAsia="Calibri" w:hAnsi="Calibri" w:cs="Calibri"/>
                <w:color w:val="000000"/>
              </w:rPr>
            </w:pPr>
            <w:r>
              <w:rPr>
                <w:rFonts w:ascii="Calibri" w:eastAsia="Calibri" w:hAnsi="Calibri" w:cs="Calibri"/>
                <w:color w:val="000000"/>
              </w:rPr>
              <w:t>6</w:t>
            </w:r>
            <w:r>
              <w:rPr>
                <w:rFonts w:ascii="Calibri" w:eastAsia="Calibri" w:hAnsi="Calibri" w:cs="Calibri"/>
                <w:color w:val="000000"/>
                <w:vertAlign w:val="superscript"/>
              </w:rPr>
              <w:t>th</w:t>
            </w:r>
          </w:p>
        </w:tc>
        <w:tc>
          <w:tcPr>
            <w:tcW w:w="885" w:type="dxa"/>
            <w:tcBorders>
              <w:top w:val="nil"/>
              <w:left w:val="nil"/>
              <w:bottom w:val="single" w:sz="4" w:space="0" w:color="000000"/>
              <w:right w:val="single" w:sz="4" w:space="0" w:color="000000"/>
            </w:tcBorders>
            <w:shd w:val="clear" w:color="auto" w:fill="70AD47"/>
            <w:vAlign w:val="bottom"/>
          </w:tcPr>
          <w:p w14:paraId="477FF8C4" w14:textId="77777777" w:rsidR="003A3BCA" w:rsidRDefault="008276B6">
            <w:pPr>
              <w:jc w:val="center"/>
              <w:rPr>
                <w:rFonts w:ascii="Calibri" w:eastAsia="Calibri" w:hAnsi="Calibri" w:cs="Calibri"/>
                <w:color w:val="000000"/>
              </w:rPr>
            </w:pPr>
            <w:r>
              <w:rPr>
                <w:rFonts w:ascii="Calibri" w:eastAsia="Calibri" w:hAnsi="Calibri" w:cs="Calibri"/>
                <w:color w:val="000000"/>
              </w:rPr>
              <w:t>2</w:t>
            </w:r>
            <w:r>
              <w:rPr>
                <w:rFonts w:ascii="Calibri" w:eastAsia="Calibri" w:hAnsi="Calibri" w:cs="Calibri"/>
                <w:color w:val="000000"/>
                <w:vertAlign w:val="superscript"/>
              </w:rPr>
              <w:t>nd</w:t>
            </w:r>
          </w:p>
        </w:tc>
        <w:tc>
          <w:tcPr>
            <w:tcW w:w="1638" w:type="dxa"/>
            <w:tcBorders>
              <w:top w:val="nil"/>
              <w:left w:val="nil"/>
              <w:bottom w:val="single" w:sz="4" w:space="0" w:color="000000"/>
              <w:right w:val="single" w:sz="4" w:space="0" w:color="000000"/>
            </w:tcBorders>
            <w:shd w:val="clear" w:color="auto" w:fill="70AD47"/>
            <w:vAlign w:val="bottom"/>
          </w:tcPr>
          <w:p w14:paraId="13775EAF" w14:textId="77777777" w:rsidR="003A3BCA" w:rsidRDefault="008276B6">
            <w:pPr>
              <w:jc w:val="center"/>
              <w:rPr>
                <w:rFonts w:ascii="Calibri" w:eastAsia="Calibri" w:hAnsi="Calibri" w:cs="Calibri"/>
                <w:color w:val="000000"/>
              </w:rPr>
            </w:pPr>
            <w:r>
              <w:rPr>
                <w:rFonts w:ascii="Calibri" w:eastAsia="Calibri" w:hAnsi="Calibri" w:cs="Calibri"/>
                <w:color w:val="000000"/>
              </w:rPr>
              <w:t>2</w:t>
            </w:r>
            <w:r>
              <w:rPr>
                <w:rFonts w:ascii="Calibri" w:eastAsia="Calibri" w:hAnsi="Calibri" w:cs="Calibri"/>
                <w:color w:val="000000"/>
                <w:vertAlign w:val="superscript"/>
              </w:rPr>
              <w:t>nd</w:t>
            </w:r>
          </w:p>
        </w:tc>
        <w:tc>
          <w:tcPr>
            <w:tcW w:w="1624" w:type="dxa"/>
            <w:tcBorders>
              <w:top w:val="nil"/>
              <w:left w:val="nil"/>
              <w:bottom w:val="single" w:sz="4" w:space="0" w:color="000000"/>
              <w:right w:val="single" w:sz="4" w:space="0" w:color="000000"/>
            </w:tcBorders>
            <w:shd w:val="clear" w:color="auto" w:fill="70AD47"/>
            <w:vAlign w:val="bottom"/>
          </w:tcPr>
          <w:p w14:paraId="65780D21" w14:textId="77777777" w:rsidR="003A3BCA" w:rsidRDefault="008276B6">
            <w:pPr>
              <w:jc w:val="center"/>
              <w:rPr>
                <w:rFonts w:ascii="Calibri" w:eastAsia="Calibri" w:hAnsi="Calibri" w:cs="Calibri"/>
                <w:color w:val="000000"/>
              </w:rPr>
            </w:pPr>
            <w:r>
              <w:rPr>
                <w:rFonts w:ascii="Calibri" w:eastAsia="Calibri" w:hAnsi="Calibri" w:cs="Calibri"/>
                <w:color w:val="000000"/>
              </w:rPr>
              <w:t>1</w:t>
            </w:r>
            <w:r>
              <w:rPr>
                <w:rFonts w:ascii="Calibri" w:eastAsia="Calibri" w:hAnsi="Calibri" w:cs="Calibri"/>
                <w:color w:val="000000"/>
                <w:vertAlign w:val="superscript"/>
              </w:rPr>
              <w:t>st</w:t>
            </w:r>
          </w:p>
        </w:tc>
      </w:tr>
      <w:tr w:rsidR="003A3BCA" w14:paraId="3C7BCD92" w14:textId="77777777">
        <w:trPr>
          <w:trHeight w:val="482"/>
        </w:trPr>
        <w:tc>
          <w:tcPr>
            <w:tcW w:w="1520" w:type="dxa"/>
            <w:tcBorders>
              <w:top w:val="nil"/>
              <w:left w:val="single" w:sz="4" w:space="0" w:color="000000"/>
              <w:bottom w:val="single" w:sz="4" w:space="0" w:color="000000"/>
              <w:right w:val="single" w:sz="4" w:space="0" w:color="000000"/>
            </w:tcBorders>
            <w:shd w:val="clear" w:color="auto" w:fill="auto"/>
            <w:vAlign w:val="bottom"/>
          </w:tcPr>
          <w:p w14:paraId="17246DB9" w14:textId="77777777" w:rsidR="003A3BCA" w:rsidRDefault="008276B6">
            <w:pPr>
              <w:jc w:val="center"/>
              <w:rPr>
                <w:rFonts w:ascii="Calibri" w:eastAsia="Calibri" w:hAnsi="Calibri" w:cs="Calibri"/>
                <w:b/>
                <w:color w:val="000000"/>
              </w:rPr>
            </w:pPr>
            <w:r>
              <w:rPr>
                <w:rFonts w:ascii="Calibri" w:eastAsia="Calibri" w:hAnsi="Calibri" w:cs="Calibri"/>
                <w:b/>
                <w:color w:val="000000"/>
              </w:rPr>
              <w:t>2018/2019</w:t>
            </w:r>
          </w:p>
        </w:tc>
        <w:tc>
          <w:tcPr>
            <w:tcW w:w="2303" w:type="dxa"/>
            <w:tcBorders>
              <w:top w:val="nil"/>
              <w:left w:val="nil"/>
              <w:bottom w:val="single" w:sz="4" w:space="0" w:color="000000"/>
              <w:right w:val="single" w:sz="4" w:space="0" w:color="000000"/>
            </w:tcBorders>
            <w:shd w:val="clear" w:color="auto" w:fill="auto"/>
            <w:vAlign w:val="bottom"/>
          </w:tcPr>
          <w:p w14:paraId="6B9202D5" w14:textId="77777777" w:rsidR="003A3BCA" w:rsidRDefault="008276B6">
            <w:pPr>
              <w:jc w:val="center"/>
              <w:rPr>
                <w:rFonts w:ascii="Calibri" w:eastAsia="Calibri" w:hAnsi="Calibri" w:cs="Calibri"/>
                <w:color w:val="000000"/>
              </w:rPr>
            </w:pPr>
            <w:r>
              <w:rPr>
                <w:rFonts w:ascii="Calibri" w:eastAsia="Calibri" w:hAnsi="Calibri" w:cs="Calibri"/>
                <w:color w:val="000000"/>
              </w:rPr>
              <w:t>6</w:t>
            </w:r>
            <w:r>
              <w:rPr>
                <w:rFonts w:ascii="Calibri" w:eastAsia="Calibri" w:hAnsi="Calibri" w:cs="Calibri"/>
                <w:color w:val="000000"/>
                <w:vertAlign w:val="superscript"/>
              </w:rPr>
              <w:t>th</w:t>
            </w:r>
          </w:p>
        </w:tc>
        <w:tc>
          <w:tcPr>
            <w:tcW w:w="1077" w:type="dxa"/>
            <w:tcBorders>
              <w:top w:val="nil"/>
              <w:left w:val="nil"/>
              <w:bottom w:val="single" w:sz="4" w:space="0" w:color="000000"/>
              <w:right w:val="single" w:sz="4" w:space="0" w:color="000000"/>
            </w:tcBorders>
            <w:shd w:val="clear" w:color="auto" w:fill="auto"/>
            <w:vAlign w:val="bottom"/>
          </w:tcPr>
          <w:p w14:paraId="5B83A129" w14:textId="77777777" w:rsidR="003A3BCA" w:rsidRDefault="008276B6">
            <w:pPr>
              <w:jc w:val="center"/>
              <w:rPr>
                <w:rFonts w:ascii="Calibri" w:eastAsia="Calibri" w:hAnsi="Calibri" w:cs="Calibri"/>
                <w:color w:val="000000"/>
              </w:rPr>
            </w:pPr>
            <w:r>
              <w:rPr>
                <w:rFonts w:ascii="Calibri" w:eastAsia="Calibri" w:hAnsi="Calibri" w:cs="Calibri"/>
                <w:color w:val="000000"/>
              </w:rPr>
              <w:t>6</w:t>
            </w:r>
            <w:r>
              <w:rPr>
                <w:rFonts w:ascii="Calibri" w:eastAsia="Calibri" w:hAnsi="Calibri" w:cs="Calibri"/>
                <w:color w:val="000000"/>
                <w:vertAlign w:val="superscript"/>
              </w:rPr>
              <w:t>th</w:t>
            </w:r>
          </w:p>
        </w:tc>
        <w:tc>
          <w:tcPr>
            <w:tcW w:w="885" w:type="dxa"/>
            <w:tcBorders>
              <w:top w:val="nil"/>
              <w:left w:val="nil"/>
              <w:bottom w:val="single" w:sz="4" w:space="0" w:color="000000"/>
              <w:right w:val="single" w:sz="4" w:space="0" w:color="000000"/>
            </w:tcBorders>
            <w:shd w:val="clear" w:color="auto" w:fill="auto"/>
            <w:vAlign w:val="bottom"/>
          </w:tcPr>
          <w:p w14:paraId="63CA7E6E" w14:textId="77777777" w:rsidR="003A3BCA" w:rsidRDefault="008276B6">
            <w:pPr>
              <w:jc w:val="center"/>
              <w:rPr>
                <w:rFonts w:ascii="Calibri" w:eastAsia="Calibri" w:hAnsi="Calibri" w:cs="Calibri"/>
                <w:color w:val="000000"/>
              </w:rPr>
            </w:pPr>
            <w:r>
              <w:rPr>
                <w:rFonts w:ascii="Calibri" w:eastAsia="Calibri" w:hAnsi="Calibri" w:cs="Calibri"/>
                <w:color w:val="000000"/>
              </w:rPr>
              <w:t>5</w:t>
            </w:r>
            <w:r>
              <w:rPr>
                <w:rFonts w:ascii="Calibri" w:eastAsia="Calibri" w:hAnsi="Calibri" w:cs="Calibri"/>
                <w:color w:val="000000"/>
                <w:vertAlign w:val="superscript"/>
              </w:rPr>
              <w:t>th</w:t>
            </w:r>
          </w:p>
        </w:tc>
        <w:tc>
          <w:tcPr>
            <w:tcW w:w="1638" w:type="dxa"/>
            <w:tcBorders>
              <w:top w:val="nil"/>
              <w:left w:val="nil"/>
              <w:bottom w:val="single" w:sz="4" w:space="0" w:color="000000"/>
              <w:right w:val="single" w:sz="4" w:space="0" w:color="000000"/>
            </w:tcBorders>
            <w:shd w:val="clear" w:color="auto" w:fill="70AD47"/>
            <w:vAlign w:val="bottom"/>
          </w:tcPr>
          <w:p w14:paraId="6A612850" w14:textId="77777777" w:rsidR="003A3BCA" w:rsidRDefault="008276B6">
            <w:pPr>
              <w:jc w:val="center"/>
              <w:rPr>
                <w:rFonts w:ascii="Calibri" w:eastAsia="Calibri" w:hAnsi="Calibri" w:cs="Calibri"/>
                <w:color w:val="000000"/>
              </w:rPr>
            </w:pPr>
            <w:r>
              <w:rPr>
                <w:rFonts w:ascii="Calibri" w:eastAsia="Calibri" w:hAnsi="Calibri" w:cs="Calibri"/>
                <w:color w:val="000000"/>
              </w:rPr>
              <w:t>1</w:t>
            </w:r>
            <w:r>
              <w:rPr>
                <w:rFonts w:ascii="Calibri" w:eastAsia="Calibri" w:hAnsi="Calibri" w:cs="Calibri"/>
                <w:color w:val="000000"/>
                <w:vertAlign w:val="superscript"/>
              </w:rPr>
              <w:t>st</w:t>
            </w:r>
          </w:p>
        </w:tc>
        <w:tc>
          <w:tcPr>
            <w:tcW w:w="1624" w:type="dxa"/>
            <w:tcBorders>
              <w:top w:val="nil"/>
              <w:left w:val="nil"/>
              <w:bottom w:val="single" w:sz="4" w:space="0" w:color="000000"/>
              <w:right w:val="single" w:sz="4" w:space="0" w:color="000000"/>
            </w:tcBorders>
            <w:shd w:val="clear" w:color="auto" w:fill="C61600"/>
            <w:vAlign w:val="bottom"/>
          </w:tcPr>
          <w:p w14:paraId="2C54638C" w14:textId="77777777" w:rsidR="003A3BCA" w:rsidRDefault="008276B6">
            <w:pPr>
              <w:jc w:val="center"/>
              <w:rPr>
                <w:rFonts w:ascii="Calibri" w:eastAsia="Calibri" w:hAnsi="Calibri" w:cs="Calibri"/>
                <w:color w:val="000000"/>
              </w:rPr>
            </w:pPr>
            <w:r>
              <w:rPr>
                <w:rFonts w:ascii="Calibri" w:eastAsia="Calibri" w:hAnsi="Calibri" w:cs="Calibri"/>
                <w:color w:val="000000"/>
              </w:rPr>
              <w:t>10</w:t>
            </w:r>
            <w:r>
              <w:rPr>
                <w:rFonts w:ascii="Calibri" w:eastAsia="Calibri" w:hAnsi="Calibri" w:cs="Calibri"/>
                <w:color w:val="000000"/>
                <w:vertAlign w:val="superscript"/>
              </w:rPr>
              <w:t>th</w:t>
            </w:r>
          </w:p>
        </w:tc>
      </w:tr>
      <w:tr w:rsidR="003A3BCA" w14:paraId="6D8A021B" w14:textId="77777777">
        <w:trPr>
          <w:trHeight w:val="482"/>
        </w:trPr>
        <w:tc>
          <w:tcPr>
            <w:tcW w:w="1520" w:type="dxa"/>
            <w:tcBorders>
              <w:top w:val="nil"/>
              <w:left w:val="single" w:sz="4" w:space="0" w:color="000000"/>
              <w:bottom w:val="single" w:sz="4" w:space="0" w:color="000000"/>
              <w:right w:val="single" w:sz="4" w:space="0" w:color="000000"/>
            </w:tcBorders>
            <w:shd w:val="clear" w:color="auto" w:fill="auto"/>
            <w:vAlign w:val="bottom"/>
          </w:tcPr>
          <w:p w14:paraId="748A4077" w14:textId="77777777" w:rsidR="003A3BCA" w:rsidRDefault="008276B6">
            <w:pPr>
              <w:jc w:val="center"/>
              <w:rPr>
                <w:rFonts w:ascii="Calibri" w:eastAsia="Calibri" w:hAnsi="Calibri" w:cs="Calibri"/>
                <w:b/>
                <w:color w:val="000000"/>
              </w:rPr>
            </w:pPr>
            <w:r>
              <w:rPr>
                <w:rFonts w:ascii="Calibri" w:eastAsia="Calibri" w:hAnsi="Calibri" w:cs="Calibri"/>
                <w:b/>
                <w:color w:val="000000"/>
              </w:rPr>
              <w:t>2019/2020</w:t>
            </w:r>
          </w:p>
        </w:tc>
        <w:tc>
          <w:tcPr>
            <w:tcW w:w="2303" w:type="dxa"/>
            <w:tcBorders>
              <w:top w:val="nil"/>
              <w:left w:val="nil"/>
              <w:bottom w:val="single" w:sz="4" w:space="0" w:color="000000"/>
              <w:right w:val="single" w:sz="4" w:space="0" w:color="000000"/>
            </w:tcBorders>
            <w:shd w:val="clear" w:color="auto" w:fill="auto"/>
            <w:vAlign w:val="bottom"/>
          </w:tcPr>
          <w:p w14:paraId="76D7FAAE" w14:textId="77777777" w:rsidR="003A3BCA" w:rsidRDefault="008276B6">
            <w:pPr>
              <w:jc w:val="center"/>
              <w:rPr>
                <w:rFonts w:ascii="Calibri" w:eastAsia="Calibri" w:hAnsi="Calibri" w:cs="Calibri"/>
                <w:color w:val="000000"/>
              </w:rPr>
            </w:pPr>
            <w:r>
              <w:rPr>
                <w:rFonts w:ascii="Calibri" w:eastAsia="Calibri" w:hAnsi="Calibri" w:cs="Calibri"/>
                <w:color w:val="000000"/>
              </w:rPr>
              <w:t>5</w:t>
            </w:r>
            <w:r>
              <w:rPr>
                <w:rFonts w:ascii="Calibri" w:eastAsia="Calibri" w:hAnsi="Calibri" w:cs="Calibri"/>
                <w:color w:val="000000"/>
                <w:vertAlign w:val="superscript"/>
              </w:rPr>
              <w:t>th</w:t>
            </w:r>
          </w:p>
        </w:tc>
        <w:tc>
          <w:tcPr>
            <w:tcW w:w="1077" w:type="dxa"/>
            <w:tcBorders>
              <w:top w:val="nil"/>
              <w:left w:val="nil"/>
              <w:bottom w:val="single" w:sz="4" w:space="0" w:color="000000"/>
              <w:right w:val="single" w:sz="4" w:space="0" w:color="000000"/>
            </w:tcBorders>
            <w:shd w:val="clear" w:color="auto" w:fill="auto"/>
            <w:vAlign w:val="bottom"/>
          </w:tcPr>
          <w:p w14:paraId="56B8E350" w14:textId="77777777" w:rsidR="003A3BCA" w:rsidRDefault="008276B6">
            <w:pPr>
              <w:jc w:val="center"/>
              <w:rPr>
                <w:rFonts w:ascii="Calibri" w:eastAsia="Calibri" w:hAnsi="Calibri" w:cs="Calibri"/>
                <w:color w:val="000000"/>
              </w:rPr>
            </w:pPr>
            <w:r>
              <w:rPr>
                <w:rFonts w:ascii="Calibri" w:eastAsia="Calibri" w:hAnsi="Calibri" w:cs="Calibri"/>
                <w:color w:val="000000"/>
              </w:rPr>
              <w:t>5</w:t>
            </w:r>
            <w:r>
              <w:rPr>
                <w:rFonts w:ascii="Calibri" w:eastAsia="Calibri" w:hAnsi="Calibri" w:cs="Calibri"/>
                <w:color w:val="000000"/>
                <w:vertAlign w:val="superscript"/>
              </w:rPr>
              <w:t>th</w:t>
            </w:r>
          </w:p>
        </w:tc>
        <w:tc>
          <w:tcPr>
            <w:tcW w:w="885" w:type="dxa"/>
            <w:tcBorders>
              <w:top w:val="nil"/>
              <w:left w:val="nil"/>
              <w:bottom w:val="single" w:sz="4" w:space="0" w:color="000000"/>
              <w:right w:val="single" w:sz="4" w:space="0" w:color="000000"/>
            </w:tcBorders>
            <w:shd w:val="clear" w:color="auto" w:fill="auto"/>
            <w:vAlign w:val="bottom"/>
          </w:tcPr>
          <w:p w14:paraId="0DF568E1" w14:textId="77777777" w:rsidR="003A3BCA" w:rsidRDefault="008276B6">
            <w:pPr>
              <w:jc w:val="center"/>
              <w:rPr>
                <w:rFonts w:ascii="Calibri" w:eastAsia="Calibri" w:hAnsi="Calibri" w:cs="Calibri"/>
                <w:color w:val="000000"/>
              </w:rPr>
            </w:pPr>
            <w:r>
              <w:rPr>
                <w:rFonts w:ascii="Calibri" w:eastAsia="Calibri" w:hAnsi="Calibri" w:cs="Calibri"/>
                <w:color w:val="000000"/>
              </w:rPr>
              <w:t>6</w:t>
            </w:r>
            <w:r>
              <w:rPr>
                <w:rFonts w:ascii="Calibri" w:eastAsia="Calibri" w:hAnsi="Calibri" w:cs="Calibri"/>
                <w:color w:val="000000"/>
                <w:vertAlign w:val="superscript"/>
              </w:rPr>
              <w:t>th</w:t>
            </w:r>
          </w:p>
        </w:tc>
        <w:tc>
          <w:tcPr>
            <w:tcW w:w="1638" w:type="dxa"/>
            <w:tcBorders>
              <w:top w:val="nil"/>
              <w:left w:val="nil"/>
              <w:bottom w:val="single" w:sz="4" w:space="0" w:color="000000"/>
              <w:right w:val="single" w:sz="4" w:space="0" w:color="000000"/>
            </w:tcBorders>
            <w:shd w:val="clear" w:color="auto" w:fill="70AD47"/>
            <w:vAlign w:val="bottom"/>
          </w:tcPr>
          <w:p w14:paraId="1AC53A09" w14:textId="77777777" w:rsidR="003A3BCA" w:rsidRDefault="008276B6">
            <w:pPr>
              <w:jc w:val="center"/>
              <w:rPr>
                <w:rFonts w:ascii="Calibri" w:eastAsia="Calibri" w:hAnsi="Calibri" w:cs="Calibri"/>
                <w:color w:val="000000"/>
              </w:rPr>
            </w:pPr>
            <w:r>
              <w:rPr>
                <w:rFonts w:ascii="Calibri" w:eastAsia="Calibri" w:hAnsi="Calibri" w:cs="Calibri"/>
                <w:color w:val="000000"/>
              </w:rPr>
              <w:t>4</w:t>
            </w:r>
            <w:r>
              <w:rPr>
                <w:rFonts w:ascii="Calibri" w:eastAsia="Calibri" w:hAnsi="Calibri" w:cs="Calibri"/>
                <w:color w:val="000000"/>
                <w:vertAlign w:val="superscript"/>
              </w:rPr>
              <w:t>th</w:t>
            </w:r>
          </w:p>
        </w:tc>
        <w:tc>
          <w:tcPr>
            <w:tcW w:w="1624" w:type="dxa"/>
            <w:tcBorders>
              <w:top w:val="nil"/>
              <w:left w:val="nil"/>
              <w:bottom w:val="single" w:sz="4" w:space="0" w:color="000000"/>
              <w:right w:val="single" w:sz="4" w:space="0" w:color="000000"/>
            </w:tcBorders>
            <w:shd w:val="clear" w:color="auto" w:fill="C61600"/>
            <w:vAlign w:val="bottom"/>
          </w:tcPr>
          <w:p w14:paraId="1B502AE3" w14:textId="77777777" w:rsidR="003A3BCA" w:rsidRDefault="008276B6">
            <w:pPr>
              <w:jc w:val="center"/>
              <w:rPr>
                <w:rFonts w:ascii="Calibri" w:eastAsia="Calibri" w:hAnsi="Calibri" w:cs="Calibri"/>
                <w:color w:val="000000"/>
              </w:rPr>
            </w:pPr>
            <w:r>
              <w:rPr>
                <w:rFonts w:ascii="Calibri" w:eastAsia="Calibri" w:hAnsi="Calibri" w:cs="Calibri"/>
                <w:color w:val="000000"/>
              </w:rPr>
              <w:t>10</w:t>
            </w:r>
            <w:r>
              <w:rPr>
                <w:rFonts w:ascii="Calibri" w:eastAsia="Calibri" w:hAnsi="Calibri" w:cs="Calibri"/>
                <w:color w:val="000000"/>
                <w:vertAlign w:val="superscript"/>
              </w:rPr>
              <w:t>th</w:t>
            </w:r>
          </w:p>
        </w:tc>
      </w:tr>
      <w:tr w:rsidR="003A3BCA" w14:paraId="283C5A98" w14:textId="77777777">
        <w:trPr>
          <w:trHeight w:val="482"/>
        </w:trPr>
        <w:tc>
          <w:tcPr>
            <w:tcW w:w="1520" w:type="dxa"/>
            <w:tcBorders>
              <w:top w:val="nil"/>
              <w:left w:val="single" w:sz="4" w:space="0" w:color="000000"/>
              <w:bottom w:val="single" w:sz="4" w:space="0" w:color="000000"/>
              <w:right w:val="single" w:sz="4" w:space="0" w:color="000000"/>
            </w:tcBorders>
            <w:shd w:val="clear" w:color="auto" w:fill="auto"/>
            <w:vAlign w:val="bottom"/>
          </w:tcPr>
          <w:p w14:paraId="627FB620" w14:textId="77777777" w:rsidR="003A3BCA" w:rsidRDefault="008276B6">
            <w:pPr>
              <w:jc w:val="center"/>
              <w:rPr>
                <w:rFonts w:ascii="Calibri" w:eastAsia="Calibri" w:hAnsi="Calibri" w:cs="Calibri"/>
                <w:b/>
                <w:color w:val="000000"/>
              </w:rPr>
            </w:pPr>
            <w:r>
              <w:rPr>
                <w:rFonts w:ascii="Calibri" w:eastAsia="Calibri" w:hAnsi="Calibri" w:cs="Calibri"/>
                <w:b/>
                <w:color w:val="000000"/>
              </w:rPr>
              <w:t>2020/2021</w:t>
            </w:r>
          </w:p>
        </w:tc>
        <w:tc>
          <w:tcPr>
            <w:tcW w:w="2303" w:type="dxa"/>
            <w:tcBorders>
              <w:top w:val="nil"/>
              <w:left w:val="nil"/>
              <w:bottom w:val="single" w:sz="4" w:space="0" w:color="000000"/>
              <w:right w:val="single" w:sz="4" w:space="0" w:color="000000"/>
            </w:tcBorders>
            <w:shd w:val="clear" w:color="auto" w:fill="auto"/>
            <w:vAlign w:val="bottom"/>
          </w:tcPr>
          <w:p w14:paraId="587ACE41" w14:textId="77777777" w:rsidR="003A3BCA" w:rsidRDefault="008276B6">
            <w:pPr>
              <w:jc w:val="center"/>
              <w:rPr>
                <w:rFonts w:ascii="Calibri" w:eastAsia="Calibri" w:hAnsi="Calibri" w:cs="Calibri"/>
                <w:color w:val="000000"/>
              </w:rPr>
            </w:pPr>
            <w:r>
              <w:rPr>
                <w:rFonts w:ascii="Calibri" w:eastAsia="Calibri" w:hAnsi="Calibri" w:cs="Calibri"/>
                <w:color w:val="000000"/>
              </w:rPr>
              <w:t>5</w:t>
            </w:r>
            <w:r>
              <w:rPr>
                <w:rFonts w:ascii="Calibri" w:eastAsia="Calibri" w:hAnsi="Calibri" w:cs="Calibri"/>
                <w:color w:val="000000"/>
                <w:vertAlign w:val="superscript"/>
              </w:rPr>
              <w:t>th</w:t>
            </w:r>
          </w:p>
        </w:tc>
        <w:tc>
          <w:tcPr>
            <w:tcW w:w="1077" w:type="dxa"/>
            <w:tcBorders>
              <w:top w:val="nil"/>
              <w:left w:val="nil"/>
              <w:bottom w:val="single" w:sz="4" w:space="0" w:color="000000"/>
              <w:right w:val="single" w:sz="4" w:space="0" w:color="000000"/>
            </w:tcBorders>
            <w:shd w:val="clear" w:color="auto" w:fill="auto"/>
            <w:vAlign w:val="bottom"/>
          </w:tcPr>
          <w:p w14:paraId="7A476B47" w14:textId="77777777" w:rsidR="003A3BCA" w:rsidRDefault="008276B6">
            <w:pPr>
              <w:jc w:val="center"/>
              <w:rPr>
                <w:rFonts w:ascii="Calibri" w:eastAsia="Calibri" w:hAnsi="Calibri" w:cs="Calibri"/>
                <w:color w:val="000000"/>
              </w:rPr>
            </w:pPr>
            <w:r>
              <w:rPr>
                <w:rFonts w:ascii="Calibri" w:eastAsia="Calibri" w:hAnsi="Calibri" w:cs="Calibri"/>
                <w:color w:val="000000"/>
              </w:rPr>
              <w:t>4</w:t>
            </w:r>
            <w:r>
              <w:rPr>
                <w:rFonts w:ascii="Calibri" w:eastAsia="Calibri" w:hAnsi="Calibri" w:cs="Calibri"/>
                <w:color w:val="000000"/>
                <w:vertAlign w:val="superscript"/>
              </w:rPr>
              <w:t>th</w:t>
            </w:r>
          </w:p>
        </w:tc>
        <w:tc>
          <w:tcPr>
            <w:tcW w:w="885" w:type="dxa"/>
            <w:tcBorders>
              <w:top w:val="nil"/>
              <w:left w:val="nil"/>
              <w:bottom w:val="single" w:sz="4" w:space="0" w:color="000000"/>
              <w:right w:val="single" w:sz="4" w:space="0" w:color="000000"/>
            </w:tcBorders>
            <w:shd w:val="clear" w:color="auto" w:fill="70AD47"/>
            <w:vAlign w:val="bottom"/>
          </w:tcPr>
          <w:p w14:paraId="20EB7091" w14:textId="77777777" w:rsidR="003A3BCA" w:rsidRDefault="008276B6">
            <w:pPr>
              <w:jc w:val="center"/>
              <w:rPr>
                <w:rFonts w:ascii="Calibri" w:eastAsia="Calibri" w:hAnsi="Calibri" w:cs="Calibri"/>
                <w:color w:val="000000"/>
              </w:rPr>
            </w:pPr>
            <w:r>
              <w:rPr>
                <w:rFonts w:ascii="Calibri" w:eastAsia="Calibri" w:hAnsi="Calibri" w:cs="Calibri"/>
                <w:color w:val="000000"/>
              </w:rPr>
              <w:t>3</w:t>
            </w:r>
            <w:r>
              <w:rPr>
                <w:rFonts w:ascii="Calibri" w:eastAsia="Calibri" w:hAnsi="Calibri" w:cs="Calibri"/>
                <w:color w:val="000000"/>
                <w:vertAlign w:val="superscript"/>
              </w:rPr>
              <w:t>rd</w:t>
            </w:r>
          </w:p>
        </w:tc>
        <w:tc>
          <w:tcPr>
            <w:tcW w:w="1638" w:type="dxa"/>
            <w:tcBorders>
              <w:top w:val="nil"/>
              <w:left w:val="nil"/>
              <w:bottom w:val="single" w:sz="4" w:space="0" w:color="000000"/>
              <w:right w:val="single" w:sz="4" w:space="0" w:color="000000"/>
            </w:tcBorders>
            <w:shd w:val="clear" w:color="auto" w:fill="70AD47"/>
            <w:vAlign w:val="bottom"/>
          </w:tcPr>
          <w:p w14:paraId="034A2234" w14:textId="77777777" w:rsidR="003A3BCA" w:rsidRDefault="008276B6">
            <w:pPr>
              <w:jc w:val="center"/>
              <w:rPr>
                <w:rFonts w:ascii="Calibri" w:eastAsia="Calibri" w:hAnsi="Calibri" w:cs="Calibri"/>
                <w:color w:val="000000"/>
              </w:rPr>
            </w:pPr>
            <w:r>
              <w:rPr>
                <w:rFonts w:ascii="Calibri" w:eastAsia="Calibri" w:hAnsi="Calibri" w:cs="Calibri"/>
                <w:color w:val="000000"/>
              </w:rPr>
              <w:t>2</w:t>
            </w:r>
            <w:r>
              <w:rPr>
                <w:rFonts w:ascii="Calibri" w:eastAsia="Calibri" w:hAnsi="Calibri" w:cs="Calibri"/>
                <w:color w:val="000000"/>
                <w:vertAlign w:val="superscript"/>
              </w:rPr>
              <w:t>nd</w:t>
            </w:r>
          </w:p>
        </w:tc>
        <w:tc>
          <w:tcPr>
            <w:tcW w:w="1624" w:type="dxa"/>
            <w:tcBorders>
              <w:top w:val="nil"/>
              <w:left w:val="nil"/>
              <w:bottom w:val="single" w:sz="4" w:space="0" w:color="000000"/>
              <w:right w:val="single" w:sz="4" w:space="0" w:color="000000"/>
            </w:tcBorders>
            <w:shd w:val="clear" w:color="auto" w:fill="C61600"/>
            <w:vAlign w:val="bottom"/>
          </w:tcPr>
          <w:p w14:paraId="4E0EC8DB" w14:textId="77777777" w:rsidR="003A3BCA" w:rsidRDefault="008276B6">
            <w:pPr>
              <w:jc w:val="center"/>
              <w:rPr>
                <w:rFonts w:ascii="Calibri" w:eastAsia="Calibri" w:hAnsi="Calibri" w:cs="Calibri"/>
                <w:color w:val="000000"/>
              </w:rPr>
            </w:pPr>
            <w:r>
              <w:rPr>
                <w:rFonts w:ascii="Calibri" w:eastAsia="Calibri" w:hAnsi="Calibri" w:cs="Calibri"/>
                <w:color w:val="000000"/>
              </w:rPr>
              <w:t>12</w:t>
            </w:r>
            <w:r>
              <w:rPr>
                <w:rFonts w:ascii="Calibri" w:eastAsia="Calibri" w:hAnsi="Calibri" w:cs="Calibri"/>
                <w:color w:val="000000"/>
                <w:vertAlign w:val="superscript"/>
              </w:rPr>
              <w:t>th</w:t>
            </w:r>
          </w:p>
        </w:tc>
      </w:tr>
      <w:tr w:rsidR="003A3BCA" w14:paraId="0D62C6D0" w14:textId="77777777">
        <w:trPr>
          <w:trHeight w:val="482"/>
        </w:trPr>
        <w:tc>
          <w:tcPr>
            <w:tcW w:w="1520" w:type="dxa"/>
            <w:tcBorders>
              <w:top w:val="nil"/>
              <w:left w:val="single" w:sz="4" w:space="0" w:color="000000"/>
              <w:bottom w:val="single" w:sz="4" w:space="0" w:color="000000"/>
              <w:right w:val="single" w:sz="4" w:space="0" w:color="000000"/>
            </w:tcBorders>
            <w:shd w:val="clear" w:color="auto" w:fill="auto"/>
            <w:vAlign w:val="bottom"/>
          </w:tcPr>
          <w:p w14:paraId="2E6C4C51" w14:textId="77777777" w:rsidR="003A3BCA" w:rsidRDefault="008276B6">
            <w:pPr>
              <w:jc w:val="center"/>
              <w:rPr>
                <w:rFonts w:ascii="Calibri" w:eastAsia="Calibri" w:hAnsi="Calibri" w:cs="Calibri"/>
                <w:b/>
                <w:color w:val="000000"/>
              </w:rPr>
            </w:pPr>
            <w:r>
              <w:rPr>
                <w:rFonts w:ascii="Calibri" w:eastAsia="Calibri" w:hAnsi="Calibri" w:cs="Calibri"/>
                <w:b/>
                <w:color w:val="000000"/>
              </w:rPr>
              <w:t>2021/2022</w:t>
            </w:r>
          </w:p>
        </w:tc>
        <w:tc>
          <w:tcPr>
            <w:tcW w:w="2303" w:type="dxa"/>
            <w:tcBorders>
              <w:top w:val="nil"/>
              <w:left w:val="nil"/>
              <w:bottom w:val="single" w:sz="4" w:space="0" w:color="000000"/>
              <w:right w:val="single" w:sz="4" w:space="0" w:color="000000"/>
            </w:tcBorders>
            <w:shd w:val="clear" w:color="auto" w:fill="auto"/>
            <w:vAlign w:val="bottom"/>
          </w:tcPr>
          <w:p w14:paraId="0BB883C4" w14:textId="77777777" w:rsidR="003A3BCA" w:rsidRDefault="008276B6">
            <w:pPr>
              <w:jc w:val="center"/>
              <w:rPr>
                <w:rFonts w:ascii="Calibri" w:eastAsia="Calibri" w:hAnsi="Calibri" w:cs="Calibri"/>
                <w:color w:val="000000"/>
              </w:rPr>
            </w:pPr>
            <w:r>
              <w:rPr>
                <w:rFonts w:ascii="Calibri" w:eastAsia="Calibri" w:hAnsi="Calibri" w:cs="Calibri"/>
                <w:color w:val="000000"/>
              </w:rPr>
              <w:t>6</w:t>
            </w:r>
            <w:r>
              <w:rPr>
                <w:rFonts w:ascii="Calibri" w:eastAsia="Calibri" w:hAnsi="Calibri" w:cs="Calibri"/>
                <w:color w:val="000000"/>
                <w:vertAlign w:val="superscript"/>
              </w:rPr>
              <w:t>th</w:t>
            </w:r>
          </w:p>
        </w:tc>
        <w:tc>
          <w:tcPr>
            <w:tcW w:w="1077" w:type="dxa"/>
            <w:tcBorders>
              <w:top w:val="nil"/>
              <w:left w:val="nil"/>
              <w:bottom w:val="single" w:sz="4" w:space="0" w:color="000000"/>
              <w:right w:val="single" w:sz="4" w:space="0" w:color="000000"/>
            </w:tcBorders>
            <w:shd w:val="clear" w:color="auto" w:fill="auto"/>
            <w:vAlign w:val="bottom"/>
          </w:tcPr>
          <w:p w14:paraId="40A39C7E" w14:textId="77777777" w:rsidR="003A3BCA" w:rsidRDefault="008276B6">
            <w:pPr>
              <w:jc w:val="center"/>
              <w:rPr>
                <w:rFonts w:ascii="Calibri" w:eastAsia="Calibri" w:hAnsi="Calibri" w:cs="Calibri"/>
                <w:color w:val="000000"/>
              </w:rPr>
            </w:pPr>
            <w:r>
              <w:rPr>
                <w:rFonts w:ascii="Calibri" w:eastAsia="Calibri" w:hAnsi="Calibri" w:cs="Calibri"/>
                <w:color w:val="000000"/>
              </w:rPr>
              <w:t>5</w:t>
            </w:r>
            <w:r>
              <w:rPr>
                <w:rFonts w:ascii="Calibri" w:eastAsia="Calibri" w:hAnsi="Calibri" w:cs="Calibri"/>
                <w:color w:val="000000"/>
                <w:vertAlign w:val="superscript"/>
              </w:rPr>
              <w:t>th</w:t>
            </w:r>
          </w:p>
        </w:tc>
        <w:tc>
          <w:tcPr>
            <w:tcW w:w="885" w:type="dxa"/>
            <w:tcBorders>
              <w:top w:val="nil"/>
              <w:left w:val="nil"/>
              <w:bottom w:val="single" w:sz="4" w:space="0" w:color="000000"/>
              <w:right w:val="single" w:sz="4" w:space="0" w:color="000000"/>
            </w:tcBorders>
            <w:shd w:val="clear" w:color="auto" w:fill="C61600"/>
            <w:vAlign w:val="bottom"/>
          </w:tcPr>
          <w:p w14:paraId="5FB760A4" w14:textId="77777777" w:rsidR="003A3BCA" w:rsidRDefault="008276B6">
            <w:pPr>
              <w:jc w:val="center"/>
              <w:rPr>
                <w:rFonts w:ascii="Calibri" w:eastAsia="Calibri" w:hAnsi="Calibri" w:cs="Calibri"/>
                <w:color w:val="000000"/>
              </w:rPr>
            </w:pPr>
            <w:r>
              <w:rPr>
                <w:rFonts w:ascii="Calibri" w:eastAsia="Calibri" w:hAnsi="Calibri" w:cs="Calibri"/>
                <w:color w:val="000000"/>
              </w:rPr>
              <w:t>11</w:t>
            </w:r>
            <w:r>
              <w:rPr>
                <w:rFonts w:ascii="Calibri" w:eastAsia="Calibri" w:hAnsi="Calibri" w:cs="Calibri"/>
                <w:color w:val="000000"/>
                <w:vertAlign w:val="superscript"/>
              </w:rPr>
              <w:t>th</w:t>
            </w:r>
          </w:p>
        </w:tc>
        <w:tc>
          <w:tcPr>
            <w:tcW w:w="1638" w:type="dxa"/>
            <w:tcBorders>
              <w:top w:val="nil"/>
              <w:left w:val="nil"/>
              <w:bottom w:val="single" w:sz="4" w:space="0" w:color="000000"/>
              <w:right w:val="single" w:sz="4" w:space="0" w:color="000000"/>
            </w:tcBorders>
            <w:shd w:val="clear" w:color="auto" w:fill="70AD47"/>
            <w:vAlign w:val="bottom"/>
          </w:tcPr>
          <w:p w14:paraId="19036FBD" w14:textId="77777777" w:rsidR="003A3BCA" w:rsidRDefault="008276B6">
            <w:pPr>
              <w:jc w:val="center"/>
              <w:rPr>
                <w:rFonts w:ascii="Calibri" w:eastAsia="Calibri" w:hAnsi="Calibri" w:cs="Calibri"/>
                <w:color w:val="000000"/>
              </w:rPr>
            </w:pPr>
            <w:r>
              <w:rPr>
                <w:rFonts w:ascii="Calibri" w:eastAsia="Calibri" w:hAnsi="Calibri" w:cs="Calibri"/>
                <w:color w:val="000000"/>
              </w:rPr>
              <w:t>1</w:t>
            </w:r>
            <w:r>
              <w:rPr>
                <w:rFonts w:ascii="Calibri" w:eastAsia="Calibri" w:hAnsi="Calibri" w:cs="Calibri"/>
                <w:color w:val="000000"/>
                <w:vertAlign w:val="superscript"/>
              </w:rPr>
              <w:t>st</w:t>
            </w:r>
          </w:p>
        </w:tc>
        <w:tc>
          <w:tcPr>
            <w:tcW w:w="1624" w:type="dxa"/>
            <w:tcBorders>
              <w:top w:val="nil"/>
              <w:left w:val="nil"/>
              <w:bottom w:val="single" w:sz="4" w:space="0" w:color="000000"/>
              <w:right w:val="single" w:sz="4" w:space="0" w:color="000000"/>
            </w:tcBorders>
            <w:shd w:val="clear" w:color="auto" w:fill="C61600"/>
            <w:vAlign w:val="bottom"/>
          </w:tcPr>
          <w:p w14:paraId="33E25850" w14:textId="77777777" w:rsidR="003A3BCA" w:rsidRDefault="008276B6">
            <w:pPr>
              <w:jc w:val="center"/>
              <w:rPr>
                <w:rFonts w:ascii="Calibri" w:eastAsia="Calibri" w:hAnsi="Calibri" w:cs="Calibri"/>
                <w:color w:val="000000"/>
              </w:rPr>
            </w:pPr>
            <w:r>
              <w:rPr>
                <w:rFonts w:ascii="Calibri" w:eastAsia="Calibri" w:hAnsi="Calibri" w:cs="Calibri"/>
                <w:color w:val="000000"/>
              </w:rPr>
              <w:t>8</w:t>
            </w:r>
            <w:r>
              <w:rPr>
                <w:rFonts w:ascii="Calibri" w:eastAsia="Calibri" w:hAnsi="Calibri" w:cs="Calibri"/>
                <w:color w:val="000000"/>
                <w:vertAlign w:val="superscript"/>
              </w:rPr>
              <w:t>th</w:t>
            </w:r>
          </w:p>
        </w:tc>
      </w:tr>
      <w:tr w:rsidR="003A3BCA" w14:paraId="38CD3B67" w14:textId="77777777">
        <w:trPr>
          <w:trHeight w:val="482"/>
        </w:trPr>
        <w:tc>
          <w:tcPr>
            <w:tcW w:w="1520" w:type="dxa"/>
            <w:tcBorders>
              <w:top w:val="nil"/>
              <w:left w:val="single" w:sz="4" w:space="0" w:color="000000"/>
              <w:bottom w:val="single" w:sz="4" w:space="0" w:color="000000"/>
              <w:right w:val="single" w:sz="4" w:space="0" w:color="000000"/>
            </w:tcBorders>
            <w:shd w:val="clear" w:color="auto" w:fill="FFFF00"/>
            <w:vAlign w:val="center"/>
          </w:tcPr>
          <w:p w14:paraId="2171D38F" w14:textId="77777777" w:rsidR="003A3BCA" w:rsidRDefault="008276B6">
            <w:pPr>
              <w:jc w:val="center"/>
              <w:rPr>
                <w:rFonts w:ascii="Calibri" w:eastAsia="Calibri" w:hAnsi="Calibri" w:cs="Calibri"/>
                <w:b/>
                <w:color w:val="000000"/>
              </w:rPr>
            </w:pPr>
            <w:r>
              <w:rPr>
                <w:rFonts w:ascii="Calibri" w:eastAsia="Calibri" w:hAnsi="Calibri" w:cs="Calibri"/>
                <w:b/>
                <w:color w:val="000000"/>
              </w:rPr>
              <w:t>Average</w:t>
            </w:r>
          </w:p>
        </w:tc>
        <w:tc>
          <w:tcPr>
            <w:tcW w:w="2303" w:type="dxa"/>
            <w:tcBorders>
              <w:top w:val="nil"/>
              <w:left w:val="nil"/>
              <w:bottom w:val="single" w:sz="4" w:space="0" w:color="000000"/>
              <w:right w:val="single" w:sz="4" w:space="0" w:color="000000"/>
            </w:tcBorders>
            <w:shd w:val="clear" w:color="auto" w:fill="FFFF00"/>
            <w:vAlign w:val="bottom"/>
          </w:tcPr>
          <w:p w14:paraId="26CDDF0E" w14:textId="77777777" w:rsidR="003A3BCA" w:rsidRDefault="008276B6">
            <w:pPr>
              <w:jc w:val="center"/>
              <w:rPr>
                <w:rFonts w:ascii="Calibri" w:eastAsia="Calibri" w:hAnsi="Calibri" w:cs="Calibri"/>
                <w:color w:val="000000"/>
              </w:rPr>
            </w:pPr>
            <w:r>
              <w:rPr>
                <w:rFonts w:ascii="Calibri" w:eastAsia="Calibri" w:hAnsi="Calibri" w:cs="Calibri"/>
                <w:color w:val="000000"/>
              </w:rPr>
              <w:t>6</w:t>
            </w:r>
            <w:r>
              <w:rPr>
                <w:rFonts w:ascii="Calibri" w:eastAsia="Calibri" w:hAnsi="Calibri" w:cs="Calibri"/>
                <w:color w:val="000000"/>
                <w:vertAlign w:val="superscript"/>
              </w:rPr>
              <w:t>th</w:t>
            </w:r>
          </w:p>
        </w:tc>
        <w:tc>
          <w:tcPr>
            <w:tcW w:w="1077" w:type="dxa"/>
            <w:tcBorders>
              <w:top w:val="nil"/>
              <w:left w:val="nil"/>
              <w:bottom w:val="single" w:sz="4" w:space="0" w:color="000000"/>
              <w:right w:val="single" w:sz="4" w:space="0" w:color="000000"/>
            </w:tcBorders>
            <w:shd w:val="clear" w:color="auto" w:fill="FFFF00"/>
            <w:vAlign w:val="bottom"/>
          </w:tcPr>
          <w:p w14:paraId="42F2E837" w14:textId="77777777" w:rsidR="003A3BCA" w:rsidRDefault="008276B6">
            <w:pPr>
              <w:jc w:val="center"/>
              <w:rPr>
                <w:rFonts w:ascii="Calibri" w:eastAsia="Calibri" w:hAnsi="Calibri" w:cs="Calibri"/>
                <w:color w:val="000000"/>
              </w:rPr>
            </w:pPr>
            <w:r>
              <w:rPr>
                <w:rFonts w:ascii="Calibri" w:eastAsia="Calibri" w:hAnsi="Calibri" w:cs="Calibri"/>
                <w:color w:val="000000"/>
              </w:rPr>
              <w:t>5</w:t>
            </w:r>
            <w:r>
              <w:rPr>
                <w:rFonts w:ascii="Calibri" w:eastAsia="Calibri" w:hAnsi="Calibri" w:cs="Calibri"/>
                <w:color w:val="000000"/>
                <w:vertAlign w:val="superscript"/>
              </w:rPr>
              <w:t>th</w:t>
            </w:r>
          </w:p>
        </w:tc>
        <w:tc>
          <w:tcPr>
            <w:tcW w:w="885" w:type="dxa"/>
            <w:tcBorders>
              <w:top w:val="nil"/>
              <w:left w:val="nil"/>
              <w:bottom w:val="single" w:sz="4" w:space="0" w:color="000000"/>
              <w:right w:val="single" w:sz="4" w:space="0" w:color="000000"/>
            </w:tcBorders>
            <w:shd w:val="clear" w:color="auto" w:fill="FFFF00"/>
            <w:vAlign w:val="bottom"/>
          </w:tcPr>
          <w:p w14:paraId="7BC34E6F" w14:textId="77777777" w:rsidR="003A3BCA" w:rsidRDefault="008276B6">
            <w:pPr>
              <w:jc w:val="center"/>
              <w:rPr>
                <w:rFonts w:ascii="Calibri" w:eastAsia="Calibri" w:hAnsi="Calibri" w:cs="Calibri"/>
                <w:color w:val="000000"/>
              </w:rPr>
            </w:pPr>
            <w:r>
              <w:rPr>
                <w:rFonts w:ascii="Calibri" w:eastAsia="Calibri" w:hAnsi="Calibri" w:cs="Calibri"/>
                <w:color w:val="000000"/>
              </w:rPr>
              <w:t>5</w:t>
            </w:r>
            <w:r>
              <w:rPr>
                <w:rFonts w:ascii="Calibri" w:eastAsia="Calibri" w:hAnsi="Calibri" w:cs="Calibri"/>
                <w:color w:val="000000"/>
                <w:vertAlign w:val="superscript"/>
              </w:rPr>
              <w:t>th</w:t>
            </w:r>
          </w:p>
        </w:tc>
        <w:tc>
          <w:tcPr>
            <w:tcW w:w="1638" w:type="dxa"/>
            <w:tcBorders>
              <w:top w:val="nil"/>
              <w:left w:val="nil"/>
              <w:bottom w:val="single" w:sz="4" w:space="0" w:color="000000"/>
              <w:right w:val="single" w:sz="4" w:space="0" w:color="000000"/>
            </w:tcBorders>
            <w:shd w:val="clear" w:color="auto" w:fill="FFFF00"/>
            <w:vAlign w:val="bottom"/>
          </w:tcPr>
          <w:p w14:paraId="0EA4EAF8" w14:textId="77777777" w:rsidR="003A3BCA" w:rsidRDefault="008276B6">
            <w:pPr>
              <w:jc w:val="center"/>
              <w:rPr>
                <w:rFonts w:ascii="Calibri" w:eastAsia="Calibri" w:hAnsi="Calibri" w:cs="Calibri"/>
                <w:color w:val="000000"/>
              </w:rPr>
            </w:pPr>
            <w:r>
              <w:rPr>
                <w:rFonts w:ascii="Calibri" w:eastAsia="Calibri" w:hAnsi="Calibri" w:cs="Calibri"/>
                <w:color w:val="000000"/>
              </w:rPr>
              <w:t>2</w:t>
            </w:r>
            <w:r>
              <w:rPr>
                <w:rFonts w:ascii="Calibri" w:eastAsia="Calibri" w:hAnsi="Calibri" w:cs="Calibri"/>
                <w:color w:val="000000"/>
                <w:vertAlign w:val="superscript"/>
              </w:rPr>
              <w:t>nd</w:t>
            </w:r>
          </w:p>
        </w:tc>
        <w:tc>
          <w:tcPr>
            <w:tcW w:w="1624" w:type="dxa"/>
            <w:tcBorders>
              <w:top w:val="nil"/>
              <w:left w:val="nil"/>
              <w:bottom w:val="single" w:sz="4" w:space="0" w:color="000000"/>
              <w:right w:val="single" w:sz="4" w:space="0" w:color="000000"/>
            </w:tcBorders>
            <w:shd w:val="clear" w:color="auto" w:fill="FFFF00"/>
            <w:vAlign w:val="bottom"/>
          </w:tcPr>
          <w:p w14:paraId="67D6DC45" w14:textId="77777777" w:rsidR="003A3BCA" w:rsidRDefault="008276B6">
            <w:pPr>
              <w:jc w:val="center"/>
              <w:rPr>
                <w:rFonts w:ascii="Calibri" w:eastAsia="Calibri" w:hAnsi="Calibri" w:cs="Calibri"/>
                <w:color w:val="000000"/>
              </w:rPr>
            </w:pPr>
            <w:r>
              <w:rPr>
                <w:rFonts w:ascii="Calibri" w:eastAsia="Calibri" w:hAnsi="Calibri" w:cs="Calibri"/>
                <w:color w:val="000000"/>
              </w:rPr>
              <w:t>8</w:t>
            </w:r>
            <w:r>
              <w:rPr>
                <w:rFonts w:ascii="Calibri" w:eastAsia="Calibri" w:hAnsi="Calibri" w:cs="Calibri"/>
                <w:color w:val="000000"/>
                <w:vertAlign w:val="superscript"/>
              </w:rPr>
              <w:t>th</w:t>
            </w:r>
          </w:p>
        </w:tc>
      </w:tr>
    </w:tbl>
    <w:p w14:paraId="346CAD52" w14:textId="77777777" w:rsidR="003A3BCA" w:rsidRDefault="008276B6">
      <w:pPr>
        <w:pBdr>
          <w:top w:val="nil"/>
          <w:left w:val="nil"/>
          <w:bottom w:val="nil"/>
          <w:right w:val="nil"/>
          <w:between w:val="nil"/>
        </w:pBdr>
        <w:spacing w:after="200"/>
        <w:rPr>
          <w:i/>
          <w:color w:val="44546A"/>
          <w:sz w:val="18"/>
          <w:szCs w:val="18"/>
        </w:rPr>
      </w:pPr>
      <w:r>
        <w:rPr>
          <w:rFonts w:ascii="Calibri" w:eastAsia="Calibri" w:hAnsi="Calibri" w:cs="Calibri"/>
          <w:i/>
          <w:color w:val="44546A"/>
          <w:sz w:val="18"/>
          <w:szCs w:val="18"/>
        </w:rPr>
        <w:t>Table 4. Breakdown of Manchester United's performance by performance variables; Rank within league</w:t>
      </w:r>
    </w:p>
    <w:p w14:paraId="4841E088" w14:textId="77777777" w:rsidR="003A3BCA" w:rsidRDefault="008276B6">
      <w:pPr>
        <w:spacing w:line="360" w:lineRule="auto"/>
        <w:jc w:val="both"/>
      </w:pPr>
      <w:r>
        <w:t xml:space="preserve">As it can be seen, United’s inconsistencies have been </w:t>
      </w:r>
      <w:proofErr w:type="gramStart"/>
      <w:r>
        <w:t>fairly consistent</w:t>
      </w:r>
      <w:proofErr w:type="gramEnd"/>
      <w:r>
        <w:t>, in terms of average ranking within the English Premier League. In terms of possession, the club has a consistent 6</w:t>
      </w:r>
      <w:r>
        <w:rPr>
          <w:vertAlign w:val="superscript"/>
        </w:rPr>
        <w:t>th</w:t>
      </w:r>
      <w:r>
        <w:t xml:space="preserve"> position, whereas, for key passes, United’s average rank is 5</w:t>
      </w:r>
      <w:r>
        <w:rPr>
          <w:vertAlign w:val="superscript"/>
        </w:rPr>
        <w:t>th</w:t>
      </w:r>
      <w:r>
        <w:t>. Both indicators suggest that United has had issues with controlling the game and having a constant supply of good scoring opportunities. The latter has affected the club’s efficiency in front of the opposition goal, especially their last season where they had the 11</w:t>
      </w:r>
      <w:r>
        <w:rPr>
          <w:vertAlign w:val="superscript"/>
        </w:rPr>
        <w:t>th</w:t>
      </w:r>
      <w:r>
        <w:t xml:space="preserve"> most efficient attack in the league – quite the disappointment for a team with so many resources and talent. The real issue of the club has been its defense – after season 2017/2018, where Man United was the best defensive team in the league, there has been a constant regress, something that is unacceptable. On the other hand, United have been elite when it comes to the percentage of aerial duels won, as they have always been 1</w:t>
      </w:r>
      <w:r>
        <w:rPr>
          <w:vertAlign w:val="superscript"/>
        </w:rPr>
        <w:t>st</w:t>
      </w:r>
      <w:r>
        <w:t xml:space="preserve"> or 2</w:t>
      </w:r>
      <w:r>
        <w:rPr>
          <w:vertAlign w:val="superscript"/>
        </w:rPr>
        <w:t>nd</w:t>
      </w:r>
      <w:r>
        <w:t xml:space="preserve"> in this category, implying that, from this part of the game, they already have elite performers and perhaps don’t need many improvements. However, given all these rankings, and despite the elite % of winning aerial duels, we can say that the club has not been close to the top, where the amount of money they have spent should’ve put them. In fact, they have been quite far from having the best team in the league, quality-wise, as the variables suggest. </w:t>
      </w:r>
      <w:proofErr w:type="gramStart"/>
      <w:r>
        <w:t>Simply looking from this table, it</w:t>
      </w:r>
      <w:proofErr w:type="gramEnd"/>
      <w:r>
        <w:t xml:space="preserve"> can be concluded that United need improvements in each zone if they want to challenge for the league title. Their biggest deficiencies are in defense and in being able to control the game (possession), looking at these findings. </w:t>
      </w:r>
    </w:p>
    <w:tbl>
      <w:tblPr>
        <w:tblStyle w:val="a3"/>
        <w:tblW w:w="8625" w:type="dxa"/>
        <w:tblLayout w:type="fixed"/>
        <w:tblLook w:val="0400" w:firstRow="0" w:lastRow="0" w:firstColumn="0" w:lastColumn="0" w:noHBand="0" w:noVBand="1"/>
      </w:tblPr>
      <w:tblGrid>
        <w:gridCol w:w="2405"/>
        <w:gridCol w:w="3827"/>
        <w:gridCol w:w="2393"/>
      </w:tblGrid>
      <w:tr w:rsidR="003A3BCA" w14:paraId="71DCD9C3" w14:textId="77777777">
        <w:trPr>
          <w:trHeight w:val="481"/>
        </w:trPr>
        <w:tc>
          <w:tcPr>
            <w:tcW w:w="240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24F8EA9" w14:textId="77777777" w:rsidR="003A3BCA" w:rsidRDefault="008276B6">
            <w:pPr>
              <w:rPr>
                <w:rFonts w:ascii="Calibri" w:eastAsia="Calibri" w:hAnsi="Calibri" w:cs="Calibri"/>
                <w:color w:val="000000"/>
              </w:rPr>
            </w:pPr>
            <w:r>
              <w:rPr>
                <w:rFonts w:ascii="Calibri" w:eastAsia="Calibri" w:hAnsi="Calibri" w:cs="Calibri"/>
                <w:color w:val="000000"/>
              </w:rPr>
              <w:lastRenderedPageBreak/>
              <w:t>Season</w:t>
            </w:r>
          </w:p>
        </w:tc>
        <w:tc>
          <w:tcPr>
            <w:tcW w:w="3827" w:type="dxa"/>
            <w:tcBorders>
              <w:top w:val="single" w:sz="4" w:space="0" w:color="000000"/>
              <w:left w:val="nil"/>
              <w:bottom w:val="single" w:sz="4" w:space="0" w:color="000000"/>
              <w:right w:val="single" w:sz="4" w:space="0" w:color="000000"/>
            </w:tcBorders>
            <w:shd w:val="clear" w:color="auto" w:fill="auto"/>
            <w:vAlign w:val="center"/>
          </w:tcPr>
          <w:p w14:paraId="6120A749" w14:textId="77777777" w:rsidR="003A3BCA" w:rsidRDefault="008276B6">
            <w:pPr>
              <w:jc w:val="center"/>
              <w:rPr>
                <w:rFonts w:ascii="Calibri" w:eastAsia="Calibri" w:hAnsi="Calibri" w:cs="Calibri"/>
                <w:b/>
                <w:color w:val="000000"/>
              </w:rPr>
            </w:pPr>
            <w:r>
              <w:rPr>
                <w:rFonts w:ascii="Calibri" w:eastAsia="Calibri" w:hAnsi="Calibri" w:cs="Calibri"/>
                <w:b/>
                <w:color w:val="000000"/>
              </w:rPr>
              <w:t>Predicted Final Position</w:t>
            </w:r>
          </w:p>
        </w:tc>
        <w:tc>
          <w:tcPr>
            <w:tcW w:w="2393" w:type="dxa"/>
            <w:tcBorders>
              <w:top w:val="single" w:sz="4" w:space="0" w:color="000000"/>
              <w:left w:val="nil"/>
              <w:bottom w:val="single" w:sz="4" w:space="0" w:color="000000"/>
              <w:right w:val="single" w:sz="4" w:space="0" w:color="000000"/>
            </w:tcBorders>
            <w:shd w:val="clear" w:color="auto" w:fill="auto"/>
            <w:vAlign w:val="center"/>
          </w:tcPr>
          <w:p w14:paraId="3CBE76B5" w14:textId="77777777" w:rsidR="003A3BCA" w:rsidRDefault="008276B6">
            <w:pPr>
              <w:jc w:val="center"/>
              <w:rPr>
                <w:rFonts w:ascii="Calibri" w:eastAsia="Calibri" w:hAnsi="Calibri" w:cs="Calibri"/>
                <w:b/>
                <w:color w:val="000000"/>
              </w:rPr>
            </w:pPr>
            <w:r>
              <w:rPr>
                <w:rFonts w:ascii="Calibri" w:eastAsia="Calibri" w:hAnsi="Calibri" w:cs="Calibri"/>
                <w:b/>
                <w:color w:val="000000"/>
              </w:rPr>
              <w:t>Final Position</w:t>
            </w:r>
          </w:p>
        </w:tc>
      </w:tr>
      <w:tr w:rsidR="003A3BCA" w14:paraId="1DDD4963" w14:textId="77777777">
        <w:trPr>
          <w:trHeight w:val="481"/>
        </w:trPr>
        <w:tc>
          <w:tcPr>
            <w:tcW w:w="2405" w:type="dxa"/>
            <w:tcBorders>
              <w:top w:val="nil"/>
              <w:left w:val="single" w:sz="4" w:space="0" w:color="000000"/>
              <w:bottom w:val="single" w:sz="4" w:space="0" w:color="000000"/>
              <w:right w:val="single" w:sz="4" w:space="0" w:color="000000"/>
            </w:tcBorders>
            <w:shd w:val="clear" w:color="auto" w:fill="auto"/>
            <w:vAlign w:val="bottom"/>
          </w:tcPr>
          <w:p w14:paraId="409B1024" w14:textId="77777777" w:rsidR="003A3BCA" w:rsidRDefault="008276B6">
            <w:pPr>
              <w:rPr>
                <w:rFonts w:ascii="Calibri" w:eastAsia="Calibri" w:hAnsi="Calibri" w:cs="Calibri"/>
                <w:color w:val="000000"/>
              </w:rPr>
            </w:pPr>
            <w:r>
              <w:rPr>
                <w:rFonts w:ascii="Calibri" w:eastAsia="Calibri" w:hAnsi="Calibri" w:cs="Calibri"/>
                <w:color w:val="000000"/>
              </w:rPr>
              <w:t>2017/2018</w:t>
            </w:r>
          </w:p>
        </w:tc>
        <w:tc>
          <w:tcPr>
            <w:tcW w:w="3827" w:type="dxa"/>
            <w:tcBorders>
              <w:top w:val="nil"/>
              <w:left w:val="nil"/>
              <w:bottom w:val="single" w:sz="4" w:space="0" w:color="000000"/>
              <w:right w:val="single" w:sz="4" w:space="0" w:color="000000"/>
            </w:tcBorders>
            <w:shd w:val="clear" w:color="auto" w:fill="auto"/>
            <w:vAlign w:val="bottom"/>
          </w:tcPr>
          <w:p w14:paraId="17C70A20" w14:textId="77777777" w:rsidR="003A3BCA" w:rsidRDefault="008276B6">
            <w:pPr>
              <w:jc w:val="center"/>
              <w:rPr>
                <w:rFonts w:ascii="Calibri" w:eastAsia="Calibri" w:hAnsi="Calibri" w:cs="Calibri"/>
                <w:color w:val="000000"/>
              </w:rPr>
            </w:pPr>
            <w:r>
              <w:rPr>
                <w:rFonts w:ascii="Calibri" w:eastAsia="Calibri" w:hAnsi="Calibri" w:cs="Calibri"/>
                <w:color w:val="000000"/>
              </w:rPr>
              <w:t>2</w:t>
            </w:r>
            <w:r>
              <w:rPr>
                <w:rFonts w:ascii="Calibri" w:eastAsia="Calibri" w:hAnsi="Calibri" w:cs="Calibri"/>
                <w:color w:val="000000"/>
                <w:vertAlign w:val="superscript"/>
              </w:rPr>
              <w:t>nd</w:t>
            </w:r>
          </w:p>
        </w:tc>
        <w:tc>
          <w:tcPr>
            <w:tcW w:w="2393" w:type="dxa"/>
            <w:tcBorders>
              <w:top w:val="nil"/>
              <w:left w:val="nil"/>
              <w:bottom w:val="single" w:sz="4" w:space="0" w:color="000000"/>
              <w:right w:val="single" w:sz="4" w:space="0" w:color="000000"/>
            </w:tcBorders>
            <w:shd w:val="clear" w:color="auto" w:fill="auto"/>
            <w:vAlign w:val="bottom"/>
          </w:tcPr>
          <w:p w14:paraId="49DC2752" w14:textId="77777777" w:rsidR="003A3BCA" w:rsidRDefault="008276B6">
            <w:pPr>
              <w:jc w:val="center"/>
              <w:rPr>
                <w:rFonts w:ascii="Calibri" w:eastAsia="Calibri" w:hAnsi="Calibri" w:cs="Calibri"/>
                <w:color w:val="000000"/>
              </w:rPr>
            </w:pPr>
            <w:r>
              <w:rPr>
                <w:rFonts w:ascii="Calibri" w:eastAsia="Calibri" w:hAnsi="Calibri" w:cs="Calibri"/>
                <w:color w:val="000000"/>
              </w:rPr>
              <w:t>2</w:t>
            </w:r>
            <w:r>
              <w:rPr>
                <w:rFonts w:ascii="Calibri" w:eastAsia="Calibri" w:hAnsi="Calibri" w:cs="Calibri"/>
                <w:color w:val="000000"/>
                <w:vertAlign w:val="superscript"/>
              </w:rPr>
              <w:t>nd</w:t>
            </w:r>
          </w:p>
        </w:tc>
      </w:tr>
      <w:tr w:rsidR="003A3BCA" w14:paraId="7949634E" w14:textId="77777777">
        <w:trPr>
          <w:trHeight w:val="481"/>
        </w:trPr>
        <w:tc>
          <w:tcPr>
            <w:tcW w:w="2405" w:type="dxa"/>
            <w:tcBorders>
              <w:top w:val="nil"/>
              <w:left w:val="single" w:sz="4" w:space="0" w:color="000000"/>
              <w:bottom w:val="single" w:sz="4" w:space="0" w:color="000000"/>
              <w:right w:val="single" w:sz="4" w:space="0" w:color="000000"/>
            </w:tcBorders>
            <w:shd w:val="clear" w:color="auto" w:fill="auto"/>
            <w:vAlign w:val="bottom"/>
          </w:tcPr>
          <w:p w14:paraId="4D551136" w14:textId="77777777" w:rsidR="003A3BCA" w:rsidRDefault="008276B6">
            <w:pPr>
              <w:rPr>
                <w:rFonts w:ascii="Calibri" w:eastAsia="Calibri" w:hAnsi="Calibri" w:cs="Calibri"/>
                <w:color w:val="000000"/>
              </w:rPr>
            </w:pPr>
            <w:r>
              <w:rPr>
                <w:rFonts w:ascii="Calibri" w:eastAsia="Calibri" w:hAnsi="Calibri" w:cs="Calibri"/>
                <w:color w:val="000000"/>
              </w:rPr>
              <w:t>2018/2019</w:t>
            </w:r>
          </w:p>
        </w:tc>
        <w:tc>
          <w:tcPr>
            <w:tcW w:w="3827" w:type="dxa"/>
            <w:tcBorders>
              <w:top w:val="nil"/>
              <w:left w:val="nil"/>
              <w:bottom w:val="single" w:sz="4" w:space="0" w:color="000000"/>
              <w:right w:val="single" w:sz="4" w:space="0" w:color="000000"/>
            </w:tcBorders>
            <w:shd w:val="clear" w:color="auto" w:fill="auto"/>
            <w:vAlign w:val="bottom"/>
          </w:tcPr>
          <w:p w14:paraId="538231F0" w14:textId="77777777" w:rsidR="003A3BCA" w:rsidRDefault="008276B6">
            <w:pPr>
              <w:jc w:val="center"/>
              <w:rPr>
                <w:rFonts w:ascii="Calibri" w:eastAsia="Calibri" w:hAnsi="Calibri" w:cs="Calibri"/>
                <w:color w:val="000000"/>
              </w:rPr>
            </w:pPr>
            <w:r>
              <w:rPr>
                <w:rFonts w:ascii="Calibri" w:eastAsia="Calibri" w:hAnsi="Calibri" w:cs="Calibri"/>
                <w:color w:val="000000"/>
              </w:rPr>
              <w:t>7</w:t>
            </w:r>
            <w:r>
              <w:rPr>
                <w:rFonts w:ascii="Calibri" w:eastAsia="Calibri" w:hAnsi="Calibri" w:cs="Calibri"/>
                <w:color w:val="000000"/>
                <w:vertAlign w:val="superscript"/>
              </w:rPr>
              <w:t>th</w:t>
            </w:r>
          </w:p>
        </w:tc>
        <w:tc>
          <w:tcPr>
            <w:tcW w:w="2393" w:type="dxa"/>
            <w:tcBorders>
              <w:top w:val="nil"/>
              <w:left w:val="nil"/>
              <w:bottom w:val="single" w:sz="4" w:space="0" w:color="000000"/>
              <w:right w:val="single" w:sz="4" w:space="0" w:color="000000"/>
            </w:tcBorders>
            <w:shd w:val="clear" w:color="auto" w:fill="auto"/>
            <w:vAlign w:val="bottom"/>
          </w:tcPr>
          <w:p w14:paraId="44C29E8D" w14:textId="77777777" w:rsidR="003A3BCA" w:rsidRDefault="008276B6">
            <w:pPr>
              <w:jc w:val="center"/>
              <w:rPr>
                <w:rFonts w:ascii="Calibri" w:eastAsia="Calibri" w:hAnsi="Calibri" w:cs="Calibri"/>
                <w:color w:val="000000"/>
              </w:rPr>
            </w:pPr>
            <w:r>
              <w:rPr>
                <w:rFonts w:ascii="Calibri" w:eastAsia="Calibri" w:hAnsi="Calibri" w:cs="Calibri"/>
                <w:color w:val="000000"/>
              </w:rPr>
              <w:t>6</w:t>
            </w:r>
            <w:r>
              <w:rPr>
                <w:rFonts w:ascii="Calibri" w:eastAsia="Calibri" w:hAnsi="Calibri" w:cs="Calibri"/>
                <w:color w:val="000000"/>
                <w:vertAlign w:val="superscript"/>
              </w:rPr>
              <w:t>th</w:t>
            </w:r>
          </w:p>
        </w:tc>
      </w:tr>
      <w:tr w:rsidR="003A3BCA" w14:paraId="1C2339D5" w14:textId="77777777">
        <w:trPr>
          <w:trHeight w:val="481"/>
        </w:trPr>
        <w:tc>
          <w:tcPr>
            <w:tcW w:w="2405" w:type="dxa"/>
            <w:tcBorders>
              <w:top w:val="nil"/>
              <w:left w:val="single" w:sz="4" w:space="0" w:color="000000"/>
              <w:bottom w:val="single" w:sz="4" w:space="0" w:color="000000"/>
              <w:right w:val="single" w:sz="4" w:space="0" w:color="000000"/>
            </w:tcBorders>
            <w:shd w:val="clear" w:color="auto" w:fill="auto"/>
            <w:vAlign w:val="bottom"/>
          </w:tcPr>
          <w:p w14:paraId="0F73B09C" w14:textId="77777777" w:rsidR="003A3BCA" w:rsidRDefault="008276B6">
            <w:pPr>
              <w:rPr>
                <w:rFonts w:ascii="Calibri" w:eastAsia="Calibri" w:hAnsi="Calibri" w:cs="Calibri"/>
                <w:color w:val="000000"/>
              </w:rPr>
            </w:pPr>
            <w:r>
              <w:rPr>
                <w:rFonts w:ascii="Calibri" w:eastAsia="Calibri" w:hAnsi="Calibri" w:cs="Calibri"/>
                <w:color w:val="000000"/>
              </w:rPr>
              <w:t>2019/2020</w:t>
            </w:r>
          </w:p>
        </w:tc>
        <w:tc>
          <w:tcPr>
            <w:tcW w:w="3827" w:type="dxa"/>
            <w:tcBorders>
              <w:top w:val="nil"/>
              <w:left w:val="nil"/>
              <w:bottom w:val="single" w:sz="4" w:space="0" w:color="000000"/>
              <w:right w:val="single" w:sz="4" w:space="0" w:color="000000"/>
            </w:tcBorders>
            <w:shd w:val="clear" w:color="auto" w:fill="auto"/>
            <w:vAlign w:val="bottom"/>
          </w:tcPr>
          <w:p w14:paraId="644AFB28" w14:textId="77777777" w:rsidR="003A3BCA" w:rsidRDefault="008276B6">
            <w:pPr>
              <w:jc w:val="center"/>
              <w:rPr>
                <w:rFonts w:ascii="Calibri" w:eastAsia="Calibri" w:hAnsi="Calibri" w:cs="Calibri"/>
                <w:color w:val="000000"/>
              </w:rPr>
            </w:pPr>
            <w:r>
              <w:rPr>
                <w:rFonts w:ascii="Calibri" w:eastAsia="Calibri" w:hAnsi="Calibri" w:cs="Calibri"/>
                <w:color w:val="000000"/>
              </w:rPr>
              <w:t>6</w:t>
            </w:r>
            <w:r>
              <w:rPr>
                <w:rFonts w:ascii="Calibri" w:eastAsia="Calibri" w:hAnsi="Calibri" w:cs="Calibri"/>
                <w:color w:val="000000"/>
                <w:vertAlign w:val="superscript"/>
              </w:rPr>
              <w:t>th</w:t>
            </w:r>
          </w:p>
        </w:tc>
        <w:tc>
          <w:tcPr>
            <w:tcW w:w="2393" w:type="dxa"/>
            <w:tcBorders>
              <w:top w:val="nil"/>
              <w:left w:val="nil"/>
              <w:bottom w:val="single" w:sz="4" w:space="0" w:color="000000"/>
              <w:right w:val="single" w:sz="4" w:space="0" w:color="000000"/>
            </w:tcBorders>
            <w:shd w:val="clear" w:color="auto" w:fill="auto"/>
            <w:vAlign w:val="bottom"/>
          </w:tcPr>
          <w:p w14:paraId="2B9206FF" w14:textId="77777777" w:rsidR="003A3BCA" w:rsidRDefault="008276B6">
            <w:pPr>
              <w:jc w:val="center"/>
              <w:rPr>
                <w:rFonts w:ascii="Calibri" w:eastAsia="Calibri" w:hAnsi="Calibri" w:cs="Calibri"/>
                <w:color w:val="000000"/>
              </w:rPr>
            </w:pPr>
            <w:r>
              <w:rPr>
                <w:rFonts w:ascii="Calibri" w:eastAsia="Calibri" w:hAnsi="Calibri" w:cs="Calibri"/>
                <w:color w:val="000000"/>
              </w:rPr>
              <w:t>3</w:t>
            </w:r>
            <w:r>
              <w:rPr>
                <w:rFonts w:ascii="Calibri" w:eastAsia="Calibri" w:hAnsi="Calibri" w:cs="Calibri"/>
                <w:color w:val="000000"/>
                <w:vertAlign w:val="superscript"/>
              </w:rPr>
              <w:t>rd</w:t>
            </w:r>
          </w:p>
        </w:tc>
      </w:tr>
      <w:tr w:rsidR="003A3BCA" w14:paraId="28893D6C" w14:textId="77777777">
        <w:trPr>
          <w:trHeight w:val="481"/>
        </w:trPr>
        <w:tc>
          <w:tcPr>
            <w:tcW w:w="2405" w:type="dxa"/>
            <w:tcBorders>
              <w:top w:val="nil"/>
              <w:left w:val="single" w:sz="4" w:space="0" w:color="000000"/>
              <w:bottom w:val="single" w:sz="4" w:space="0" w:color="000000"/>
              <w:right w:val="single" w:sz="4" w:space="0" w:color="000000"/>
            </w:tcBorders>
            <w:shd w:val="clear" w:color="auto" w:fill="auto"/>
            <w:vAlign w:val="bottom"/>
          </w:tcPr>
          <w:p w14:paraId="0E6E6804" w14:textId="77777777" w:rsidR="003A3BCA" w:rsidRDefault="008276B6">
            <w:pPr>
              <w:rPr>
                <w:rFonts w:ascii="Calibri" w:eastAsia="Calibri" w:hAnsi="Calibri" w:cs="Calibri"/>
                <w:color w:val="000000"/>
              </w:rPr>
            </w:pPr>
            <w:r>
              <w:rPr>
                <w:rFonts w:ascii="Calibri" w:eastAsia="Calibri" w:hAnsi="Calibri" w:cs="Calibri"/>
                <w:color w:val="000000"/>
              </w:rPr>
              <w:t>2020/2021</w:t>
            </w:r>
          </w:p>
        </w:tc>
        <w:tc>
          <w:tcPr>
            <w:tcW w:w="3827" w:type="dxa"/>
            <w:tcBorders>
              <w:top w:val="nil"/>
              <w:left w:val="nil"/>
              <w:bottom w:val="single" w:sz="4" w:space="0" w:color="000000"/>
              <w:right w:val="single" w:sz="4" w:space="0" w:color="000000"/>
            </w:tcBorders>
            <w:shd w:val="clear" w:color="auto" w:fill="auto"/>
            <w:vAlign w:val="bottom"/>
          </w:tcPr>
          <w:p w14:paraId="3C990771" w14:textId="77777777" w:rsidR="003A3BCA" w:rsidRDefault="008276B6">
            <w:pPr>
              <w:jc w:val="center"/>
              <w:rPr>
                <w:rFonts w:ascii="Calibri" w:eastAsia="Calibri" w:hAnsi="Calibri" w:cs="Calibri"/>
                <w:color w:val="000000"/>
              </w:rPr>
            </w:pPr>
            <w:r>
              <w:rPr>
                <w:rFonts w:ascii="Calibri" w:eastAsia="Calibri" w:hAnsi="Calibri" w:cs="Calibri"/>
                <w:color w:val="000000"/>
              </w:rPr>
              <w:t>4</w:t>
            </w:r>
            <w:r>
              <w:rPr>
                <w:rFonts w:ascii="Calibri" w:eastAsia="Calibri" w:hAnsi="Calibri" w:cs="Calibri"/>
                <w:color w:val="000000"/>
                <w:vertAlign w:val="superscript"/>
              </w:rPr>
              <w:t>th</w:t>
            </w:r>
          </w:p>
        </w:tc>
        <w:tc>
          <w:tcPr>
            <w:tcW w:w="2393" w:type="dxa"/>
            <w:tcBorders>
              <w:top w:val="nil"/>
              <w:left w:val="nil"/>
              <w:bottom w:val="single" w:sz="4" w:space="0" w:color="000000"/>
              <w:right w:val="single" w:sz="4" w:space="0" w:color="000000"/>
            </w:tcBorders>
            <w:shd w:val="clear" w:color="auto" w:fill="auto"/>
            <w:vAlign w:val="bottom"/>
          </w:tcPr>
          <w:p w14:paraId="55BF5769" w14:textId="77777777" w:rsidR="003A3BCA" w:rsidRDefault="008276B6">
            <w:pPr>
              <w:jc w:val="center"/>
              <w:rPr>
                <w:rFonts w:ascii="Calibri" w:eastAsia="Calibri" w:hAnsi="Calibri" w:cs="Calibri"/>
                <w:color w:val="000000"/>
              </w:rPr>
            </w:pPr>
            <w:r>
              <w:rPr>
                <w:rFonts w:ascii="Calibri" w:eastAsia="Calibri" w:hAnsi="Calibri" w:cs="Calibri"/>
                <w:color w:val="000000"/>
              </w:rPr>
              <w:t>2</w:t>
            </w:r>
            <w:r>
              <w:rPr>
                <w:rFonts w:ascii="Calibri" w:eastAsia="Calibri" w:hAnsi="Calibri" w:cs="Calibri"/>
                <w:color w:val="000000"/>
                <w:vertAlign w:val="superscript"/>
              </w:rPr>
              <w:t>nd</w:t>
            </w:r>
          </w:p>
        </w:tc>
      </w:tr>
      <w:tr w:rsidR="003A3BCA" w14:paraId="74D657D5" w14:textId="77777777">
        <w:trPr>
          <w:trHeight w:val="481"/>
        </w:trPr>
        <w:tc>
          <w:tcPr>
            <w:tcW w:w="2405" w:type="dxa"/>
            <w:tcBorders>
              <w:top w:val="nil"/>
              <w:left w:val="single" w:sz="4" w:space="0" w:color="000000"/>
              <w:bottom w:val="single" w:sz="4" w:space="0" w:color="000000"/>
              <w:right w:val="single" w:sz="4" w:space="0" w:color="000000"/>
            </w:tcBorders>
            <w:shd w:val="clear" w:color="auto" w:fill="auto"/>
            <w:vAlign w:val="bottom"/>
          </w:tcPr>
          <w:p w14:paraId="34062FC0" w14:textId="77777777" w:rsidR="003A3BCA" w:rsidRDefault="008276B6">
            <w:pPr>
              <w:rPr>
                <w:rFonts w:ascii="Calibri" w:eastAsia="Calibri" w:hAnsi="Calibri" w:cs="Calibri"/>
                <w:color w:val="000000"/>
              </w:rPr>
            </w:pPr>
            <w:r>
              <w:rPr>
                <w:rFonts w:ascii="Calibri" w:eastAsia="Calibri" w:hAnsi="Calibri" w:cs="Calibri"/>
                <w:color w:val="000000"/>
              </w:rPr>
              <w:t>2021/2022</w:t>
            </w:r>
          </w:p>
        </w:tc>
        <w:tc>
          <w:tcPr>
            <w:tcW w:w="3827" w:type="dxa"/>
            <w:tcBorders>
              <w:top w:val="nil"/>
              <w:left w:val="nil"/>
              <w:bottom w:val="single" w:sz="4" w:space="0" w:color="000000"/>
              <w:right w:val="single" w:sz="4" w:space="0" w:color="000000"/>
            </w:tcBorders>
            <w:shd w:val="clear" w:color="auto" w:fill="auto"/>
            <w:vAlign w:val="bottom"/>
          </w:tcPr>
          <w:p w14:paraId="6C62B895" w14:textId="77777777" w:rsidR="003A3BCA" w:rsidRDefault="008276B6">
            <w:pPr>
              <w:jc w:val="center"/>
              <w:rPr>
                <w:rFonts w:ascii="Calibri" w:eastAsia="Calibri" w:hAnsi="Calibri" w:cs="Calibri"/>
                <w:color w:val="000000"/>
              </w:rPr>
            </w:pPr>
            <w:r>
              <w:rPr>
                <w:rFonts w:ascii="Calibri" w:eastAsia="Calibri" w:hAnsi="Calibri" w:cs="Calibri"/>
                <w:color w:val="000000"/>
              </w:rPr>
              <w:t>7</w:t>
            </w:r>
            <w:r>
              <w:rPr>
                <w:rFonts w:ascii="Calibri" w:eastAsia="Calibri" w:hAnsi="Calibri" w:cs="Calibri"/>
                <w:color w:val="000000"/>
                <w:vertAlign w:val="superscript"/>
              </w:rPr>
              <w:t>th</w:t>
            </w:r>
          </w:p>
        </w:tc>
        <w:tc>
          <w:tcPr>
            <w:tcW w:w="2393" w:type="dxa"/>
            <w:tcBorders>
              <w:top w:val="nil"/>
              <w:left w:val="nil"/>
              <w:bottom w:val="single" w:sz="4" w:space="0" w:color="000000"/>
              <w:right w:val="single" w:sz="4" w:space="0" w:color="000000"/>
            </w:tcBorders>
            <w:shd w:val="clear" w:color="auto" w:fill="auto"/>
            <w:vAlign w:val="bottom"/>
          </w:tcPr>
          <w:p w14:paraId="2250122F" w14:textId="77777777" w:rsidR="003A3BCA" w:rsidRDefault="008276B6">
            <w:pPr>
              <w:jc w:val="center"/>
              <w:rPr>
                <w:rFonts w:ascii="Calibri" w:eastAsia="Calibri" w:hAnsi="Calibri" w:cs="Calibri"/>
                <w:color w:val="000000"/>
              </w:rPr>
            </w:pPr>
            <w:r>
              <w:rPr>
                <w:rFonts w:ascii="Calibri" w:eastAsia="Calibri" w:hAnsi="Calibri" w:cs="Calibri"/>
                <w:color w:val="000000"/>
              </w:rPr>
              <w:t>6</w:t>
            </w:r>
            <w:r>
              <w:rPr>
                <w:rFonts w:ascii="Calibri" w:eastAsia="Calibri" w:hAnsi="Calibri" w:cs="Calibri"/>
                <w:color w:val="000000"/>
                <w:vertAlign w:val="superscript"/>
              </w:rPr>
              <w:t>th</w:t>
            </w:r>
          </w:p>
        </w:tc>
      </w:tr>
    </w:tbl>
    <w:p w14:paraId="5DF48083" w14:textId="77777777" w:rsidR="003A3BCA" w:rsidRDefault="008276B6">
      <w:pPr>
        <w:pBdr>
          <w:top w:val="nil"/>
          <w:left w:val="nil"/>
          <w:bottom w:val="nil"/>
          <w:right w:val="nil"/>
          <w:between w:val="nil"/>
        </w:pBdr>
        <w:spacing w:after="200"/>
        <w:rPr>
          <w:rFonts w:ascii="Calibri" w:eastAsia="Calibri" w:hAnsi="Calibri" w:cs="Calibri"/>
          <w:i/>
          <w:color w:val="44546A"/>
          <w:sz w:val="18"/>
          <w:szCs w:val="18"/>
        </w:rPr>
      </w:pPr>
      <w:r>
        <w:rPr>
          <w:rFonts w:ascii="Calibri" w:eastAsia="Calibri" w:hAnsi="Calibri" w:cs="Calibri"/>
          <w:i/>
          <w:color w:val="44546A"/>
          <w:sz w:val="18"/>
          <w:szCs w:val="18"/>
        </w:rPr>
        <w:t xml:space="preserve"> Table 5. Manchester United's predicted and final league position</w:t>
      </w:r>
    </w:p>
    <w:p w14:paraId="07F2FE6E" w14:textId="77777777" w:rsidR="003A3BCA" w:rsidRDefault="008276B6">
      <w:pPr>
        <w:spacing w:line="360" w:lineRule="auto"/>
        <w:ind w:firstLine="720"/>
        <w:jc w:val="both"/>
      </w:pPr>
      <w:r>
        <w:t xml:space="preserve">Table 5 shows us United’s predicted and actual league position during the time frame of interest. The predicted final position was calculated via the regression analysis model and the statistics from Table 3. The formula, derived from the prediction model looks like this: </w:t>
      </w:r>
      <w:r>
        <w:br/>
        <w:t xml:space="preserve">y= 30,47444795 + (Possession * -0,239071203) + (Key Passes * -0,022982811) + (Goals – </w:t>
      </w:r>
      <w:proofErr w:type="spellStart"/>
      <w:r>
        <w:t>xG</w:t>
      </w:r>
      <w:proofErr w:type="spellEnd"/>
      <w:r>
        <w:t xml:space="preserve"> * -0,25303028) + (Aerials Won % * -0,242480312) + (Opponent Goals – </w:t>
      </w:r>
      <w:proofErr w:type="spellStart"/>
      <w:r>
        <w:t>xG</w:t>
      </w:r>
      <w:proofErr w:type="spellEnd"/>
      <w:r>
        <w:t xml:space="preserve"> * 0,216392165). The key takeaway from the model is that increased levels of possession, key passes, and efficient attack increase the likelihood of a positive final league position. This model will play a key role later in the strategic recommendations part when it comes to player suggestions to exploit weak zones of the club. </w:t>
      </w:r>
    </w:p>
    <w:p w14:paraId="10177777" w14:textId="77777777" w:rsidR="003A3BCA" w:rsidRDefault="008276B6">
      <w:pPr>
        <w:spacing w:line="360" w:lineRule="auto"/>
        <w:ind w:firstLine="720"/>
        <w:jc w:val="both"/>
      </w:pPr>
      <w:r>
        <w:t>As it can be observed from the model, United have, for the most part, outperformed their expected final league positions in almost all seasons of interest. And even though this is the case, they have still finished in a non-desired position, given their spending. What is meant by this is that it’s unacceptable to have a top 5 squad in the league (from a market value point of view), and still be expected to finish 7</w:t>
      </w:r>
      <w:r>
        <w:rPr>
          <w:vertAlign w:val="superscript"/>
        </w:rPr>
        <w:t>th</w:t>
      </w:r>
      <w:r>
        <w:t xml:space="preserve"> on multiple occasions, given the team’s performance. </w:t>
      </w:r>
    </w:p>
    <w:tbl>
      <w:tblPr>
        <w:tblStyle w:val="a4"/>
        <w:tblW w:w="9121" w:type="dxa"/>
        <w:tblLayout w:type="fixed"/>
        <w:tblLook w:val="0400" w:firstRow="0" w:lastRow="0" w:firstColumn="0" w:lastColumn="0" w:noHBand="0" w:noVBand="1"/>
      </w:tblPr>
      <w:tblGrid>
        <w:gridCol w:w="5366"/>
        <w:gridCol w:w="3755"/>
      </w:tblGrid>
      <w:tr w:rsidR="003A3BCA" w14:paraId="5EBE7C43" w14:textId="77777777">
        <w:trPr>
          <w:trHeight w:val="417"/>
        </w:trPr>
        <w:tc>
          <w:tcPr>
            <w:tcW w:w="53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4EB7DD" w14:textId="77777777" w:rsidR="003A3BCA" w:rsidRDefault="008276B6">
            <w:pPr>
              <w:jc w:val="center"/>
              <w:rPr>
                <w:rFonts w:ascii="Calibri" w:eastAsia="Calibri" w:hAnsi="Calibri" w:cs="Calibri"/>
                <w:b/>
                <w:color w:val="000000"/>
              </w:rPr>
            </w:pPr>
            <w:r>
              <w:rPr>
                <w:rFonts w:ascii="Calibri" w:eastAsia="Calibri" w:hAnsi="Calibri" w:cs="Calibri"/>
                <w:b/>
                <w:color w:val="000000"/>
              </w:rPr>
              <w:t>Season</w:t>
            </w:r>
          </w:p>
        </w:tc>
        <w:tc>
          <w:tcPr>
            <w:tcW w:w="3755" w:type="dxa"/>
            <w:tcBorders>
              <w:top w:val="single" w:sz="4" w:space="0" w:color="000000"/>
              <w:left w:val="nil"/>
              <w:bottom w:val="single" w:sz="4" w:space="0" w:color="000000"/>
              <w:right w:val="single" w:sz="4" w:space="0" w:color="000000"/>
            </w:tcBorders>
            <w:shd w:val="clear" w:color="auto" w:fill="auto"/>
            <w:vAlign w:val="bottom"/>
          </w:tcPr>
          <w:p w14:paraId="39F09CDC" w14:textId="77777777" w:rsidR="003A3BCA" w:rsidRDefault="008276B6">
            <w:pPr>
              <w:rPr>
                <w:rFonts w:ascii="Calibri" w:eastAsia="Calibri" w:hAnsi="Calibri" w:cs="Calibri"/>
                <w:b/>
                <w:color w:val="000000"/>
              </w:rPr>
            </w:pPr>
            <w:r>
              <w:rPr>
                <w:rFonts w:ascii="Calibri" w:eastAsia="Calibri" w:hAnsi="Calibri" w:cs="Calibri"/>
                <w:b/>
                <w:color w:val="000000"/>
              </w:rPr>
              <w:t xml:space="preserve">Market Value, rank </w:t>
            </w:r>
            <w:r>
              <w:rPr>
                <w:rFonts w:ascii="Calibri" w:eastAsia="Calibri" w:hAnsi="Calibri" w:cs="Calibri"/>
                <w:b/>
              </w:rPr>
              <w:t>within</w:t>
            </w:r>
            <w:r>
              <w:rPr>
                <w:rFonts w:ascii="Calibri" w:eastAsia="Calibri" w:hAnsi="Calibri" w:cs="Calibri"/>
                <w:b/>
                <w:color w:val="000000"/>
              </w:rPr>
              <w:t xml:space="preserve"> league</w:t>
            </w:r>
          </w:p>
        </w:tc>
      </w:tr>
      <w:tr w:rsidR="003A3BCA" w14:paraId="0BE8C45B" w14:textId="77777777">
        <w:trPr>
          <w:trHeight w:val="417"/>
        </w:trPr>
        <w:tc>
          <w:tcPr>
            <w:tcW w:w="5366" w:type="dxa"/>
            <w:tcBorders>
              <w:top w:val="nil"/>
              <w:left w:val="single" w:sz="4" w:space="0" w:color="000000"/>
              <w:bottom w:val="single" w:sz="4" w:space="0" w:color="000000"/>
              <w:right w:val="single" w:sz="4" w:space="0" w:color="000000"/>
            </w:tcBorders>
            <w:shd w:val="clear" w:color="auto" w:fill="auto"/>
            <w:vAlign w:val="bottom"/>
          </w:tcPr>
          <w:p w14:paraId="4CB1F619" w14:textId="77777777" w:rsidR="003A3BCA" w:rsidRDefault="008276B6">
            <w:pPr>
              <w:jc w:val="center"/>
              <w:rPr>
                <w:rFonts w:ascii="Calibri" w:eastAsia="Calibri" w:hAnsi="Calibri" w:cs="Calibri"/>
                <w:b/>
                <w:color w:val="000000"/>
              </w:rPr>
            </w:pPr>
            <w:r>
              <w:rPr>
                <w:rFonts w:ascii="Calibri" w:eastAsia="Calibri" w:hAnsi="Calibri" w:cs="Calibri"/>
                <w:b/>
                <w:color w:val="000000"/>
              </w:rPr>
              <w:t>2017/2018</w:t>
            </w:r>
          </w:p>
        </w:tc>
        <w:tc>
          <w:tcPr>
            <w:tcW w:w="3755" w:type="dxa"/>
            <w:tcBorders>
              <w:top w:val="nil"/>
              <w:left w:val="nil"/>
              <w:bottom w:val="single" w:sz="4" w:space="0" w:color="000000"/>
              <w:right w:val="single" w:sz="4" w:space="0" w:color="000000"/>
            </w:tcBorders>
            <w:shd w:val="clear" w:color="auto" w:fill="auto"/>
            <w:vAlign w:val="bottom"/>
          </w:tcPr>
          <w:p w14:paraId="623AFC2A" w14:textId="77777777" w:rsidR="003A3BCA" w:rsidRDefault="008276B6">
            <w:pPr>
              <w:jc w:val="center"/>
              <w:rPr>
                <w:rFonts w:ascii="Calibri" w:eastAsia="Calibri" w:hAnsi="Calibri" w:cs="Calibri"/>
                <w:color w:val="000000"/>
              </w:rPr>
            </w:pPr>
            <w:r>
              <w:rPr>
                <w:rFonts w:ascii="Calibri" w:eastAsia="Calibri" w:hAnsi="Calibri" w:cs="Calibri"/>
                <w:color w:val="000000"/>
              </w:rPr>
              <w:t>4</w:t>
            </w:r>
            <w:r>
              <w:rPr>
                <w:rFonts w:ascii="Calibri" w:eastAsia="Calibri" w:hAnsi="Calibri" w:cs="Calibri"/>
                <w:color w:val="000000"/>
                <w:vertAlign w:val="superscript"/>
              </w:rPr>
              <w:t>th</w:t>
            </w:r>
          </w:p>
        </w:tc>
      </w:tr>
      <w:tr w:rsidR="003A3BCA" w14:paraId="4F4BBD59" w14:textId="77777777">
        <w:trPr>
          <w:trHeight w:val="417"/>
        </w:trPr>
        <w:tc>
          <w:tcPr>
            <w:tcW w:w="5366" w:type="dxa"/>
            <w:tcBorders>
              <w:top w:val="nil"/>
              <w:left w:val="single" w:sz="4" w:space="0" w:color="000000"/>
              <w:bottom w:val="single" w:sz="4" w:space="0" w:color="000000"/>
              <w:right w:val="single" w:sz="4" w:space="0" w:color="000000"/>
            </w:tcBorders>
            <w:shd w:val="clear" w:color="auto" w:fill="auto"/>
            <w:vAlign w:val="bottom"/>
          </w:tcPr>
          <w:p w14:paraId="7BC19C84" w14:textId="77777777" w:rsidR="003A3BCA" w:rsidRDefault="008276B6">
            <w:pPr>
              <w:jc w:val="center"/>
              <w:rPr>
                <w:rFonts w:ascii="Calibri" w:eastAsia="Calibri" w:hAnsi="Calibri" w:cs="Calibri"/>
                <w:b/>
                <w:color w:val="000000"/>
              </w:rPr>
            </w:pPr>
            <w:r>
              <w:rPr>
                <w:rFonts w:ascii="Calibri" w:eastAsia="Calibri" w:hAnsi="Calibri" w:cs="Calibri"/>
                <w:b/>
                <w:color w:val="000000"/>
              </w:rPr>
              <w:t>2018/2019</w:t>
            </w:r>
          </w:p>
        </w:tc>
        <w:tc>
          <w:tcPr>
            <w:tcW w:w="3755" w:type="dxa"/>
            <w:tcBorders>
              <w:top w:val="nil"/>
              <w:left w:val="nil"/>
              <w:bottom w:val="single" w:sz="4" w:space="0" w:color="000000"/>
              <w:right w:val="single" w:sz="4" w:space="0" w:color="000000"/>
            </w:tcBorders>
            <w:shd w:val="clear" w:color="auto" w:fill="auto"/>
            <w:vAlign w:val="bottom"/>
          </w:tcPr>
          <w:p w14:paraId="4D9E5C67" w14:textId="77777777" w:rsidR="003A3BCA" w:rsidRDefault="008276B6">
            <w:pPr>
              <w:jc w:val="center"/>
              <w:rPr>
                <w:rFonts w:ascii="Calibri" w:eastAsia="Calibri" w:hAnsi="Calibri" w:cs="Calibri"/>
                <w:color w:val="000000"/>
              </w:rPr>
            </w:pPr>
            <w:r>
              <w:rPr>
                <w:rFonts w:ascii="Calibri" w:eastAsia="Calibri" w:hAnsi="Calibri" w:cs="Calibri"/>
                <w:color w:val="000000"/>
              </w:rPr>
              <w:t>5</w:t>
            </w:r>
            <w:r>
              <w:rPr>
                <w:rFonts w:ascii="Calibri" w:eastAsia="Calibri" w:hAnsi="Calibri" w:cs="Calibri"/>
                <w:color w:val="000000"/>
                <w:vertAlign w:val="superscript"/>
              </w:rPr>
              <w:t>th</w:t>
            </w:r>
          </w:p>
        </w:tc>
      </w:tr>
      <w:tr w:rsidR="003A3BCA" w14:paraId="69DB2BC9" w14:textId="77777777">
        <w:trPr>
          <w:trHeight w:val="417"/>
        </w:trPr>
        <w:tc>
          <w:tcPr>
            <w:tcW w:w="5366" w:type="dxa"/>
            <w:tcBorders>
              <w:top w:val="nil"/>
              <w:left w:val="single" w:sz="4" w:space="0" w:color="000000"/>
              <w:bottom w:val="single" w:sz="4" w:space="0" w:color="000000"/>
              <w:right w:val="single" w:sz="4" w:space="0" w:color="000000"/>
            </w:tcBorders>
            <w:shd w:val="clear" w:color="auto" w:fill="auto"/>
            <w:vAlign w:val="bottom"/>
          </w:tcPr>
          <w:p w14:paraId="27ABE8AF" w14:textId="77777777" w:rsidR="003A3BCA" w:rsidRDefault="008276B6">
            <w:pPr>
              <w:jc w:val="center"/>
              <w:rPr>
                <w:rFonts w:ascii="Calibri" w:eastAsia="Calibri" w:hAnsi="Calibri" w:cs="Calibri"/>
                <w:b/>
                <w:color w:val="000000"/>
              </w:rPr>
            </w:pPr>
            <w:r>
              <w:rPr>
                <w:rFonts w:ascii="Calibri" w:eastAsia="Calibri" w:hAnsi="Calibri" w:cs="Calibri"/>
                <w:b/>
                <w:color w:val="000000"/>
              </w:rPr>
              <w:t>2019/2020</w:t>
            </w:r>
          </w:p>
        </w:tc>
        <w:tc>
          <w:tcPr>
            <w:tcW w:w="3755" w:type="dxa"/>
            <w:tcBorders>
              <w:top w:val="nil"/>
              <w:left w:val="nil"/>
              <w:bottom w:val="single" w:sz="4" w:space="0" w:color="000000"/>
              <w:right w:val="single" w:sz="4" w:space="0" w:color="000000"/>
            </w:tcBorders>
            <w:shd w:val="clear" w:color="auto" w:fill="auto"/>
            <w:vAlign w:val="bottom"/>
          </w:tcPr>
          <w:p w14:paraId="090A43E4" w14:textId="77777777" w:rsidR="003A3BCA" w:rsidRDefault="008276B6">
            <w:pPr>
              <w:jc w:val="center"/>
              <w:rPr>
                <w:rFonts w:ascii="Calibri" w:eastAsia="Calibri" w:hAnsi="Calibri" w:cs="Calibri"/>
                <w:color w:val="000000"/>
              </w:rPr>
            </w:pPr>
            <w:r>
              <w:rPr>
                <w:rFonts w:ascii="Calibri" w:eastAsia="Calibri" w:hAnsi="Calibri" w:cs="Calibri"/>
                <w:color w:val="000000"/>
              </w:rPr>
              <w:t>5</w:t>
            </w:r>
            <w:r>
              <w:rPr>
                <w:rFonts w:ascii="Calibri" w:eastAsia="Calibri" w:hAnsi="Calibri" w:cs="Calibri"/>
                <w:color w:val="000000"/>
                <w:vertAlign w:val="superscript"/>
              </w:rPr>
              <w:t>th</w:t>
            </w:r>
          </w:p>
        </w:tc>
      </w:tr>
      <w:tr w:rsidR="003A3BCA" w14:paraId="1D886C60" w14:textId="77777777">
        <w:trPr>
          <w:trHeight w:val="417"/>
        </w:trPr>
        <w:tc>
          <w:tcPr>
            <w:tcW w:w="5366" w:type="dxa"/>
            <w:tcBorders>
              <w:top w:val="nil"/>
              <w:left w:val="single" w:sz="4" w:space="0" w:color="000000"/>
              <w:bottom w:val="single" w:sz="4" w:space="0" w:color="000000"/>
              <w:right w:val="single" w:sz="4" w:space="0" w:color="000000"/>
            </w:tcBorders>
            <w:shd w:val="clear" w:color="auto" w:fill="auto"/>
            <w:vAlign w:val="bottom"/>
          </w:tcPr>
          <w:p w14:paraId="182BB36F" w14:textId="77777777" w:rsidR="003A3BCA" w:rsidRDefault="008276B6">
            <w:pPr>
              <w:jc w:val="center"/>
              <w:rPr>
                <w:rFonts w:ascii="Calibri" w:eastAsia="Calibri" w:hAnsi="Calibri" w:cs="Calibri"/>
                <w:b/>
                <w:color w:val="000000"/>
              </w:rPr>
            </w:pPr>
            <w:r>
              <w:rPr>
                <w:rFonts w:ascii="Calibri" w:eastAsia="Calibri" w:hAnsi="Calibri" w:cs="Calibri"/>
                <w:b/>
                <w:color w:val="000000"/>
              </w:rPr>
              <w:t>2020/2021</w:t>
            </w:r>
          </w:p>
        </w:tc>
        <w:tc>
          <w:tcPr>
            <w:tcW w:w="3755" w:type="dxa"/>
            <w:tcBorders>
              <w:top w:val="nil"/>
              <w:left w:val="nil"/>
              <w:bottom w:val="single" w:sz="4" w:space="0" w:color="000000"/>
              <w:right w:val="single" w:sz="4" w:space="0" w:color="000000"/>
            </w:tcBorders>
            <w:shd w:val="clear" w:color="auto" w:fill="auto"/>
            <w:vAlign w:val="bottom"/>
          </w:tcPr>
          <w:p w14:paraId="5F8F7500" w14:textId="77777777" w:rsidR="003A3BCA" w:rsidRDefault="008276B6">
            <w:pPr>
              <w:jc w:val="center"/>
              <w:rPr>
                <w:rFonts w:ascii="Calibri" w:eastAsia="Calibri" w:hAnsi="Calibri" w:cs="Calibri"/>
                <w:color w:val="000000"/>
              </w:rPr>
            </w:pPr>
            <w:r>
              <w:rPr>
                <w:rFonts w:ascii="Calibri" w:eastAsia="Calibri" w:hAnsi="Calibri" w:cs="Calibri"/>
                <w:color w:val="000000"/>
              </w:rPr>
              <w:t>4</w:t>
            </w:r>
            <w:r>
              <w:rPr>
                <w:rFonts w:ascii="Calibri" w:eastAsia="Calibri" w:hAnsi="Calibri" w:cs="Calibri"/>
                <w:color w:val="000000"/>
                <w:vertAlign w:val="superscript"/>
              </w:rPr>
              <w:t>th</w:t>
            </w:r>
          </w:p>
        </w:tc>
      </w:tr>
      <w:tr w:rsidR="003A3BCA" w14:paraId="67C5493F" w14:textId="77777777">
        <w:trPr>
          <w:trHeight w:val="417"/>
        </w:trPr>
        <w:tc>
          <w:tcPr>
            <w:tcW w:w="5366" w:type="dxa"/>
            <w:tcBorders>
              <w:top w:val="nil"/>
              <w:left w:val="single" w:sz="4" w:space="0" w:color="000000"/>
              <w:bottom w:val="single" w:sz="4" w:space="0" w:color="000000"/>
              <w:right w:val="single" w:sz="4" w:space="0" w:color="000000"/>
            </w:tcBorders>
            <w:shd w:val="clear" w:color="auto" w:fill="auto"/>
            <w:vAlign w:val="bottom"/>
          </w:tcPr>
          <w:p w14:paraId="15B25D85" w14:textId="77777777" w:rsidR="003A3BCA" w:rsidRDefault="008276B6">
            <w:pPr>
              <w:jc w:val="center"/>
              <w:rPr>
                <w:rFonts w:ascii="Calibri" w:eastAsia="Calibri" w:hAnsi="Calibri" w:cs="Calibri"/>
                <w:b/>
                <w:color w:val="000000"/>
              </w:rPr>
            </w:pPr>
            <w:r>
              <w:rPr>
                <w:rFonts w:ascii="Calibri" w:eastAsia="Calibri" w:hAnsi="Calibri" w:cs="Calibri"/>
                <w:b/>
                <w:color w:val="000000"/>
              </w:rPr>
              <w:t>2021/2022</w:t>
            </w:r>
          </w:p>
        </w:tc>
        <w:tc>
          <w:tcPr>
            <w:tcW w:w="3755" w:type="dxa"/>
            <w:tcBorders>
              <w:top w:val="nil"/>
              <w:left w:val="nil"/>
              <w:bottom w:val="single" w:sz="4" w:space="0" w:color="000000"/>
              <w:right w:val="single" w:sz="4" w:space="0" w:color="000000"/>
            </w:tcBorders>
            <w:shd w:val="clear" w:color="auto" w:fill="auto"/>
            <w:vAlign w:val="bottom"/>
          </w:tcPr>
          <w:p w14:paraId="76BA6518" w14:textId="77777777" w:rsidR="003A3BCA" w:rsidRDefault="008276B6">
            <w:pPr>
              <w:jc w:val="center"/>
              <w:rPr>
                <w:rFonts w:ascii="Calibri" w:eastAsia="Calibri" w:hAnsi="Calibri" w:cs="Calibri"/>
                <w:color w:val="000000"/>
              </w:rPr>
            </w:pPr>
            <w:r>
              <w:rPr>
                <w:rFonts w:ascii="Calibri" w:eastAsia="Calibri" w:hAnsi="Calibri" w:cs="Calibri"/>
                <w:color w:val="000000"/>
              </w:rPr>
              <w:t>4</w:t>
            </w:r>
            <w:r>
              <w:rPr>
                <w:rFonts w:ascii="Calibri" w:eastAsia="Calibri" w:hAnsi="Calibri" w:cs="Calibri"/>
                <w:color w:val="000000"/>
                <w:vertAlign w:val="superscript"/>
              </w:rPr>
              <w:t>th</w:t>
            </w:r>
          </w:p>
        </w:tc>
      </w:tr>
      <w:tr w:rsidR="003A3BCA" w14:paraId="3B2A0F2B" w14:textId="77777777">
        <w:trPr>
          <w:trHeight w:val="417"/>
        </w:trPr>
        <w:tc>
          <w:tcPr>
            <w:tcW w:w="5366" w:type="dxa"/>
            <w:tcBorders>
              <w:top w:val="nil"/>
              <w:left w:val="single" w:sz="4" w:space="0" w:color="000000"/>
              <w:bottom w:val="single" w:sz="4" w:space="0" w:color="000000"/>
              <w:right w:val="single" w:sz="4" w:space="0" w:color="000000"/>
            </w:tcBorders>
            <w:shd w:val="clear" w:color="auto" w:fill="auto"/>
            <w:vAlign w:val="center"/>
          </w:tcPr>
          <w:p w14:paraId="1697D5B9" w14:textId="77777777" w:rsidR="003A3BCA" w:rsidRDefault="008276B6">
            <w:pPr>
              <w:jc w:val="center"/>
              <w:rPr>
                <w:rFonts w:ascii="Calibri" w:eastAsia="Calibri" w:hAnsi="Calibri" w:cs="Calibri"/>
                <w:b/>
                <w:color w:val="000000"/>
              </w:rPr>
            </w:pPr>
            <w:r>
              <w:rPr>
                <w:rFonts w:ascii="Calibri" w:eastAsia="Calibri" w:hAnsi="Calibri" w:cs="Calibri"/>
                <w:b/>
                <w:color w:val="000000"/>
              </w:rPr>
              <w:t>Average</w:t>
            </w:r>
          </w:p>
        </w:tc>
        <w:tc>
          <w:tcPr>
            <w:tcW w:w="3755" w:type="dxa"/>
            <w:tcBorders>
              <w:top w:val="nil"/>
              <w:left w:val="nil"/>
              <w:bottom w:val="single" w:sz="4" w:space="0" w:color="000000"/>
              <w:right w:val="single" w:sz="4" w:space="0" w:color="000000"/>
            </w:tcBorders>
            <w:shd w:val="clear" w:color="auto" w:fill="auto"/>
            <w:vAlign w:val="bottom"/>
          </w:tcPr>
          <w:p w14:paraId="59EED9E5" w14:textId="77777777" w:rsidR="003A3BCA" w:rsidRDefault="008276B6">
            <w:pPr>
              <w:jc w:val="center"/>
              <w:rPr>
                <w:rFonts w:ascii="Calibri" w:eastAsia="Calibri" w:hAnsi="Calibri" w:cs="Calibri"/>
                <w:color w:val="000000"/>
              </w:rPr>
            </w:pPr>
            <w:r>
              <w:rPr>
                <w:rFonts w:ascii="Calibri" w:eastAsia="Calibri" w:hAnsi="Calibri" w:cs="Calibri"/>
                <w:color w:val="000000"/>
              </w:rPr>
              <w:t>4</w:t>
            </w:r>
            <w:r>
              <w:rPr>
                <w:rFonts w:ascii="Calibri" w:eastAsia="Calibri" w:hAnsi="Calibri" w:cs="Calibri"/>
                <w:color w:val="000000"/>
                <w:vertAlign w:val="superscript"/>
              </w:rPr>
              <w:t>th</w:t>
            </w:r>
          </w:p>
        </w:tc>
      </w:tr>
    </w:tbl>
    <w:p w14:paraId="5794AA74" w14:textId="77777777" w:rsidR="003A3BCA" w:rsidRDefault="008276B6">
      <w:pPr>
        <w:pBdr>
          <w:top w:val="nil"/>
          <w:left w:val="nil"/>
          <w:bottom w:val="nil"/>
          <w:right w:val="nil"/>
          <w:between w:val="nil"/>
        </w:pBdr>
        <w:spacing w:after="200"/>
        <w:rPr>
          <w:rFonts w:ascii="Calibri" w:eastAsia="Calibri" w:hAnsi="Calibri" w:cs="Calibri"/>
          <w:i/>
          <w:color w:val="44546A"/>
          <w:sz w:val="18"/>
          <w:szCs w:val="18"/>
        </w:rPr>
      </w:pPr>
      <w:r>
        <w:rPr>
          <w:rFonts w:ascii="Calibri" w:eastAsia="Calibri" w:hAnsi="Calibri" w:cs="Calibri"/>
          <w:i/>
          <w:color w:val="44546A"/>
          <w:sz w:val="18"/>
          <w:szCs w:val="18"/>
        </w:rPr>
        <w:t>Table 6. Manchester United's market value ranked within league</w:t>
      </w:r>
    </w:p>
    <w:p w14:paraId="7D5C0911" w14:textId="77777777" w:rsidR="003A3BCA" w:rsidRDefault="008276B6">
      <w:pPr>
        <w:spacing w:line="360" w:lineRule="auto"/>
        <w:jc w:val="both"/>
      </w:pPr>
      <w:r>
        <w:tab/>
        <w:t>Table 6 shows how Manchester United ranked among its peers in the league, in terms of the squad’s market value. To have the 4</w:t>
      </w:r>
      <w:r>
        <w:rPr>
          <w:vertAlign w:val="superscript"/>
        </w:rPr>
        <w:t>th</w:t>
      </w:r>
      <w:r>
        <w:t xml:space="preserve"> most expensive to assemble squad, on top of having invested the most money in transfers, and still be expected to finish 7</w:t>
      </w:r>
      <w:r>
        <w:rPr>
          <w:vertAlign w:val="superscript"/>
        </w:rPr>
        <w:t>th</w:t>
      </w:r>
      <w:r>
        <w:t xml:space="preserve"> on a couple of instances, </w:t>
      </w:r>
      <w:r>
        <w:lastRenderedPageBreak/>
        <w:t>as well as 6</w:t>
      </w:r>
      <w:r>
        <w:rPr>
          <w:vertAlign w:val="superscript"/>
        </w:rPr>
        <w:t>th</w:t>
      </w:r>
      <w:r>
        <w:t xml:space="preserve"> is very unacceptable. On top of that, as mentioned above, United had to mostly outperform their expected position to finish in the positions they did, implying that there are many wrong things with how the squad is assembled. The biggest takeaway from this and the previous table is that Manchester United have artificially inflated the market value of their squad by spending much more than they have needed to, given the mediocre performances of their players. Not only did Manchester United not buy suitable players that would help them improve their performance, but those players were also bought on a premium. One could argue that United did well, given their expected and eventual results, and that the players they bought were efficient. Fair argument, but as seen, relying on individual class is not sustainable as it brings zero consistency. Obviously, to play for the biggest club in England, and for United to be ready to pay a premium for your services, a player must possess a lot of individual class, which does indeed skew performances in a positive direction. But the sheer fact that after having a negative net spend of more than 500 million EUR in this period (50 million more than the club in 2</w:t>
      </w:r>
      <w:r>
        <w:rPr>
          <w:vertAlign w:val="superscript"/>
        </w:rPr>
        <w:t>nd</w:t>
      </w:r>
      <w:r>
        <w:t xml:space="preserve"> and 150 million more than the 3</w:t>
      </w:r>
      <w:r>
        <w:rPr>
          <w:vertAlign w:val="superscript"/>
        </w:rPr>
        <w:t>rd</w:t>
      </w:r>
      <w:r>
        <w:t>), and to still rely on individual class, rather than a consistent set of players, bought to deliver a process, is a bad sign for United’s management. Individual class is obviously a limitation of this model and could play a great deal in being better than a club should be, but in the long run, it won’t lead to great performances, due to its inconsistencies. On top of that, United’s individual class didn’t even manage to get the team into much better places than the predicted ones, implying that United not only spent very heavily and built nothing, in terms of a processual football team, but the individual class of the players the buy is not making them that much better.</w:t>
      </w:r>
    </w:p>
    <w:p w14:paraId="4ED4C4B7" w14:textId="77777777" w:rsidR="003A3BCA" w:rsidRDefault="008276B6">
      <w:pPr>
        <w:spacing w:line="360" w:lineRule="auto"/>
        <w:ind w:firstLine="720"/>
        <w:jc w:val="both"/>
      </w:pPr>
      <w:r>
        <w:t xml:space="preserve">These results and takeaways from United’s finding confirm </w:t>
      </w:r>
      <w:proofErr w:type="spellStart"/>
      <w:r>
        <w:t>Grimditch’s</w:t>
      </w:r>
      <w:proofErr w:type="spellEnd"/>
      <w:r>
        <w:t xml:space="preserve"> (2022) claims that no matter how many expensive players a club buy, by default they won’t be able to deliver as much as their price tag suggests, given that building processes plays a much more important role in determining club success. United have been buying players at a premium, but this premium that they have come with hasn’t translated onto the pitch, not from a process-building point of view. </w:t>
      </w:r>
      <w:r>
        <w:br w:type="page"/>
      </w:r>
    </w:p>
    <w:p w14:paraId="538B7DEA" w14:textId="64BBF44A" w:rsidR="003A3BCA" w:rsidRDefault="008276B6">
      <w:pPr>
        <w:pStyle w:val="Heading1"/>
        <w:spacing w:line="360" w:lineRule="auto"/>
        <w:ind w:firstLine="720"/>
        <w:jc w:val="both"/>
        <w:rPr>
          <w:rFonts w:ascii="Times New Roman" w:eastAsia="Times New Roman" w:hAnsi="Times New Roman" w:cs="Times New Roman"/>
        </w:rPr>
      </w:pPr>
      <w:bookmarkStart w:id="13" w:name="_Toc136274671"/>
      <w:r>
        <w:rPr>
          <w:rFonts w:ascii="Times New Roman" w:eastAsia="Times New Roman" w:hAnsi="Times New Roman" w:cs="Times New Roman"/>
        </w:rPr>
        <w:lastRenderedPageBreak/>
        <w:t xml:space="preserve">Chapter 2 – </w:t>
      </w:r>
      <w:r w:rsidR="00C750C4">
        <w:rPr>
          <w:rFonts w:ascii="Times New Roman" w:eastAsia="Times New Roman" w:hAnsi="Times New Roman" w:cs="Times New Roman"/>
        </w:rPr>
        <w:t xml:space="preserve">Mixed Method </w:t>
      </w:r>
      <w:r>
        <w:rPr>
          <w:rFonts w:ascii="Times New Roman" w:eastAsia="Times New Roman" w:hAnsi="Times New Roman" w:cs="Times New Roman"/>
        </w:rPr>
        <w:t>Analys</w:t>
      </w:r>
      <w:r w:rsidR="00C750C4">
        <w:rPr>
          <w:rFonts w:ascii="Times New Roman" w:eastAsia="Times New Roman" w:hAnsi="Times New Roman" w:cs="Times New Roman"/>
        </w:rPr>
        <w:t>e</w:t>
      </w:r>
      <w:r>
        <w:rPr>
          <w:rFonts w:ascii="Times New Roman" w:eastAsia="Times New Roman" w:hAnsi="Times New Roman" w:cs="Times New Roman"/>
        </w:rPr>
        <w:t>s of Manchester United’s transfer policy</w:t>
      </w:r>
      <w:bookmarkEnd w:id="13"/>
    </w:p>
    <w:p w14:paraId="296A6741" w14:textId="77777777" w:rsidR="003A3BCA" w:rsidRPr="00F04DDA" w:rsidRDefault="008276B6" w:rsidP="00F04DDA">
      <w:pPr>
        <w:pStyle w:val="Heading2"/>
        <w:jc w:val="both"/>
        <w:rPr>
          <w:rFonts w:ascii="Times New Roman" w:hAnsi="Times New Roman" w:cs="Times New Roman"/>
        </w:rPr>
      </w:pPr>
      <w:bookmarkStart w:id="14" w:name="_Toc136274672"/>
      <w:r w:rsidRPr="00F04DDA">
        <w:rPr>
          <w:rFonts w:ascii="Times New Roman" w:hAnsi="Times New Roman" w:cs="Times New Roman"/>
        </w:rPr>
        <w:t>2.1. Quantitative approach – Player Evaluation Model (PEM)</w:t>
      </w:r>
      <w:bookmarkEnd w:id="14"/>
    </w:p>
    <w:p w14:paraId="7207FC01" w14:textId="77777777" w:rsidR="003A3BCA" w:rsidRDefault="008276B6">
      <w:pPr>
        <w:spacing w:line="360" w:lineRule="auto"/>
        <w:ind w:firstLine="720"/>
        <w:jc w:val="both"/>
      </w:pPr>
      <w:r>
        <w:t xml:space="preserve">This chapter serves the purpose of analyzing Manchester United’s transfers during the last 5 football seasons, in accordance with the regression analysis done in the previous part. In short, </w:t>
      </w:r>
      <w:proofErr w:type="gramStart"/>
      <w:r>
        <w:t>all of</w:t>
      </w:r>
      <w:proofErr w:type="gramEnd"/>
      <w:r>
        <w:t xml:space="preserve"> the big and expensive transfers that the club has made since 2017 will be observed individually, in an attempt to understand whether the players that were bought were the right ones – i.e., cross-player comparisons will be made to understand how said players ranked among their peers during their spell at the club, to see whether they have justified the amount paid for them. The main idea is to understand whether those players were the right ones to buy, if not, then why has the club overspent so much on talent acquisition and achieved so little. If, however, those players did indeed perform well and ranked among the top percentiles for their positions, then where are the issues coming from? A limitation of the quantitative approach is that the data, used to build the model, is not available before 2017, hence why the model might not be as accurate and objective as possible. On the other hand, this could be interpreted as a good thing because the data is representative of the most recent trends and play styles in football, which is important as clubs need to adapt to what is being used now, not 20 years ago.</w:t>
      </w:r>
    </w:p>
    <w:p w14:paraId="375BB8EF" w14:textId="77777777" w:rsidR="003A3BCA" w:rsidRDefault="008276B6">
      <w:pPr>
        <w:spacing w:line="360" w:lineRule="auto"/>
        <w:ind w:firstLine="720"/>
        <w:jc w:val="both"/>
      </w:pPr>
      <w:r>
        <w:t xml:space="preserve">Both regression analysis and survey data will be used </w:t>
      </w:r>
      <w:proofErr w:type="gramStart"/>
      <w:r>
        <w:t>in order to</w:t>
      </w:r>
      <w:proofErr w:type="gramEnd"/>
      <w:r>
        <w:t xml:space="preserve"> obtain as much insight as possible. </w:t>
      </w:r>
    </w:p>
    <w:p w14:paraId="54D28B5B" w14:textId="77777777" w:rsidR="003A3BCA" w:rsidRDefault="008276B6">
      <w:pPr>
        <w:spacing w:line="360" w:lineRule="auto"/>
        <w:ind w:firstLine="720"/>
        <w:jc w:val="both"/>
      </w:pPr>
      <w:r>
        <w:t>Beginning with the quantitative approach, as mentioned, the big and most expensive transfers that United have made will be analyzed individually. The main idea behind this approach, and not covering every talent acquisition, is that those are the transfer that should’ve, in theory, put United over the line. When a club spends big, it is usually on top-end talent, that is acquired to improve the team. Since expensive transfers are subjective, i.e., they depend on the club’s resources, a fair way to determine which individual transfers to analyze is to take the 25 most expensive transfers in Manchester United history, and filter those before 2017 out, so they fit the model. Only one exception is made for this – the transfer of Paul Pogba in 2016, as it became the most expensive transfer at that time, with the transfer fee being 105 million EUR. So, according to transfermarkt.com, 12 out of the top 25 most expensive transfers of United have occurred between 2017 and 2022</w:t>
      </w:r>
      <w:r>
        <w:rPr>
          <w:vertAlign w:val="superscript"/>
        </w:rPr>
        <w:footnoteReference w:id="23"/>
      </w:r>
      <w:r>
        <w:t xml:space="preserve">. Adding Paul Pogba’s transfer from 2016, as it was a </w:t>
      </w:r>
      <w:r>
        <w:lastRenderedPageBreak/>
        <w:t xml:space="preserve">record-breaking deal, gives us a sample size of 13 individual signings that have been added to United’s record arrival list for the past 5 years, roughly 2,5 per season. </w:t>
      </w:r>
    </w:p>
    <w:p w14:paraId="2C38F66E" w14:textId="77777777" w:rsidR="003A3BCA" w:rsidRDefault="008276B6">
      <w:pPr>
        <w:spacing w:line="360" w:lineRule="auto"/>
        <w:ind w:firstLine="720"/>
        <w:jc w:val="both"/>
      </w:pPr>
      <w:r>
        <w:t>To begin with, here is a breakdown of each individual transfer by market value at the time of purchase and actual fee paid, as well as the total amount, all in million EUR.</w:t>
      </w:r>
    </w:p>
    <w:tbl>
      <w:tblPr>
        <w:tblStyle w:val="a5"/>
        <w:tblW w:w="11195" w:type="dxa"/>
        <w:tblInd w:w="-1088" w:type="dxa"/>
        <w:tblLayout w:type="fixed"/>
        <w:tblLook w:val="0400" w:firstRow="0" w:lastRow="0" w:firstColumn="0" w:lastColumn="0" w:noHBand="0" w:noVBand="1"/>
      </w:tblPr>
      <w:tblGrid>
        <w:gridCol w:w="1934"/>
        <w:gridCol w:w="649"/>
        <w:gridCol w:w="2158"/>
        <w:gridCol w:w="4048"/>
        <w:gridCol w:w="2406"/>
      </w:tblGrid>
      <w:tr w:rsidR="003A3BCA" w14:paraId="57A1B66E" w14:textId="77777777" w:rsidTr="00B24E05">
        <w:trPr>
          <w:trHeight w:val="310"/>
        </w:trPr>
        <w:tc>
          <w:tcPr>
            <w:tcW w:w="19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52A1AB" w14:textId="77777777" w:rsidR="003A3BCA" w:rsidRDefault="008276B6">
            <w:pPr>
              <w:jc w:val="center"/>
              <w:rPr>
                <w:rFonts w:ascii="Calibri" w:eastAsia="Calibri" w:hAnsi="Calibri" w:cs="Calibri"/>
                <w:b/>
                <w:color w:val="000000"/>
              </w:rPr>
            </w:pPr>
            <w:r>
              <w:rPr>
                <w:rFonts w:ascii="Calibri" w:eastAsia="Calibri" w:hAnsi="Calibri" w:cs="Calibri"/>
                <w:b/>
                <w:color w:val="000000"/>
              </w:rPr>
              <w:t>Player</w:t>
            </w:r>
          </w:p>
        </w:tc>
        <w:tc>
          <w:tcPr>
            <w:tcW w:w="649" w:type="dxa"/>
            <w:tcBorders>
              <w:top w:val="single" w:sz="4" w:space="0" w:color="000000"/>
              <w:left w:val="nil"/>
              <w:bottom w:val="single" w:sz="4" w:space="0" w:color="000000"/>
              <w:right w:val="single" w:sz="4" w:space="0" w:color="000000"/>
            </w:tcBorders>
            <w:shd w:val="clear" w:color="auto" w:fill="auto"/>
            <w:vAlign w:val="center"/>
          </w:tcPr>
          <w:p w14:paraId="1D10F072" w14:textId="77777777" w:rsidR="003A3BCA" w:rsidRDefault="008276B6">
            <w:pPr>
              <w:jc w:val="center"/>
              <w:rPr>
                <w:rFonts w:ascii="Calibri" w:eastAsia="Calibri" w:hAnsi="Calibri" w:cs="Calibri"/>
                <w:b/>
                <w:color w:val="000000"/>
              </w:rPr>
            </w:pPr>
            <w:r>
              <w:rPr>
                <w:rFonts w:ascii="Calibri" w:eastAsia="Calibri" w:hAnsi="Calibri" w:cs="Calibri"/>
                <w:b/>
                <w:color w:val="000000"/>
              </w:rPr>
              <w:t>Age</w:t>
            </w:r>
          </w:p>
        </w:tc>
        <w:tc>
          <w:tcPr>
            <w:tcW w:w="2158" w:type="dxa"/>
            <w:tcBorders>
              <w:top w:val="single" w:sz="4" w:space="0" w:color="000000"/>
              <w:left w:val="nil"/>
              <w:bottom w:val="single" w:sz="4" w:space="0" w:color="000000"/>
              <w:right w:val="single" w:sz="4" w:space="0" w:color="000000"/>
            </w:tcBorders>
            <w:shd w:val="clear" w:color="auto" w:fill="auto"/>
            <w:vAlign w:val="center"/>
          </w:tcPr>
          <w:p w14:paraId="2DE4F84B" w14:textId="77777777" w:rsidR="003A3BCA" w:rsidRDefault="008276B6">
            <w:pPr>
              <w:jc w:val="center"/>
              <w:rPr>
                <w:rFonts w:ascii="Calibri" w:eastAsia="Calibri" w:hAnsi="Calibri" w:cs="Calibri"/>
                <w:b/>
                <w:color w:val="000000"/>
              </w:rPr>
            </w:pPr>
            <w:r>
              <w:rPr>
                <w:rFonts w:ascii="Calibri" w:eastAsia="Calibri" w:hAnsi="Calibri" w:cs="Calibri"/>
                <w:b/>
                <w:color w:val="000000"/>
              </w:rPr>
              <w:t>Season</w:t>
            </w:r>
          </w:p>
        </w:tc>
        <w:tc>
          <w:tcPr>
            <w:tcW w:w="4048" w:type="dxa"/>
            <w:tcBorders>
              <w:top w:val="single" w:sz="4" w:space="0" w:color="000000"/>
              <w:left w:val="nil"/>
              <w:bottom w:val="single" w:sz="4" w:space="0" w:color="000000"/>
              <w:right w:val="single" w:sz="4" w:space="0" w:color="000000"/>
            </w:tcBorders>
            <w:shd w:val="clear" w:color="auto" w:fill="auto"/>
            <w:vAlign w:val="center"/>
          </w:tcPr>
          <w:p w14:paraId="44161589" w14:textId="77777777" w:rsidR="003A3BCA" w:rsidRDefault="008276B6">
            <w:pPr>
              <w:jc w:val="center"/>
              <w:rPr>
                <w:rFonts w:ascii="Calibri" w:eastAsia="Calibri" w:hAnsi="Calibri" w:cs="Calibri"/>
                <w:b/>
                <w:color w:val="000000"/>
              </w:rPr>
            </w:pPr>
            <w:r>
              <w:rPr>
                <w:rFonts w:ascii="Calibri" w:eastAsia="Calibri" w:hAnsi="Calibri" w:cs="Calibri"/>
                <w:b/>
                <w:color w:val="000000"/>
              </w:rPr>
              <w:t>Market Value at the time, in million EUR</w:t>
            </w:r>
          </w:p>
        </w:tc>
        <w:tc>
          <w:tcPr>
            <w:tcW w:w="2406" w:type="dxa"/>
            <w:tcBorders>
              <w:top w:val="single" w:sz="4" w:space="0" w:color="000000"/>
              <w:left w:val="nil"/>
              <w:bottom w:val="single" w:sz="4" w:space="0" w:color="000000"/>
              <w:right w:val="single" w:sz="4" w:space="0" w:color="000000"/>
            </w:tcBorders>
            <w:shd w:val="clear" w:color="auto" w:fill="auto"/>
            <w:vAlign w:val="center"/>
          </w:tcPr>
          <w:p w14:paraId="1E44FCC4" w14:textId="77777777" w:rsidR="003A3BCA" w:rsidRDefault="008276B6">
            <w:pPr>
              <w:jc w:val="center"/>
              <w:rPr>
                <w:rFonts w:ascii="Calibri" w:eastAsia="Calibri" w:hAnsi="Calibri" w:cs="Calibri"/>
                <w:b/>
                <w:color w:val="000000"/>
              </w:rPr>
            </w:pPr>
            <w:r>
              <w:rPr>
                <w:rFonts w:ascii="Calibri" w:eastAsia="Calibri" w:hAnsi="Calibri" w:cs="Calibri"/>
                <w:b/>
                <w:color w:val="000000"/>
              </w:rPr>
              <w:t>Fee Paid, in million EUR</w:t>
            </w:r>
          </w:p>
        </w:tc>
      </w:tr>
      <w:tr w:rsidR="003A3BCA" w14:paraId="1339789C" w14:textId="77777777" w:rsidTr="00B24E05">
        <w:trPr>
          <w:trHeight w:val="310"/>
        </w:trPr>
        <w:tc>
          <w:tcPr>
            <w:tcW w:w="1934" w:type="dxa"/>
            <w:tcBorders>
              <w:top w:val="nil"/>
              <w:left w:val="single" w:sz="4" w:space="0" w:color="000000"/>
              <w:bottom w:val="single" w:sz="4" w:space="0" w:color="000000"/>
              <w:right w:val="single" w:sz="4" w:space="0" w:color="000000"/>
            </w:tcBorders>
            <w:shd w:val="clear" w:color="auto" w:fill="auto"/>
            <w:vAlign w:val="bottom"/>
          </w:tcPr>
          <w:p w14:paraId="71E081E2" w14:textId="77777777" w:rsidR="003A3BCA" w:rsidRDefault="008276B6">
            <w:pPr>
              <w:rPr>
                <w:rFonts w:ascii="Calibri" w:eastAsia="Calibri" w:hAnsi="Calibri" w:cs="Calibri"/>
                <w:color w:val="000000"/>
              </w:rPr>
            </w:pPr>
            <w:r>
              <w:rPr>
                <w:rFonts w:ascii="Calibri" w:eastAsia="Calibri" w:hAnsi="Calibri" w:cs="Calibri"/>
                <w:color w:val="000000"/>
              </w:rPr>
              <w:t>Paul Pogba</w:t>
            </w:r>
          </w:p>
        </w:tc>
        <w:tc>
          <w:tcPr>
            <w:tcW w:w="649" w:type="dxa"/>
            <w:tcBorders>
              <w:top w:val="nil"/>
              <w:left w:val="nil"/>
              <w:bottom w:val="single" w:sz="4" w:space="0" w:color="000000"/>
              <w:right w:val="single" w:sz="4" w:space="0" w:color="000000"/>
            </w:tcBorders>
            <w:shd w:val="clear" w:color="auto" w:fill="auto"/>
            <w:vAlign w:val="bottom"/>
          </w:tcPr>
          <w:p w14:paraId="4CE3B8D5" w14:textId="77777777" w:rsidR="003A3BCA" w:rsidRDefault="008276B6">
            <w:pPr>
              <w:jc w:val="right"/>
              <w:rPr>
                <w:rFonts w:ascii="Calibri" w:eastAsia="Calibri" w:hAnsi="Calibri" w:cs="Calibri"/>
                <w:color w:val="000000"/>
              </w:rPr>
            </w:pPr>
            <w:r>
              <w:rPr>
                <w:rFonts w:ascii="Calibri" w:eastAsia="Calibri" w:hAnsi="Calibri" w:cs="Calibri"/>
                <w:color w:val="000000"/>
              </w:rPr>
              <w:t>23</w:t>
            </w:r>
          </w:p>
        </w:tc>
        <w:tc>
          <w:tcPr>
            <w:tcW w:w="2158" w:type="dxa"/>
            <w:tcBorders>
              <w:top w:val="nil"/>
              <w:left w:val="nil"/>
              <w:bottom w:val="single" w:sz="4" w:space="0" w:color="000000"/>
              <w:right w:val="single" w:sz="4" w:space="0" w:color="000000"/>
            </w:tcBorders>
            <w:shd w:val="clear" w:color="auto" w:fill="auto"/>
            <w:vAlign w:val="bottom"/>
          </w:tcPr>
          <w:p w14:paraId="5736956D" w14:textId="77777777" w:rsidR="003A3BCA" w:rsidRDefault="008276B6">
            <w:pPr>
              <w:jc w:val="center"/>
              <w:rPr>
                <w:rFonts w:ascii="Calibri" w:eastAsia="Calibri" w:hAnsi="Calibri" w:cs="Calibri"/>
                <w:color w:val="000000"/>
              </w:rPr>
            </w:pPr>
            <w:r>
              <w:rPr>
                <w:rFonts w:ascii="Calibri" w:eastAsia="Calibri" w:hAnsi="Calibri" w:cs="Calibri"/>
                <w:color w:val="000000"/>
              </w:rPr>
              <w:t>2016/2017</w:t>
            </w:r>
          </w:p>
        </w:tc>
        <w:tc>
          <w:tcPr>
            <w:tcW w:w="4048" w:type="dxa"/>
            <w:tcBorders>
              <w:top w:val="nil"/>
              <w:left w:val="nil"/>
              <w:bottom w:val="single" w:sz="4" w:space="0" w:color="000000"/>
              <w:right w:val="single" w:sz="4" w:space="0" w:color="000000"/>
            </w:tcBorders>
            <w:shd w:val="clear" w:color="auto" w:fill="auto"/>
            <w:vAlign w:val="bottom"/>
          </w:tcPr>
          <w:p w14:paraId="640F4C77" w14:textId="77777777" w:rsidR="003A3BCA" w:rsidRDefault="008276B6">
            <w:pPr>
              <w:jc w:val="right"/>
              <w:rPr>
                <w:rFonts w:ascii="Calibri" w:eastAsia="Calibri" w:hAnsi="Calibri" w:cs="Calibri"/>
                <w:color w:val="000000"/>
              </w:rPr>
            </w:pPr>
            <w:r>
              <w:rPr>
                <w:rFonts w:ascii="Calibri" w:eastAsia="Calibri" w:hAnsi="Calibri" w:cs="Calibri"/>
                <w:color w:val="000000"/>
              </w:rPr>
              <w:t>70</w:t>
            </w:r>
          </w:p>
        </w:tc>
        <w:tc>
          <w:tcPr>
            <w:tcW w:w="2406" w:type="dxa"/>
            <w:tcBorders>
              <w:top w:val="nil"/>
              <w:left w:val="nil"/>
              <w:bottom w:val="single" w:sz="4" w:space="0" w:color="000000"/>
              <w:right w:val="single" w:sz="4" w:space="0" w:color="000000"/>
            </w:tcBorders>
            <w:shd w:val="clear" w:color="auto" w:fill="auto"/>
            <w:vAlign w:val="bottom"/>
          </w:tcPr>
          <w:p w14:paraId="39F55137" w14:textId="77777777" w:rsidR="003A3BCA" w:rsidRDefault="008276B6">
            <w:pPr>
              <w:jc w:val="right"/>
              <w:rPr>
                <w:rFonts w:ascii="Calibri" w:eastAsia="Calibri" w:hAnsi="Calibri" w:cs="Calibri"/>
                <w:color w:val="000000"/>
              </w:rPr>
            </w:pPr>
            <w:r>
              <w:rPr>
                <w:rFonts w:ascii="Calibri" w:eastAsia="Calibri" w:hAnsi="Calibri" w:cs="Calibri"/>
                <w:color w:val="000000"/>
              </w:rPr>
              <w:t>105</w:t>
            </w:r>
          </w:p>
        </w:tc>
      </w:tr>
      <w:tr w:rsidR="003A3BCA" w14:paraId="433F47A7" w14:textId="77777777" w:rsidTr="00B24E05">
        <w:trPr>
          <w:trHeight w:val="310"/>
        </w:trPr>
        <w:tc>
          <w:tcPr>
            <w:tcW w:w="1934" w:type="dxa"/>
            <w:tcBorders>
              <w:top w:val="nil"/>
              <w:left w:val="single" w:sz="4" w:space="0" w:color="000000"/>
              <w:bottom w:val="single" w:sz="4" w:space="0" w:color="000000"/>
              <w:right w:val="single" w:sz="4" w:space="0" w:color="000000"/>
            </w:tcBorders>
            <w:shd w:val="clear" w:color="auto" w:fill="auto"/>
            <w:vAlign w:val="bottom"/>
          </w:tcPr>
          <w:p w14:paraId="1ED4B30B" w14:textId="77777777" w:rsidR="003A3BCA" w:rsidRDefault="008276B6">
            <w:pPr>
              <w:rPr>
                <w:rFonts w:ascii="Calibri" w:eastAsia="Calibri" w:hAnsi="Calibri" w:cs="Calibri"/>
                <w:color w:val="000000"/>
              </w:rPr>
            </w:pPr>
            <w:r>
              <w:rPr>
                <w:rFonts w:ascii="Calibri" w:eastAsia="Calibri" w:hAnsi="Calibri" w:cs="Calibri"/>
                <w:color w:val="000000"/>
              </w:rPr>
              <w:t>Anthony</w:t>
            </w:r>
          </w:p>
        </w:tc>
        <w:tc>
          <w:tcPr>
            <w:tcW w:w="649" w:type="dxa"/>
            <w:tcBorders>
              <w:top w:val="nil"/>
              <w:left w:val="nil"/>
              <w:bottom w:val="single" w:sz="4" w:space="0" w:color="000000"/>
              <w:right w:val="single" w:sz="4" w:space="0" w:color="000000"/>
            </w:tcBorders>
            <w:shd w:val="clear" w:color="auto" w:fill="auto"/>
            <w:vAlign w:val="bottom"/>
          </w:tcPr>
          <w:p w14:paraId="60E57394" w14:textId="77777777" w:rsidR="003A3BCA" w:rsidRDefault="008276B6">
            <w:pPr>
              <w:jc w:val="right"/>
              <w:rPr>
                <w:rFonts w:ascii="Calibri" w:eastAsia="Calibri" w:hAnsi="Calibri" w:cs="Calibri"/>
                <w:color w:val="000000"/>
              </w:rPr>
            </w:pPr>
            <w:r>
              <w:rPr>
                <w:rFonts w:ascii="Calibri" w:eastAsia="Calibri" w:hAnsi="Calibri" w:cs="Calibri"/>
                <w:color w:val="000000"/>
              </w:rPr>
              <w:t>22</w:t>
            </w:r>
          </w:p>
        </w:tc>
        <w:tc>
          <w:tcPr>
            <w:tcW w:w="2158" w:type="dxa"/>
            <w:tcBorders>
              <w:top w:val="nil"/>
              <w:left w:val="nil"/>
              <w:bottom w:val="single" w:sz="4" w:space="0" w:color="000000"/>
              <w:right w:val="single" w:sz="4" w:space="0" w:color="000000"/>
            </w:tcBorders>
            <w:shd w:val="clear" w:color="auto" w:fill="auto"/>
            <w:vAlign w:val="bottom"/>
          </w:tcPr>
          <w:p w14:paraId="5D8FD2A6" w14:textId="77777777" w:rsidR="003A3BCA" w:rsidRDefault="008276B6">
            <w:pPr>
              <w:jc w:val="center"/>
              <w:rPr>
                <w:rFonts w:ascii="Calibri" w:eastAsia="Calibri" w:hAnsi="Calibri" w:cs="Calibri"/>
                <w:color w:val="000000"/>
              </w:rPr>
            </w:pPr>
            <w:r>
              <w:rPr>
                <w:rFonts w:ascii="Calibri" w:eastAsia="Calibri" w:hAnsi="Calibri" w:cs="Calibri"/>
                <w:color w:val="000000"/>
              </w:rPr>
              <w:t>2022/2023</w:t>
            </w:r>
          </w:p>
        </w:tc>
        <w:tc>
          <w:tcPr>
            <w:tcW w:w="4048" w:type="dxa"/>
            <w:tcBorders>
              <w:top w:val="nil"/>
              <w:left w:val="nil"/>
              <w:bottom w:val="single" w:sz="4" w:space="0" w:color="000000"/>
              <w:right w:val="single" w:sz="4" w:space="0" w:color="000000"/>
            </w:tcBorders>
            <w:shd w:val="clear" w:color="auto" w:fill="auto"/>
            <w:vAlign w:val="bottom"/>
          </w:tcPr>
          <w:p w14:paraId="71911AFE" w14:textId="77777777" w:rsidR="003A3BCA" w:rsidRDefault="008276B6">
            <w:pPr>
              <w:jc w:val="right"/>
              <w:rPr>
                <w:rFonts w:ascii="Calibri" w:eastAsia="Calibri" w:hAnsi="Calibri" w:cs="Calibri"/>
                <w:color w:val="000000"/>
              </w:rPr>
            </w:pPr>
            <w:r>
              <w:rPr>
                <w:rFonts w:ascii="Calibri" w:eastAsia="Calibri" w:hAnsi="Calibri" w:cs="Calibri"/>
                <w:color w:val="000000"/>
              </w:rPr>
              <w:t>35</w:t>
            </w:r>
          </w:p>
        </w:tc>
        <w:tc>
          <w:tcPr>
            <w:tcW w:w="2406" w:type="dxa"/>
            <w:tcBorders>
              <w:top w:val="nil"/>
              <w:left w:val="nil"/>
              <w:bottom w:val="single" w:sz="4" w:space="0" w:color="000000"/>
              <w:right w:val="single" w:sz="4" w:space="0" w:color="000000"/>
            </w:tcBorders>
            <w:shd w:val="clear" w:color="auto" w:fill="auto"/>
            <w:vAlign w:val="bottom"/>
          </w:tcPr>
          <w:p w14:paraId="66C589AB" w14:textId="77777777" w:rsidR="003A3BCA" w:rsidRDefault="008276B6">
            <w:pPr>
              <w:jc w:val="right"/>
              <w:rPr>
                <w:rFonts w:ascii="Calibri" w:eastAsia="Calibri" w:hAnsi="Calibri" w:cs="Calibri"/>
                <w:color w:val="000000"/>
              </w:rPr>
            </w:pPr>
            <w:r>
              <w:rPr>
                <w:rFonts w:ascii="Calibri" w:eastAsia="Calibri" w:hAnsi="Calibri" w:cs="Calibri"/>
                <w:color w:val="000000"/>
              </w:rPr>
              <w:t>95</w:t>
            </w:r>
          </w:p>
        </w:tc>
      </w:tr>
      <w:tr w:rsidR="003A3BCA" w14:paraId="26A97064" w14:textId="77777777" w:rsidTr="00B24E05">
        <w:trPr>
          <w:trHeight w:val="310"/>
        </w:trPr>
        <w:tc>
          <w:tcPr>
            <w:tcW w:w="1934" w:type="dxa"/>
            <w:tcBorders>
              <w:top w:val="nil"/>
              <w:left w:val="single" w:sz="4" w:space="0" w:color="000000"/>
              <w:bottom w:val="single" w:sz="4" w:space="0" w:color="000000"/>
              <w:right w:val="single" w:sz="4" w:space="0" w:color="000000"/>
            </w:tcBorders>
            <w:shd w:val="clear" w:color="auto" w:fill="auto"/>
            <w:vAlign w:val="bottom"/>
          </w:tcPr>
          <w:p w14:paraId="6DACA609" w14:textId="77777777" w:rsidR="003A3BCA" w:rsidRDefault="008276B6">
            <w:pPr>
              <w:rPr>
                <w:rFonts w:ascii="Calibri" w:eastAsia="Calibri" w:hAnsi="Calibri" w:cs="Calibri"/>
                <w:color w:val="000000"/>
              </w:rPr>
            </w:pPr>
            <w:r>
              <w:rPr>
                <w:rFonts w:ascii="Calibri" w:eastAsia="Calibri" w:hAnsi="Calibri" w:cs="Calibri"/>
                <w:color w:val="000000"/>
              </w:rPr>
              <w:t>Harry Maguire</w:t>
            </w:r>
          </w:p>
        </w:tc>
        <w:tc>
          <w:tcPr>
            <w:tcW w:w="649" w:type="dxa"/>
            <w:tcBorders>
              <w:top w:val="nil"/>
              <w:left w:val="nil"/>
              <w:bottom w:val="single" w:sz="4" w:space="0" w:color="000000"/>
              <w:right w:val="single" w:sz="4" w:space="0" w:color="000000"/>
            </w:tcBorders>
            <w:shd w:val="clear" w:color="auto" w:fill="auto"/>
            <w:vAlign w:val="bottom"/>
          </w:tcPr>
          <w:p w14:paraId="136A9558" w14:textId="77777777" w:rsidR="003A3BCA" w:rsidRDefault="008276B6">
            <w:pPr>
              <w:jc w:val="right"/>
              <w:rPr>
                <w:rFonts w:ascii="Calibri" w:eastAsia="Calibri" w:hAnsi="Calibri" w:cs="Calibri"/>
                <w:color w:val="000000"/>
              </w:rPr>
            </w:pPr>
            <w:r>
              <w:rPr>
                <w:rFonts w:ascii="Calibri" w:eastAsia="Calibri" w:hAnsi="Calibri" w:cs="Calibri"/>
                <w:color w:val="000000"/>
              </w:rPr>
              <w:t>26</w:t>
            </w:r>
          </w:p>
        </w:tc>
        <w:tc>
          <w:tcPr>
            <w:tcW w:w="2158" w:type="dxa"/>
            <w:tcBorders>
              <w:top w:val="nil"/>
              <w:left w:val="nil"/>
              <w:bottom w:val="single" w:sz="4" w:space="0" w:color="000000"/>
              <w:right w:val="single" w:sz="4" w:space="0" w:color="000000"/>
            </w:tcBorders>
            <w:shd w:val="clear" w:color="auto" w:fill="auto"/>
            <w:vAlign w:val="bottom"/>
          </w:tcPr>
          <w:p w14:paraId="7AEFFDFF" w14:textId="77777777" w:rsidR="003A3BCA" w:rsidRDefault="008276B6">
            <w:pPr>
              <w:jc w:val="center"/>
              <w:rPr>
                <w:rFonts w:ascii="Calibri" w:eastAsia="Calibri" w:hAnsi="Calibri" w:cs="Calibri"/>
                <w:color w:val="000000"/>
              </w:rPr>
            </w:pPr>
            <w:r>
              <w:rPr>
                <w:rFonts w:ascii="Calibri" w:eastAsia="Calibri" w:hAnsi="Calibri" w:cs="Calibri"/>
                <w:color w:val="000000"/>
              </w:rPr>
              <w:t>2019/2020</w:t>
            </w:r>
          </w:p>
        </w:tc>
        <w:tc>
          <w:tcPr>
            <w:tcW w:w="4048" w:type="dxa"/>
            <w:tcBorders>
              <w:top w:val="nil"/>
              <w:left w:val="nil"/>
              <w:bottom w:val="single" w:sz="4" w:space="0" w:color="000000"/>
              <w:right w:val="single" w:sz="4" w:space="0" w:color="000000"/>
            </w:tcBorders>
            <w:shd w:val="clear" w:color="auto" w:fill="auto"/>
            <w:vAlign w:val="bottom"/>
          </w:tcPr>
          <w:p w14:paraId="63F02635" w14:textId="77777777" w:rsidR="003A3BCA" w:rsidRDefault="008276B6">
            <w:pPr>
              <w:jc w:val="right"/>
              <w:rPr>
                <w:rFonts w:ascii="Calibri" w:eastAsia="Calibri" w:hAnsi="Calibri" w:cs="Calibri"/>
                <w:color w:val="000000"/>
              </w:rPr>
            </w:pPr>
            <w:r>
              <w:rPr>
                <w:rFonts w:ascii="Calibri" w:eastAsia="Calibri" w:hAnsi="Calibri" w:cs="Calibri"/>
                <w:color w:val="000000"/>
              </w:rPr>
              <w:t>50</w:t>
            </w:r>
          </w:p>
        </w:tc>
        <w:tc>
          <w:tcPr>
            <w:tcW w:w="2406" w:type="dxa"/>
            <w:tcBorders>
              <w:top w:val="nil"/>
              <w:left w:val="nil"/>
              <w:bottom w:val="single" w:sz="4" w:space="0" w:color="000000"/>
              <w:right w:val="single" w:sz="4" w:space="0" w:color="000000"/>
            </w:tcBorders>
            <w:shd w:val="clear" w:color="auto" w:fill="auto"/>
            <w:vAlign w:val="bottom"/>
          </w:tcPr>
          <w:p w14:paraId="0EF6A1CA" w14:textId="77777777" w:rsidR="003A3BCA" w:rsidRDefault="008276B6">
            <w:pPr>
              <w:jc w:val="right"/>
              <w:rPr>
                <w:rFonts w:ascii="Calibri" w:eastAsia="Calibri" w:hAnsi="Calibri" w:cs="Calibri"/>
                <w:color w:val="000000"/>
              </w:rPr>
            </w:pPr>
            <w:r>
              <w:rPr>
                <w:rFonts w:ascii="Calibri" w:eastAsia="Calibri" w:hAnsi="Calibri" w:cs="Calibri"/>
                <w:color w:val="000000"/>
              </w:rPr>
              <w:t>87</w:t>
            </w:r>
          </w:p>
        </w:tc>
      </w:tr>
      <w:tr w:rsidR="003A3BCA" w14:paraId="14893F33" w14:textId="77777777" w:rsidTr="00B24E05">
        <w:trPr>
          <w:trHeight w:val="310"/>
        </w:trPr>
        <w:tc>
          <w:tcPr>
            <w:tcW w:w="1934" w:type="dxa"/>
            <w:tcBorders>
              <w:top w:val="nil"/>
              <w:left w:val="single" w:sz="4" w:space="0" w:color="000000"/>
              <w:bottom w:val="single" w:sz="4" w:space="0" w:color="000000"/>
              <w:right w:val="single" w:sz="4" w:space="0" w:color="000000"/>
            </w:tcBorders>
            <w:shd w:val="clear" w:color="auto" w:fill="C6E0B4"/>
            <w:vAlign w:val="bottom"/>
          </w:tcPr>
          <w:p w14:paraId="4D497409" w14:textId="77777777" w:rsidR="003A3BCA" w:rsidRDefault="008276B6">
            <w:pPr>
              <w:rPr>
                <w:rFonts w:ascii="Calibri" w:eastAsia="Calibri" w:hAnsi="Calibri" w:cs="Calibri"/>
                <w:color w:val="000000"/>
              </w:rPr>
            </w:pPr>
            <w:r>
              <w:rPr>
                <w:rFonts w:ascii="Calibri" w:eastAsia="Calibri" w:hAnsi="Calibri" w:cs="Calibri"/>
                <w:color w:val="000000"/>
              </w:rPr>
              <w:t>Jadon Sancho</w:t>
            </w:r>
          </w:p>
        </w:tc>
        <w:tc>
          <w:tcPr>
            <w:tcW w:w="649" w:type="dxa"/>
            <w:tcBorders>
              <w:top w:val="nil"/>
              <w:left w:val="nil"/>
              <w:bottom w:val="single" w:sz="4" w:space="0" w:color="000000"/>
              <w:right w:val="single" w:sz="4" w:space="0" w:color="000000"/>
            </w:tcBorders>
            <w:shd w:val="clear" w:color="auto" w:fill="C6E0B4"/>
            <w:vAlign w:val="bottom"/>
          </w:tcPr>
          <w:p w14:paraId="15F55098" w14:textId="77777777" w:rsidR="003A3BCA" w:rsidRDefault="008276B6">
            <w:pPr>
              <w:jc w:val="right"/>
              <w:rPr>
                <w:rFonts w:ascii="Calibri" w:eastAsia="Calibri" w:hAnsi="Calibri" w:cs="Calibri"/>
                <w:color w:val="000000"/>
              </w:rPr>
            </w:pPr>
            <w:r>
              <w:rPr>
                <w:rFonts w:ascii="Calibri" w:eastAsia="Calibri" w:hAnsi="Calibri" w:cs="Calibri"/>
                <w:color w:val="000000"/>
              </w:rPr>
              <w:t>21</w:t>
            </w:r>
          </w:p>
        </w:tc>
        <w:tc>
          <w:tcPr>
            <w:tcW w:w="2158" w:type="dxa"/>
            <w:tcBorders>
              <w:top w:val="nil"/>
              <w:left w:val="nil"/>
              <w:bottom w:val="single" w:sz="4" w:space="0" w:color="000000"/>
              <w:right w:val="single" w:sz="4" w:space="0" w:color="000000"/>
            </w:tcBorders>
            <w:shd w:val="clear" w:color="auto" w:fill="C6E0B4"/>
            <w:vAlign w:val="bottom"/>
          </w:tcPr>
          <w:p w14:paraId="7F218A17" w14:textId="77777777" w:rsidR="003A3BCA" w:rsidRDefault="008276B6">
            <w:pPr>
              <w:jc w:val="center"/>
              <w:rPr>
                <w:rFonts w:ascii="Calibri" w:eastAsia="Calibri" w:hAnsi="Calibri" w:cs="Calibri"/>
                <w:color w:val="000000"/>
              </w:rPr>
            </w:pPr>
            <w:r>
              <w:rPr>
                <w:rFonts w:ascii="Calibri" w:eastAsia="Calibri" w:hAnsi="Calibri" w:cs="Calibri"/>
                <w:color w:val="000000"/>
              </w:rPr>
              <w:t>2021/2022</w:t>
            </w:r>
          </w:p>
        </w:tc>
        <w:tc>
          <w:tcPr>
            <w:tcW w:w="4048" w:type="dxa"/>
            <w:tcBorders>
              <w:top w:val="nil"/>
              <w:left w:val="nil"/>
              <w:bottom w:val="single" w:sz="4" w:space="0" w:color="000000"/>
              <w:right w:val="single" w:sz="4" w:space="0" w:color="000000"/>
            </w:tcBorders>
            <w:shd w:val="clear" w:color="auto" w:fill="C6E0B4"/>
            <w:vAlign w:val="bottom"/>
          </w:tcPr>
          <w:p w14:paraId="44BBA15F" w14:textId="77777777" w:rsidR="003A3BCA" w:rsidRDefault="008276B6">
            <w:pPr>
              <w:jc w:val="right"/>
              <w:rPr>
                <w:rFonts w:ascii="Calibri" w:eastAsia="Calibri" w:hAnsi="Calibri" w:cs="Calibri"/>
                <w:color w:val="000000"/>
              </w:rPr>
            </w:pPr>
            <w:r>
              <w:rPr>
                <w:rFonts w:ascii="Calibri" w:eastAsia="Calibri" w:hAnsi="Calibri" w:cs="Calibri"/>
                <w:color w:val="000000"/>
              </w:rPr>
              <w:t>100</w:t>
            </w:r>
          </w:p>
        </w:tc>
        <w:tc>
          <w:tcPr>
            <w:tcW w:w="2406" w:type="dxa"/>
            <w:tcBorders>
              <w:top w:val="nil"/>
              <w:left w:val="nil"/>
              <w:bottom w:val="single" w:sz="4" w:space="0" w:color="000000"/>
              <w:right w:val="single" w:sz="4" w:space="0" w:color="000000"/>
            </w:tcBorders>
            <w:shd w:val="clear" w:color="auto" w:fill="C6E0B4"/>
            <w:vAlign w:val="bottom"/>
          </w:tcPr>
          <w:p w14:paraId="6D2A8DA7" w14:textId="77777777" w:rsidR="003A3BCA" w:rsidRDefault="008276B6">
            <w:pPr>
              <w:jc w:val="right"/>
              <w:rPr>
                <w:rFonts w:ascii="Calibri" w:eastAsia="Calibri" w:hAnsi="Calibri" w:cs="Calibri"/>
                <w:color w:val="000000"/>
              </w:rPr>
            </w:pPr>
            <w:r>
              <w:rPr>
                <w:rFonts w:ascii="Calibri" w:eastAsia="Calibri" w:hAnsi="Calibri" w:cs="Calibri"/>
                <w:color w:val="000000"/>
              </w:rPr>
              <w:t>85</w:t>
            </w:r>
          </w:p>
        </w:tc>
      </w:tr>
      <w:tr w:rsidR="003A3BCA" w14:paraId="45EB43BE" w14:textId="77777777" w:rsidTr="00B24E05">
        <w:trPr>
          <w:trHeight w:val="310"/>
        </w:trPr>
        <w:tc>
          <w:tcPr>
            <w:tcW w:w="1934" w:type="dxa"/>
            <w:tcBorders>
              <w:top w:val="nil"/>
              <w:left w:val="single" w:sz="4" w:space="0" w:color="000000"/>
              <w:bottom w:val="single" w:sz="4" w:space="0" w:color="000000"/>
              <w:right w:val="single" w:sz="4" w:space="0" w:color="000000"/>
            </w:tcBorders>
            <w:shd w:val="clear" w:color="auto" w:fill="auto"/>
            <w:vAlign w:val="bottom"/>
          </w:tcPr>
          <w:p w14:paraId="704A40FF" w14:textId="77777777" w:rsidR="003A3BCA" w:rsidRDefault="008276B6">
            <w:pPr>
              <w:rPr>
                <w:rFonts w:ascii="Calibri" w:eastAsia="Calibri" w:hAnsi="Calibri" w:cs="Calibri"/>
                <w:color w:val="000000"/>
              </w:rPr>
            </w:pPr>
            <w:r>
              <w:rPr>
                <w:rFonts w:ascii="Calibri" w:eastAsia="Calibri" w:hAnsi="Calibri" w:cs="Calibri"/>
                <w:color w:val="000000"/>
              </w:rPr>
              <w:t>Romelu Lukaku</w:t>
            </w:r>
          </w:p>
        </w:tc>
        <w:tc>
          <w:tcPr>
            <w:tcW w:w="649" w:type="dxa"/>
            <w:tcBorders>
              <w:top w:val="nil"/>
              <w:left w:val="nil"/>
              <w:bottom w:val="single" w:sz="4" w:space="0" w:color="000000"/>
              <w:right w:val="single" w:sz="4" w:space="0" w:color="000000"/>
            </w:tcBorders>
            <w:shd w:val="clear" w:color="auto" w:fill="auto"/>
            <w:vAlign w:val="bottom"/>
          </w:tcPr>
          <w:p w14:paraId="6BAC5CB0" w14:textId="77777777" w:rsidR="003A3BCA" w:rsidRDefault="008276B6">
            <w:pPr>
              <w:jc w:val="right"/>
              <w:rPr>
                <w:rFonts w:ascii="Calibri" w:eastAsia="Calibri" w:hAnsi="Calibri" w:cs="Calibri"/>
                <w:color w:val="000000"/>
              </w:rPr>
            </w:pPr>
            <w:r>
              <w:rPr>
                <w:rFonts w:ascii="Calibri" w:eastAsia="Calibri" w:hAnsi="Calibri" w:cs="Calibri"/>
                <w:color w:val="000000"/>
              </w:rPr>
              <w:t>24</w:t>
            </w:r>
          </w:p>
        </w:tc>
        <w:tc>
          <w:tcPr>
            <w:tcW w:w="2158" w:type="dxa"/>
            <w:tcBorders>
              <w:top w:val="nil"/>
              <w:left w:val="nil"/>
              <w:bottom w:val="single" w:sz="4" w:space="0" w:color="000000"/>
              <w:right w:val="single" w:sz="4" w:space="0" w:color="000000"/>
            </w:tcBorders>
            <w:shd w:val="clear" w:color="auto" w:fill="auto"/>
            <w:vAlign w:val="bottom"/>
          </w:tcPr>
          <w:p w14:paraId="4E6CB510" w14:textId="77777777" w:rsidR="003A3BCA" w:rsidRDefault="008276B6">
            <w:pPr>
              <w:jc w:val="center"/>
              <w:rPr>
                <w:rFonts w:ascii="Calibri" w:eastAsia="Calibri" w:hAnsi="Calibri" w:cs="Calibri"/>
                <w:color w:val="000000"/>
              </w:rPr>
            </w:pPr>
            <w:r>
              <w:rPr>
                <w:rFonts w:ascii="Calibri" w:eastAsia="Calibri" w:hAnsi="Calibri" w:cs="Calibri"/>
                <w:color w:val="000000"/>
              </w:rPr>
              <w:t>2017/2018</w:t>
            </w:r>
          </w:p>
        </w:tc>
        <w:tc>
          <w:tcPr>
            <w:tcW w:w="4048" w:type="dxa"/>
            <w:tcBorders>
              <w:top w:val="nil"/>
              <w:left w:val="nil"/>
              <w:bottom w:val="single" w:sz="4" w:space="0" w:color="000000"/>
              <w:right w:val="single" w:sz="4" w:space="0" w:color="000000"/>
            </w:tcBorders>
            <w:shd w:val="clear" w:color="auto" w:fill="auto"/>
            <w:vAlign w:val="bottom"/>
          </w:tcPr>
          <w:p w14:paraId="3B6AFAA8" w14:textId="77777777" w:rsidR="003A3BCA" w:rsidRDefault="008276B6">
            <w:pPr>
              <w:jc w:val="right"/>
              <w:rPr>
                <w:rFonts w:ascii="Calibri" w:eastAsia="Calibri" w:hAnsi="Calibri" w:cs="Calibri"/>
                <w:color w:val="000000"/>
              </w:rPr>
            </w:pPr>
            <w:r>
              <w:rPr>
                <w:rFonts w:ascii="Calibri" w:eastAsia="Calibri" w:hAnsi="Calibri" w:cs="Calibri"/>
                <w:color w:val="000000"/>
              </w:rPr>
              <w:t>50</w:t>
            </w:r>
          </w:p>
        </w:tc>
        <w:tc>
          <w:tcPr>
            <w:tcW w:w="2406" w:type="dxa"/>
            <w:tcBorders>
              <w:top w:val="nil"/>
              <w:left w:val="nil"/>
              <w:bottom w:val="single" w:sz="4" w:space="0" w:color="000000"/>
              <w:right w:val="single" w:sz="4" w:space="0" w:color="000000"/>
            </w:tcBorders>
            <w:shd w:val="clear" w:color="auto" w:fill="auto"/>
            <w:vAlign w:val="bottom"/>
          </w:tcPr>
          <w:p w14:paraId="121EE2B0" w14:textId="77777777" w:rsidR="003A3BCA" w:rsidRDefault="008276B6">
            <w:pPr>
              <w:jc w:val="right"/>
              <w:rPr>
                <w:rFonts w:ascii="Calibri" w:eastAsia="Calibri" w:hAnsi="Calibri" w:cs="Calibri"/>
                <w:color w:val="000000"/>
              </w:rPr>
            </w:pPr>
            <w:r>
              <w:rPr>
                <w:rFonts w:ascii="Calibri" w:eastAsia="Calibri" w:hAnsi="Calibri" w:cs="Calibri"/>
                <w:color w:val="000000"/>
              </w:rPr>
              <w:t>84,7</w:t>
            </w:r>
          </w:p>
        </w:tc>
      </w:tr>
      <w:tr w:rsidR="003A3BCA" w14:paraId="6E3695D3" w14:textId="77777777" w:rsidTr="00B24E05">
        <w:trPr>
          <w:trHeight w:val="310"/>
        </w:trPr>
        <w:tc>
          <w:tcPr>
            <w:tcW w:w="1934" w:type="dxa"/>
            <w:tcBorders>
              <w:top w:val="nil"/>
              <w:left w:val="single" w:sz="4" w:space="0" w:color="000000"/>
              <w:bottom w:val="single" w:sz="4" w:space="0" w:color="000000"/>
              <w:right w:val="single" w:sz="4" w:space="0" w:color="000000"/>
            </w:tcBorders>
            <w:shd w:val="clear" w:color="auto" w:fill="auto"/>
            <w:vAlign w:val="bottom"/>
          </w:tcPr>
          <w:p w14:paraId="6D92A6A3" w14:textId="77777777" w:rsidR="003A3BCA" w:rsidRDefault="008276B6">
            <w:pPr>
              <w:rPr>
                <w:rFonts w:ascii="Calibri" w:eastAsia="Calibri" w:hAnsi="Calibri" w:cs="Calibri"/>
                <w:color w:val="000000"/>
              </w:rPr>
            </w:pPr>
            <w:r>
              <w:rPr>
                <w:rFonts w:ascii="Calibri" w:eastAsia="Calibri" w:hAnsi="Calibri" w:cs="Calibri"/>
                <w:color w:val="000000"/>
              </w:rPr>
              <w:t>Casemiro</w:t>
            </w:r>
          </w:p>
        </w:tc>
        <w:tc>
          <w:tcPr>
            <w:tcW w:w="649" w:type="dxa"/>
            <w:tcBorders>
              <w:top w:val="nil"/>
              <w:left w:val="nil"/>
              <w:bottom w:val="single" w:sz="4" w:space="0" w:color="000000"/>
              <w:right w:val="single" w:sz="4" w:space="0" w:color="000000"/>
            </w:tcBorders>
            <w:shd w:val="clear" w:color="auto" w:fill="auto"/>
            <w:vAlign w:val="bottom"/>
          </w:tcPr>
          <w:p w14:paraId="2E0FBA85" w14:textId="77777777" w:rsidR="003A3BCA" w:rsidRDefault="008276B6">
            <w:pPr>
              <w:jc w:val="right"/>
              <w:rPr>
                <w:rFonts w:ascii="Calibri" w:eastAsia="Calibri" w:hAnsi="Calibri" w:cs="Calibri"/>
                <w:color w:val="000000"/>
              </w:rPr>
            </w:pPr>
            <w:r>
              <w:rPr>
                <w:rFonts w:ascii="Calibri" w:eastAsia="Calibri" w:hAnsi="Calibri" w:cs="Calibri"/>
                <w:color w:val="000000"/>
              </w:rPr>
              <w:t>30</w:t>
            </w:r>
          </w:p>
        </w:tc>
        <w:tc>
          <w:tcPr>
            <w:tcW w:w="2158" w:type="dxa"/>
            <w:tcBorders>
              <w:top w:val="nil"/>
              <w:left w:val="nil"/>
              <w:bottom w:val="single" w:sz="4" w:space="0" w:color="000000"/>
              <w:right w:val="single" w:sz="4" w:space="0" w:color="000000"/>
            </w:tcBorders>
            <w:shd w:val="clear" w:color="auto" w:fill="auto"/>
            <w:vAlign w:val="bottom"/>
          </w:tcPr>
          <w:p w14:paraId="2C734B2C" w14:textId="77777777" w:rsidR="003A3BCA" w:rsidRDefault="008276B6">
            <w:pPr>
              <w:jc w:val="center"/>
              <w:rPr>
                <w:rFonts w:ascii="Calibri" w:eastAsia="Calibri" w:hAnsi="Calibri" w:cs="Calibri"/>
                <w:color w:val="000000"/>
              </w:rPr>
            </w:pPr>
            <w:r>
              <w:rPr>
                <w:rFonts w:ascii="Calibri" w:eastAsia="Calibri" w:hAnsi="Calibri" w:cs="Calibri"/>
                <w:color w:val="000000"/>
              </w:rPr>
              <w:t>2022/2023</w:t>
            </w:r>
          </w:p>
        </w:tc>
        <w:tc>
          <w:tcPr>
            <w:tcW w:w="4048" w:type="dxa"/>
            <w:tcBorders>
              <w:top w:val="nil"/>
              <w:left w:val="nil"/>
              <w:bottom w:val="single" w:sz="4" w:space="0" w:color="000000"/>
              <w:right w:val="single" w:sz="4" w:space="0" w:color="000000"/>
            </w:tcBorders>
            <w:shd w:val="clear" w:color="auto" w:fill="auto"/>
            <w:vAlign w:val="bottom"/>
          </w:tcPr>
          <w:p w14:paraId="5E179C11" w14:textId="77777777" w:rsidR="003A3BCA" w:rsidRDefault="008276B6">
            <w:pPr>
              <w:jc w:val="right"/>
              <w:rPr>
                <w:rFonts w:ascii="Calibri" w:eastAsia="Calibri" w:hAnsi="Calibri" w:cs="Calibri"/>
                <w:color w:val="000000"/>
              </w:rPr>
            </w:pPr>
            <w:r>
              <w:rPr>
                <w:rFonts w:ascii="Calibri" w:eastAsia="Calibri" w:hAnsi="Calibri" w:cs="Calibri"/>
                <w:color w:val="000000"/>
              </w:rPr>
              <w:t>40</w:t>
            </w:r>
          </w:p>
        </w:tc>
        <w:tc>
          <w:tcPr>
            <w:tcW w:w="2406" w:type="dxa"/>
            <w:tcBorders>
              <w:top w:val="nil"/>
              <w:left w:val="nil"/>
              <w:bottom w:val="single" w:sz="4" w:space="0" w:color="000000"/>
              <w:right w:val="single" w:sz="4" w:space="0" w:color="000000"/>
            </w:tcBorders>
            <w:shd w:val="clear" w:color="auto" w:fill="auto"/>
            <w:vAlign w:val="bottom"/>
          </w:tcPr>
          <w:p w14:paraId="4ACB2426" w14:textId="77777777" w:rsidR="003A3BCA" w:rsidRDefault="008276B6">
            <w:pPr>
              <w:jc w:val="right"/>
              <w:rPr>
                <w:rFonts w:ascii="Calibri" w:eastAsia="Calibri" w:hAnsi="Calibri" w:cs="Calibri"/>
                <w:color w:val="000000"/>
              </w:rPr>
            </w:pPr>
            <w:r>
              <w:rPr>
                <w:rFonts w:ascii="Calibri" w:eastAsia="Calibri" w:hAnsi="Calibri" w:cs="Calibri"/>
                <w:color w:val="000000"/>
              </w:rPr>
              <w:t>70,65</w:t>
            </w:r>
          </w:p>
        </w:tc>
      </w:tr>
      <w:tr w:rsidR="003A3BCA" w14:paraId="489A327E" w14:textId="77777777" w:rsidTr="00B24E05">
        <w:trPr>
          <w:trHeight w:val="310"/>
        </w:trPr>
        <w:tc>
          <w:tcPr>
            <w:tcW w:w="1934" w:type="dxa"/>
            <w:tcBorders>
              <w:top w:val="nil"/>
              <w:left w:val="single" w:sz="4" w:space="0" w:color="000000"/>
              <w:bottom w:val="single" w:sz="4" w:space="0" w:color="000000"/>
              <w:right w:val="single" w:sz="4" w:space="0" w:color="000000"/>
            </w:tcBorders>
            <w:shd w:val="clear" w:color="auto" w:fill="auto"/>
            <w:vAlign w:val="bottom"/>
          </w:tcPr>
          <w:p w14:paraId="3F1EBF8E" w14:textId="77777777" w:rsidR="003A3BCA" w:rsidRDefault="008276B6">
            <w:pPr>
              <w:rPr>
                <w:rFonts w:ascii="Calibri" w:eastAsia="Calibri" w:hAnsi="Calibri" w:cs="Calibri"/>
                <w:color w:val="000000"/>
              </w:rPr>
            </w:pPr>
            <w:r>
              <w:rPr>
                <w:rFonts w:ascii="Calibri" w:eastAsia="Calibri" w:hAnsi="Calibri" w:cs="Calibri"/>
                <w:color w:val="000000"/>
              </w:rPr>
              <w:t>Bruno Fernandes</w:t>
            </w:r>
          </w:p>
        </w:tc>
        <w:tc>
          <w:tcPr>
            <w:tcW w:w="649" w:type="dxa"/>
            <w:tcBorders>
              <w:top w:val="nil"/>
              <w:left w:val="nil"/>
              <w:bottom w:val="single" w:sz="4" w:space="0" w:color="000000"/>
              <w:right w:val="single" w:sz="4" w:space="0" w:color="000000"/>
            </w:tcBorders>
            <w:shd w:val="clear" w:color="auto" w:fill="auto"/>
            <w:vAlign w:val="bottom"/>
          </w:tcPr>
          <w:p w14:paraId="19A786D3" w14:textId="77777777" w:rsidR="003A3BCA" w:rsidRDefault="008276B6">
            <w:pPr>
              <w:jc w:val="right"/>
              <w:rPr>
                <w:rFonts w:ascii="Calibri" w:eastAsia="Calibri" w:hAnsi="Calibri" w:cs="Calibri"/>
                <w:color w:val="000000"/>
              </w:rPr>
            </w:pPr>
            <w:r>
              <w:rPr>
                <w:rFonts w:ascii="Calibri" w:eastAsia="Calibri" w:hAnsi="Calibri" w:cs="Calibri"/>
                <w:color w:val="000000"/>
              </w:rPr>
              <w:t>25</w:t>
            </w:r>
          </w:p>
        </w:tc>
        <w:tc>
          <w:tcPr>
            <w:tcW w:w="2158" w:type="dxa"/>
            <w:tcBorders>
              <w:top w:val="nil"/>
              <w:left w:val="nil"/>
              <w:bottom w:val="single" w:sz="4" w:space="0" w:color="000000"/>
              <w:right w:val="single" w:sz="4" w:space="0" w:color="000000"/>
            </w:tcBorders>
            <w:shd w:val="clear" w:color="auto" w:fill="auto"/>
            <w:vAlign w:val="bottom"/>
          </w:tcPr>
          <w:p w14:paraId="4AEC1721" w14:textId="77777777" w:rsidR="003A3BCA" w:rsidRDefault="008276B6">
            <w:pPr>
              <w:jc w:val="center"/>
              <w:rPr>
                <w:rFonts w:ascii="Calibri" w:eastAsia="Calibri" w:hAnsi="Calibri" w:cs="Calibri"/>
                <w:color w:val="000000"/>
              </w:rPr>
            </w:pPr>
            <w:r>
              <w:rPr>
                <w:rFonts w:ascii="Calibri" w:eastAsia="Calibri" w:hAnsi="Calibri" w:cs="Calibri"/>
                <w:color w:val="000000"/>
              </w:rPr>
              <w:t>2019/2020</w:t>
            </w:r>
          </w:p>
        </w:tc>
        <w:tc>
          <w:tcPr>
            <w:tcW w:w="4048" w:type="dxa"/>
            <w:tcBorders>
              <w:top w:val="nil"/>
              <w:left w:val="nil"/>
              <w:bottom w:val="single" w:sz="4" w:space="0" w:color="000000"/>
              <w:right w:val="single" w:sz="4" w:space="0" w:color="000000"/>
            </w:tcBorders>
            <w:shd w:val="clear" w:color="auto" w:fill="auto"/>
            <w:vAlign w:val="bottom"/>
          </w:tcPr>
          <w:p w14:paraId="5E403BF5" w14:textId="77777777" w:rsidR="003A3BCA" w:rsidRDefault="008276B6">
            <w:pPr>
              <w:jc w:val="right"/>
              <w:rPr>
                <w:rFonts w:ascii="Calibri" w:eastAsia="Calibri" w:hAnsi="Calibri" w:cs="Calibri"/>
                <w:color w:val="000000"/>
              </w:rPr>
            </w:pPr>
            <w:r>
              <w:rPr>
                <w:rFonts w:ascii="Calibri" w:eastAsia="Calibri" w:hAnsi="Calibri" w:cs="Calibri"/>
                <w:color w:val="000000"/>
              </w:rPr>
              <w:t>60</w:t>
            </w:r>
          </w:p>
        </w:tc>
        <w:tc>
          <w:tcPr>
            <w:tcW w:w="2406" w:type="dxa"/>
            <w:tcBorders>
              <w:top w:val="nil"/>
              <w:left w:val="nil"/>
              <w:bottom w:val="single" w:sz="4" w:space="0" w:color="000000"/>
              <w:right w:val="single" w:sz="4" w:space="0" w:color="000000"/>
            </w:tcBorders>
            <w:shd w:val="clear" w:color="auto" w:fill="auto"/>
            <w:vAlign w:val="bottom"/>
          </w:tcPr>
          <w:p w14:paraId="61490037" w14:textId="77777777" w:rsidR="003A3BCA" w:rsidRDefault="008276B6">
            <w:pPr>
              <w:jc w:val="right"/>
              <w:rPr>
                <w:rFonts w:ascii="Calibri" w:eastAsia="Calibri" w:hAnsi="Calibri" w:cs="Calibri"/>
                <w:color w:val="000000"/>
              </w:rPr>
            </w:pPr>
            <w:r>
              <w:rPr>
                <w:rFonts w:ascii="Calibri" w:eastAsia="Calibri" w:hAnsi="Calibri" w:cs="Calibri"/>
                <w:color w:val="000000"/>
              </w:rPr>
              <w:t>63</w:t>
            </w:r>
          </w:p>
        </w:tc>
      </w:tr>
      <w:tr w:rsidR="003A3BCA" w14:paraId="572F32BD" w14:textId="77777777" w:rsidTr="00B24E05">
        <w:trPr>
          <w:trHeight w:val="310"/>
        </w:trPr>
        <w:tc>
          <w:tcPr>
            <w:tcW w:w="1934" w:type="dxa"/>
            <w:tcBorders>
              <w:top w:val="nil"/>
              <w:left w:val="single" w:sz="4" w:space="0" w:color="000000"/>
              <w:bottom w:val="single" w:sz="4" w:space="0" w:color="000000"/>
              <w:right w:val="single" w:sz="4" w:space="0" w:color="000000"/>
            </w:tcBorders>
            <w:shd w:val="clear" w:color="auto" w:fill="auto"/>
            <w:vAlign w:val="bottom"/>
          </w:tcPr>
          <w:p w14:paraId="5E8FF6EB" w14:textId="77777777" w:rsidR="003A3BCA" w:rsidRDefault="008276B6">
            <w:pPr>
              <w:rPr>
                <w:rFonts w:ascii="Calibri" w:eastAsia="Calibri" w:hAnsi="Calibri" w:cs="Calibri"/>
                <w:color w:val="000000"/>
              </w:rPr>
            </w:pPr>
            <w:r>
              <w:rPr>
                <w:rFonts w:ascii="Calibri" w:eastAsia="Calibri" w:hAnsi="Calibri" w:cs="Calibri"/>
                <w:color w:val="000000"/>
              </w:rPr>
              <w:t>Fred</w:t>
            </w:r>
          </w:p>
        </w:tc>
        <w:tc>
          <w:tcPr>
            <w:tcW w:w="649" w:type="dxa"/>
            <w:tcBorders>
              <w:top w:val="nil"/>
              <w:left w:val="nil"/>
              <w:bottom w:val="single" w:sz="4" w:space="0" w:color="000000"/>
              <w:right w:val="single" w:sz="4" w:space="0" w:color="000000"/>
            </w:tcBorders>
            <w:shd w:val="clear" w:color="auto" w:fill="auto"/>
            <w:vAlign w:val="bottom"/>
          </w:tcPr>
          <w:p w14:paraId="54008BD5" w14:textId="77777777" w:rsidR="003A3BCA" w:rsidRDefault="008276B6">
            <w:pPr>
              <w:jc w:val="right"/>
              <w:rPr>
                <w:rFonts w:ascii="Calibri" w:eastAsia="Calibri" w:hAnsi="Calibri" w:cs="Calibri"/>
                <w:color w:val="000000"/>
              </w:rPr>
            </w:pPr>
            <w:r>
              <w:rPr>
                <w:rFonts w:ascii="Calibri" w:eastAsia="Calibri" w:hAnsi="Calibri" w:cs="Calibri"/>
                <w:color w:val="000000"/>
              </w:rPr>
              <w:t>25</w:t>
            </w:r>
          </w:p>
        </w:tc>
        <w:tc>
          <w:tcPr>
            <w:tcW w:w="2158" w:type="dxa"/>
            <w:tcBorders>
              <w:top w:val="nil"/>
              <w:left w:val="nil"/>
              <w:bottom w:val="single" w:sz="4" w:space="0" w:color="000000"/>
              <w:right w:val="single" w:sz="4" w:space="0" w:color="000000"/>
            </w:tcBorders>
            <w:shd w:val="clear" w:color="auto" w:fill="auto"/>
            <w:vAlign w:val="bottom"/>
          </w:tcPr>
          <w:p w14:paraId="34014AE3" w14:textId="77777777" w:rsidR="003A3BCA" w:rsidRDefault="008276B6">
            <w:pPr>
              <w:jc w:val="center"/>
              <w:rPr>
                <w:rFonts w:ascii="Calibri" w:eastAsia="Calibri" w:hAnsi="Calibri" w:cs="Calibri"/>
                <w:color w:val="000000"/>
              </w:rPr>
            </w:pPr>
            <w:r>
              <w:rPr>
                <w:rFonts w:ascii="Calibri" w:eastAsia="Calibri" w:hAnsi="Calibri" w:cs="Calibri"/>
                <w:color w:val="000000"/>
              </w:rPr>
              <w:t>2018/2019</w:t>
            </w:r>
          </w:p>
        </w:tc>
        <w:tc>
          <w:tcPr>
            <w:tcW w:w="4048" w:type="dxa"/>
            <w:tcBorders>
              <w:top w:val="nil"/>
              <w:left w:val="nil"/>
              <w:bottom w:val="single" w:sz="4" w:space="0" w:color="000000"/>
              <w:right w:val="single" w:sz="4" w:space="0" w:color="000000"/>
            </w:tcBorders>
            <w:shd w:val="clear" w:color="auto" w:fill="auto"/>
            <w:vAlign w:val="bottom"/>
          </w:tcPr>
          <w:p w14:paraId="30A2BE82" w14:textId="77777777" w:rsidR="003A3BCA" w:rsidRDefault="008276B6">
            <w:pPr>
              <w:jc w:val="right"/>
              <w:rPr>
                <w:rFonts w:ascii="Calibri" w:eastAsia="Calibri" w:hAnsi="Calibri" w:cs="Calibri"/>
                <w:color w:val="000000"/>
              </w:rPr>
            </w:pPr>
            <w:r>
              <w:rPr>
                <w:rFonts w:ascii="Calibri" w:eastAsia="Calibri" w:hAnsi="Calibri" w:cs="Calibri"/>
                <w:color w:val="000000"/>
              </w:rPr>
              <w:t>32</w:t>
            </w:r>
          </w:p>
        </w:tc>
        <w:tc>
          <w:tcPr>
            <w:tcW w:w="2406" w:type="dxa"/>
            <w:tcBorders>
              <w:top w:val="nil"/>
              <w:left w:val="nil"/>
              <w:bottom w:val="single" w:sz="4" w:space="0" w:color="000000"/>
              <w:right w:val="single" w:sz="4" w:space="0" w:color="000000"/>
            </w:tcBorders>
            <w:shd w:val="clear" w:color="auto" w:fill="auto"/>
            <w:vAlign w:val="bottom"/>
          </w:tcPr>
          <w:p w14:paraId="6E73451C" w14:textId="77777777" w:rsidR="003A3BCA" w:rsidRDefault="008276B6">
            <w:pPr>
              <w:jc w:val="right"/>
              <w:rPr>
                <w:rFonts w:ascii="Calibri" w:eastAsia="Calibri" w:hAnsi="Calibri" w:cs="Calibri"/>
                <w:color w:val="000000"/>
              </w:rPr>
            </w:pPr>
            <w:r>
              <w:rPr>
                <w:rFonts w:ascii="Calibri" w:eastAsia="Calibri" w:hAnsi="Calibri" w:cs="Calibri"/>
                <w:color w:val="000000"/>
              </w:rPr>
              <w:t>59</w:t>
            </w:r>
          </w:p>
        </w:tc>
      </w:tr>
      <w:tr w:rsidR="003A3BCA" w14:paraId="23763D3D" w14:textId="77777777" w:rsidTr="00B24E05">
        <w:trPr>
          <w:trHeight w:val="310"/>
        </w:trPr>
        <w:tc>
          <w:tcPr>
            <w:tcW w:w="1934" w:type="dxa"/>
            <w:tcBorders>
              <w:top w:val="nil"/>
              <w:left w:val="single" w:sz="4" w:space="0" w:color="000000"/>
              <w:bottom w:val="single" w:sz="4" w:space="0" w:color="000000"/>
              <w:right w:val="single" w:sz="4" w:space="0" w:color="000000"/>
            </w:tcBorders>
            <w:shd w:val="clear" w:color="auto" w:fill="auto"/>
            <w:vAlign w:val="bottom"/>
          </w:tcPr>
          <w:p w14:paraId="48BA6855" w14:textId="77777777" w:rsidR="003A3BCA" w:rsidRDefault="008276B6">
            <w:pPr>
              <w:rPr>
                <w:rFonts w:ascii="Calibri" w:eastAsia="Calibri" w:hAnsi="Calibri" w:cs="Calibri"/>
                <w:color w:val="000000"/>
              </w:rPr>
            </w:pPr>
            <w:r>
              <w:rPr>
                <w:rFonts w:ascii="Calibri" w:eastAsia="Calibri" w:hAnsi="Calibri" w:cs="Calibri"/>
                <w:color w:val="000000"/>
              </w:rPr>
              <w:t>Lisandro Martinez</w:t>
            </w:r>
          </w:p>
        </w:tc>
        <w:tc>
          <w:tcPr>
            <w:tcW w:w="649" w:type="dxa"/>
            <w:tcBorders>
              <w:top w:val="nil"/>
              <w:left w:val="nil"/>
              <w:bottom w:val="single" w:sz="4" w:space="0" w:color="000000"/>
              <w:right w:val="single" w:sz="4" w:space="0" w:color="000000"/>
            </w:tcBorders>
            <w:shd w:val="clear" w:color="auto" w:fill="auto"/>
            <w:vAlign w:val="bottom"/>
          </w:tcPr>
          <w:p w14:paraId="32415F65" w14:textId="77777777" w:rsidR="003A3BCA" w:rsidRDefault="008276B6">
            <w:pPr>
              <w:jc w:val="right"/>
              <w:rPr>
                <w:rFonts w:ascii="Calibri" w:eastAsia="Calibri" w:hAnsi="Calibri" w:cs="Calibri"/>
                <w:color w:val="000000"/>
              </w:rPr>
            </w:pPr>
            <w:r>
              <w:rPr>
                <w:rFonts w:ascii="Calibri" w:eastAsia="Calibri" w:hAnsi="Calibri" w:cs="Calibri"/>
                <w:color w:val="000000"/>
              </w:rPr>
              <w:t>24</w:t>
            </w:r>
          </w:p>
        </w:tc>
        <w:tc>
          <w:tcPr>
            <w:tcW w:w="2158" w:type="dxa"/>
            <w:tcBorders>
              <w:top w:val="nil"/>
              <w:left w:val="nil"/>
              <w:bottom w:val="single" w:sz="4" w:space="0" w:color="000000"/>
              <w:right w:val="single" w:sz="4" w:space="0" w:color="000000"/>
            </w:tcBorders>
            <w:shd w:val="clear" w:color="auto" w:fill="auto"/>
            <w:vAlign w:val="bottom"/>
          </w:tcPr>
          <w:p w14:paraId="10F5695B" w14:textId="77777777" w:rsidR="003A3BCA" w:rsidRDefault="008276B6">
            <w:pPr>
              <w:jc w:val="center"/>
              <w:rPr>
                <w:rFonts w:ascii="Calibri" w:eastAsia="Calibri" w:hAnsi="Calibri" w:cs="Calibri"/>
                <w:color w:val="000000"/>
              </w:rPr>
            </w:pPr>
            <w:r>
              <w:rPr>
                <w:rFonts w:ascii="Calibri" w:eastAsia="Calibri" w:hAnsi="Calibri" w:cs="Calibri"/>
                <w:color w:val="000000"/>
              </w:rPr>
              <w:t>2022/2023</w:t>
            </w:r>
          </w:p>
        </w:tc>
        <w:tc>
          <w:tcPr>
            <w:tcW w:w="4048" w:type="dxa"/>
            <w:tcBorders>
              <w:top w:val="nil"/>
              <w:left w:val="nil"/>
              <w:bottom w:val="single" w:sz="4" w:space="0" w:color="000000"/>
              <w:right w:val="single" w:sz="4" w:space="0" w:color="000000"/>
            </w:tcBorders>
            <w:shd w:val="clear" w:color="auto" w:fill="auto"/>
            <w:vAlign w:val="bottom"/>
          </w:tcPr>
          <w:p w14:paraId="31D77C5C" w14:textId="77777777" w:rsidR="003A3BCA" w:rsidRDefault="008276B6">
            <w:pPr>
              <w:jc w:val="right"/>
              <w:rPr>
                <w:rFonts w:ascii="Calibri" w:eastAsia="Calibri" w:hAnsi="Calibri" w:cs="Calibri"/>
                <w:color w:val="000000"/>
              </w:rPr>
            </w:pPr>
            <w:r>
              <w:rPr>
                <w:rFonts w:ascii="Calibri" w:eastAsia="Calibri" w:hAnsi="Calibri" w:cs="Calibri"/>
                <w:color w:val="000000"/>
              </w:rPr>
              <w:t>32</w:t>
            </w:r>
          </w:p>
        </w:tc>
        <w:tc>
          <w:tcPr>
            <w:tcW w:w="2406" w:type="dxa"/>
            <w:tcBorders>
              <w:top w:val="nil"/>
              <w:left w:val="nil"/>
              <w:bottom w:val="single" w:sz="4" w:space="0" w:color="000000"/>
              <w:right w:val="single" w:sz="4" w:space="0" w:color="000000"/>
            </w:tcBorders>
            <w:shd w:val="clear" w:color="auto" w:fill="auto"/>
            <w:vAlign w:val="bottom"/>
          </w:tcPr>
          <w:p w14:paraId="32CAA705" w14:textId="77777777" w:rsidR="003A3BCA" w:rsidRDefault="008276B6">
            <w:pPr>
              <w:jc w:val="right"/>
              <w:rPr>
                <w:rFonts w:ascii="Calibri" w:eastAsia="Calibri" w:hAnsi="Calibri" w:cs="Calibri"/>
                <w:color w:val="000000"/>
              </w:rPr>
            </w:pPr>
            <w:r>
              <w:rPr>
                <w:rFonts w:ascii="Calibri" w:eastAsia="Calibri" w:hAnsi="Calibri" w:cs="Calibri"/>
                <w:color w:val="000000"/>
              </w:rPr>
              <w:t>57,37</w:t>
            </w:r>
          </w:p>
        </w:tc>
      </w:tr>
      <w:tr w:rsidR="003A3BCA" w14:paraId="2C69ED5D" w14:textId="77777777" w:rsidTr="00B24E05">
        <w:trPr>
          <w:trHeight w:val="310"/>
        </w:trPr>
        <w:tc>
          <w:tcPr>
            <w:tcW w:w="1934" w:type="dxa"/>
            <w:tcBorders>
              <w:top w:val="nil"/>
              <w:left w:val="single" w:sz="4" w:space="0" w:color="000000"/>
              <w:bottom w:val="single" w:sz="4" w:space="0" w:color="000000"/>
              <w:right w:val="single" w:sz="4" w:space="0" w:color="000000"/>
            </w:tcBorders>
            <w:shd w:val="clear" w:color="auto" w:fill="auto"/>
            <w:vAlign w:val="bottom"/>
          </w:tcPr>
          <w:p w14:paraId="0A181F83" w14:textId="77777777" w:rsidR="003A3BCA" w:rsidRDefault="008276B6">
            <w:pPr>
              <w:rPr>
                <w:rFonts w:ascii="Calibri" w:eastAsia="Calibri" w:hAnsi="Calibri" w:cs="Calibri"/>
                <w:color w:val="000000"/>
              </w:rPr>
            </w:pPr>
            <w:r>
              <w:rPr>
                <w:rFonts w:ascii="Calibri" w:eastAsia="Calibri" w:hAnsi="Calibri" w:cs="Calibri"/>
                <w:color w:val="000000"/>
              </w:rPr>
              <w:t>Aaron Wan-</w:t>
            </w:r>
            <w:proofErr w:type="spellStart"/>
            <w:r>
              <w:rPr>
                <w:rFonts w:ascii="Calibri" w:eastAsia="Calibri" w:hAnsi="Calibri" w:cs="Calibri"/>
                <w:color w:val="000000"/>
              </w:rPr>
              <w:t>Bissaka</w:t>
            </w:r>
            <w:proofErr w:type="spellEnd"/>
          </w:p>
        </w:tc>
        <w:tc>
          <w:tcPr>
            <w:tcW w:w="649" w:type="dxa"/>
            <w:tcBorders>
              <w:top w:val="nil"/>
              <w:left w:val="nil"/>
              <w:bottom w:val="single" w:sz="4" w:space="0" w:color="000000"/>
              <w:right w:val="single" w:sz="4" w:space="0" w:color="000000"/>
            </w:tcBorders>
            <w:shd w:val="clear" w:color="auto" w:fill="auto"/>
            <w:vAlign w:val="bottom"/>
          </w:tcPr>
          <w:p w14:paraId="5A7D899A" w14:textId="77777777" w:rsidR="003A3BCA" w:rsidRDefault="008276B6">
            <w:pPr>
              <w:jc w:val="right"/>
              <w:rPr>
                <w:rFonts w:ascii="Calibri" w:eastAsia="Calibri" w:hAnsi="Calibri" w:cs="Calibri"/>
                <w:color w:val="000000"/>
              </w:rPr>
            </w:pPr>
            <w:r>
              <w:rPr>
                <w:rFonts w:ascii="Calibri" w:eastAsia="Calibri" w:hAnsi="Calibri" w:cs="Calibri"/>
                <w:color w:val="000000"/>
              </w:rPr>
              <w:t>21</w:t>
            </w:r>
          </w:p>
        </w:tc>
        <w:tc>
          <w:tcPr>
            <w:tcW w:w="2158" w:type="dxa"/>
            <w:tcBorders>
              <w:top w:val="nil"/>
              <w:left w:val="nil"/>
              <w:bottom w:val="single" w:sz="4" w:space="0" w:color="000000"/>
              <w:right w:val="single" w:sz="4" w:space="0" w:color="000000"/>
            </w:tcBorders>
            <w:shd w:val="clear" w:color="auto" w:fill="auto"/>
            <w:vAlign w:val="bottom"/>
          </w:tcPr>
          <w:p w14:paraId="1D14CECF" w14:textId="77777777" w:rsidR="003A3BCA" w:rsidRDefault="008276B6">
            <w:pPr>
              <w:jc w:val="center"/>
              <w:rPr>
                <w:rFonts w:ascii="Calibri" w:eastAsia="Calibri" w:hAnsi="Calibri" w:cs="Calibri"/>
                <w:color w:val="000000"/>
              </w:rPr>
            </w:pPr>
            <w:r>
              <w:rPr>
                <w:rFonts w:ascii="Calibri" w:eastAsia="Calibri" w:hAnsi="Calibri" w:cs="Calibri"/>
                <w:color w:val="000000"/>
              </w:rPr>
              <w:t>2019/2020</w:t>
            </w:r>
          </w:p>
        </w:tc>
        <w:tc>
          <w:tcPr>
            <w:tcW w:w="4048" w:type="dxa"/>
            <w:tcBorders>
              <w:top w:val="nil"/>
              <w:left w:val="nil"/>
              <w:bottom w:val="single" w:sz="4" w:space="0" w:color="000000"/>
              <w:right w:val="single" w:sz="4" w:space="0" w:color="000000"/>
            </w:tcBorders>
            <w:shd w:val="clear" w:color="auto" w:fill="auto"/>
            <w:vAlign w:val="bottom"/>
          </w:tcPr>
          <w:p w14:paraId="424EAA53" w14:textId="77777777" w:rsidR="003A3BCA" w:rsidRDefault="008276B6">
            <w:pPr>
              <w:jc w:val="right"/>
              <w:rPr>
                <w:rFonts w:ascii="Calibri" w:eastAsia="Calibri" w:hAnsi="Calibri" w:cs="Calibri"/>
                <w:color w:val="000000"/>
              </w:rPr>
            </w:pPr>
            <w:r>
              <w:rPr>
                <w:rFonts w:ascii="Calibri" w:eastAsia="Calibri" w:hAnsi="Calibri" w:cs="Calibri"/>
                <w:color w:val="000000"/>
              </w:rPr>
              <w:t>35</w:t>
            </w:r>
          </w:p>
        </w:tc>
        <w:tc>
          <w:tcPr>
            <w:tcW w:w="2406" w:type="dxa"/>
            <w:tcBorders>
              <w:top w:val="nil"/>
              <w:left w:val="nil"/>
              <w:bottom w:val="single" w:sz="4" w:space="0" w:color="000000"/>
              <w:right w:val="single" w:sz="4" w:space="0" w:color="000000"/>
            </w:tcBorders>
            <w:shd w:val="clear" w:color="auto" w:fill="auto"/>
            <w:vAlign w:val="bottom"/>
          </w:tcPr>
          <w:p w14:paraId="5EE904CC" w14:textId="77777777" w:rsidR="003A3BCA" w:rsidRDefault="008276B6">
            <w:pPr>
              <w:jc w:val="right"/>
              <w:rPr>
                <w:rFonts w:ascii="Calibri" w:eastAsia="Calibri" w:hAnsi="Calibri" w:cs="Calibri"/>
                <w:color w:val="000000"/>
              </w:rPr>
            </w:pPr>
            <w:r>
              <w:rPr>
                <w:rFonts w:ascii="Calibri" w:eastAsia="Calibri" w:hAnsi="Calibri" w:cs="Calibri"/>
                <w:color w:val="000000"/>
              </w:rPr>
              <w:t>55</w:t>
            </w:r>
          </w:p>
        </w:tc>
      </w:tr>
      <w:tr w:rsidR="003A3BCA" w14:paraId="14E0B2A0" w14:textId="77777777" w:rsidTr="00B24E05">
        <w:trPr>
          <w:trHeight w:val="310"/>
        </w:trPr>
        <w:tc>
          <w:tcPr>
            <w:tcW w:w="1934" w:type="dxa"/>
            <w:tcBorders>
              <w:top w:val="nil"/>
              <w:left w:val="single" w:sz="4" w:space="0" w:color="000000"/>
              <w:bottom w:val="single" w:sz="4" w:space="0" w:color="000000"/>
              <w:right w:val="single" w:sz="4" w:space="0" w:color="000000"/>
            </w:tcBorders>
            <w:shd w:val="clear" w:color="auto" w:fill="auto"/>
            <w:vAlign w:val="bottom"/>
          </w:tcPr>
          <w:p w14:paraId="76C3C7CC" w14:textId="77777777" w:rsidR="003A3BCA" w:rsidRDefault="008276B6">
            <w:pPr>
              <w:rPr>
                <w:rFonts w:ascii="Calibri" w:eastAsia="Calibri" w:hAnsi="Calibri" w:cs="Calibri"/>
                <w:color w:val="000000"/>
              </w:rPr>
            </w:pPr>
            <w:r>
              <w:rPr>
                <w:rFonts w:ascii="Calibri" w:eastAsia="Calibri" w:hAnsi="Calibri" w:cs="Calibri"/>
                <w:color w:val="000000"/>
              </w:rPr>
              <w:t>Nemanja Matic</w:t>
            </w:r>
          </w:p>
        </w:tc>
        <w:tc>
          <w:tcPr>
            <w:tcW w:w="649" w:type="dxa"/>
            <w:tcBorders>
              <w:top w:val="nil"/>
              <w:left w:val="nil"/>
              <w:bottom w:val="single" w:sz="4" w:space="0" w:color="000000"/>
              <w:right w:val="single" w:sz="4" w:space="0" w:color="000000"/>
            </w:tcBorders>
            <w:shd w:val="clear" w:color="auto" w:fill="auto"/>
            <w:vAlign w:val="bottom"/>
          </w:tcPr>
          <w:p w14:paraId="4FD4D418" w14:textId="77777777" w:rsidR="003A3BCA" w:rsidRDefault="008276B6">
            <w:pPr>
              <w:jc w:val="right"/>
              <w:rPr>
                <w:rFonts w:ascii="Calibri" w:eastAsia="Calibri" w:hAnsi="Calibri" w:cs="Calibri"/>
                <w:color w:val="000000"/>
              </w:rPr>
            </w:pPr>
            <w:r>
              <w:rPr>
                <w:rFonts w:ascii="Calibri" w:eastAsia="Calibri" w:hAnsi="Calibri" w:cs="Calibri"/>
                <w:color w:val="000000"/>
              </w:rPr>
              <w:t>28</w:t>
            </w:r>
          </w:p>
        </w:tc>
        <w:tc>
          <w:tcPr>
            <w:tcW w:w="2158" w:type="dxa"/>
            <w:tcBorders>
              <w:top w:val="nil"/>
              <w:left w:val="nil"/>
              <w:bottom w:val="single" w:sz="4" w:space="0" w:color="000000"/>
              <w:right w:val="single" w:sz="4" w:space="0" w:color="000000"/>
            </w:tcBorders>
            <w:shd w:val="clear" w:color="auto" w:fill="auto"/>
            <w:vAlign w:val="bottom"/>
          </w:tcPr>
          <w:p w14:paraId="32D987A4" w14:textId="77777777" w:rsidR="003A3BCA" w:rsidRDefault="008276B6">
            <w:pPr>
              <w:jc w:val="center"/>
              <w:rPr>
                <w:rFonts w:ascii="Calibri" w:eastAsia="Calibri" w:hAnsi="Calibri" w:cs="Calibri"/>
                <w:color w:val="000000"/>
              </w:rPr>
            </w:pPr>
            <w:r>
              <w:rPr>
                <w:rFonts w:ascii="Calibri" w:eastAsia="Calibri" w:hAnsi="Calibri" w:cs="Calibri"/>
                <w:color w:val="000000"/>
              </w:rPr>
              <w:t>2017/2018</w:t>
            </w:r>
          </w:p>
        </w:tc>
        <w:tc>
          <w:tcPr>
            <w:tcW w:w="4048" w:type="dxa"/>
            <w:tcBorders>
              <w:top w:val="nil"/>
              <w:left w:val="nil"/>
              <w:bottom w:val="single" w:sz="4" w:space="0" w:color="000000"/>
              <w:right w:val="single" w:sz="4" w:space="0" w:color="000000"/>
            </w:tcBorders>
            <w:shd w:val="clear" w:color="auto" w:fill="auto"/>
            <w:vAlign w:val="bottom"/>
          </w:tcPr>
          <w:p w14:paraId="5E358022" w14:textId="77777777" w:rsidR="003A3BCA" w:rsidRDefault="008276B6">
            <w:pPr>
              <w:jc w:val="right"/>
              <w:rPr>
                <w:rFonts w:ascii="Calibri" w:eastAsia="Calibri" w:hAnsi="Calibri" w:cs="Calibri"/>
                <w:color w:val="000000"/>
              </w:rPr>
            </w:pPr>
            <w:r>
              <w:rPr>
                <w:rFonts w:ascii="Calibri" w:eastAsia="Calibri" w:hAnsi="Calibri" w:cs="Calibri"/>
                <w:color w:val="000000"/>
              </w:rPr>
              <w:t>35</w:t>
            </w:r>
          </w:p>
        </w:tc>
        <w:tc>
          <w:tcPr>
            <w:tcW w:w="2406" w:type="dxa"/>
            <w:tcBorders>
              <w:top w:val="nil"/>
              <w:left w:val="nil"/>
              <w:bottom w:val="single" w:sz="4" w:space="0" w:color="000000"/>
              <w:right w:val="single" w:sz="4" w:space="0" w:color="000000"/>
            </w:tcBorders>
            <w:shd w:val="clear" w:color="auto" w:fill="auto"/>
            <w:vAlign w:val="bottom"/>
          </w:tcPr>
          <w:p w14:paraId="45818539" w14:textId="77777777" w:rsidR="003A3BCA" w:rsidRDefault="008276B6">
            <w:pPr>
              <w:jc w:val="right"/>
              <w:rPr>
                <w:rFonts w:ascii="Calibri" w:eastAsia="Calibri" w:hAnsi="Calibri" w:cs="Calibri"/>
                <w:color w:val="000000"/>
              </w:rPr>
            </w:pPr>
            <w:r>
              <w:rPr>
                <w:rFonts w:ascii="Calibri" w:eastAsia="Calibri" w:hAnsi="Calibri" w:cs="Calibri"/>
                <w:color w:val="000000"/>
              </w:rPr>
              <w:t>44,7</w:t>
            </w:r>
          </w:p>
        </w:tc>
      </w:tr>
      <w:tr w:rsidR="003A3BCA" w14:paraId="6E4E950F" w14:textId="77777777" w:rsidTr="00B24E05">
        <w:trPr>
          <w:trHeight w:val="310"/>
        </w:trPr>
        <w:tc>
          <w:tcPr>
            <w:tcW w:w="1934" w:type="dxa"/>
            <w:tcBorders>
              <w:top w:val="nil"/>
              <w:left w:val="single" w:sz="4" w:space="0" w:color="000000"/>
              <w:bottom w:val="single" w:sz="4" w:space="0" w:color="000000"/>
              <w:right w:val="single" w:sz="4" w:space="0" w:color="000000"/>
            </w:tcBorders>
            <w:shd w:val="clear" w:color="auto" w:fill="C6E0B4"/>
            <w:vAlign w:val="bottom"/>
          </w:tcPr>
          <w:p w14:paraId="0B317294" w14:textId="77777777" w:rsidR="003A3BCA" w:rsidRDefault="008276B6">
            <w:pPr>
              <w:rPr>
                <w:rFonts w:ascii="Calibri" w:eastAsia="Calibri" w:hAnsi="Calibri" w:cs="Calibri"/>
                <w:color w:val="000000"/>
              </w:rPr>
            </w:pPr>
            <w:r>
              <w:rPr>
                <w:rFonts w:ascii="Calibri" w:eastAsia="Calibri" w:hAnsi="Calibri" w:cs="Calibri"/>
                <w:color w:val="000000"/>
              </w:rPr>
              <w:t>Raphael Varane</w:t>
            </w:r>
          </w:p>
        </w:tc>
        <w:tc>
          <w:tcPr>
            <w:tcW w:w="649" w:type="dxa"/>
            <w:tcBorders>
              <w:top w:val="nil"/>
              <w:left w:val="nil"/>
              <w:bottom w:val="single" w:sz="4" w:space="0" w:color="000000"/>
              <w:right w:val="single" w:sz="4" w:space="0" w:color="000000"/>
            </w:tcBorders>
            <w:shd w:val="clear" w:color="auto" w:fill="C6E0B4"/>
            <w:vAlign w:val="bottom"/>
          </w:tcPr>
          <w:p w14:paraId="03055210" w14:textId="77777777" w:rsidR="003A3BCA" w:rsidRDefault="008276B6">
            <w:pPr>
              <w:jc w:val="right"/>
              <w:rPr>
                <w:rFonts w:ascii="Calibri" w:eastAsia="Calibri" w:hAnsi="Calibri" w:cs="Calibri"/>
                <w:color w:val="000000"/>
              </w:rPr>
            </w:pPr>
            <w:r>
              <w:rPr>
                <w:rFonts w:ascii="Calibri" w:eastAsia="Calibri" w:hAnsi="Calibri" w:cs="Calibri"/>
                <w:color w:val="000000"/>
              </w:rPr>
              <w:t>28</w:t>
            </w:r>
          </w:p>
        </w:tc>
        <w:tc>
          <w:tcPr>
            <w:tcW w:w="2158" w:type="dxa"/>
            <w:tcBorders>
              <w:top w:val="nil"/>
              <w:left w:val="nil"/>
              <w:bottom w:val="single" w:sz="4" w:space="0" w:color="000000"/>
              <w:right w:val="single" w:sz="4" w:space="0" w:color="000000"/>
            </w:tcBorders>
            <w:shd w:val="clear" w:color="auto" w:fill="C6E0B4"/>
            <w:vAlign w:val="bottom"/>
          </w:tcPr>
          <w:p w14:paraId="7E29EF6C" w14:textId="77777777" w:rsidR="003A3BCA" w:rsidRDefault="008276B6">
            <w:pPr>
              <w:jc w:val="center"/>
              <w:rPr>
                <w:rFonts w:ascii="Calibri" w:eastAsia="Calibri" w:hAnsi="Calibri" w:cs="Calibri"/>
                <w:color w:val="000000"/>
              </w:rPr>
            </w:pPr>
            <w:r>
              <w:rPr>
                <w:rFonts w:ascii="Calibri" w:eastAsia="Calibri" w:hAnsi="Calibri" w:cs="Calibri"/>
                <w:color w:val="000000"/>
              </w:rPr>
              <w:t>2021/2022</w:t>
            </w:r>
          </w:p>
        </w:tc>
        <w:tc>
          <w:tcPr>
            <w:tcW w:w="4048" w:type="dxa"/>
            <w:tcBorders>
              <w:top w:val="nil"/>
              <w:left w:val="nil"/>
              <w:bottom w:val="single" w:sz="4" w:space="0" w:color="000000"/>
              <w:right w:val="single" w:sz="4" w:space="0" w:color="000000"/>
            </w:tcBorders>
            <w:shd w:val="clear" w:color="auto" w:fill="C6E0B4"/>
            <w:vAlign w:val="bottom"/>
          </w:tcPr>
          <w:p w14:paraId="29D30A9C" w14:textId="77777777" w:rsidR="003A3BCA" w:rsidRDefault="008276B6">
            <w:pPr>
              <w:jc w:val="right"/>
              <w:rPr>
                <w:rFonts w:ascii="Calibri" w:eastAsia="Calibri" w:hAnsi="Calibri" w:cs="Calibri"/>
                <w:color w:val="000000"/>
              </w:rPr>
            </w:pPr>
            <w:r>
              <w:rPr>
                <w:rFonts w:ascii="Calibri" w:eastAsia="Calibri" w:hAnsi="Calibri" w:cs="Calibri"/>
                <w:color w:val="000000"/>
              </w:rPr>
              <w:t>70</w:t>
            </w:r>
          </w:p>
        </w:tc>
        <w:tc>
          <w:tcPr>
            <w:tcW w:w="2406" w:type="dxa"/>
            <w:tcBorders>
              <w:top w:val="nil"/>
              <w:left w:val="nil"/>
              <w:bottom w:val="single" w:sz="4" w:space="0" w:color="000000"/>
              <w:right w:val="single" w:sz="4" w:space="0" w:color="000000"/>
            </w:tcBorders>
            <w:shd w:val="clear" w:color="auto" w:fill="C6E0B4"/>
            <w:vAlign w:val="bottom"/>
          </w:tcPr>
          <w:p w14:paraId="204ABD58" w14:textId="77777777" w:rsidR="003A3BCA" w:rsidRDefault="008276B6">
            <w:pPr>
              <w:jc w:val="right"/>
              <w:rPr>
                <w:rFonts w:ascii="Calibri" w:eastAsia="Calibri" w:hAnsi="Calibri" w:cs="Calibri"/>
                <w:color w:val="000000"/>
              </w:rPr>
            </w:pPr>
            <w:r>
              <w:rPr>
                <w:rFonts w:ascii="Calibri" w:eastAsia="Calibri" w:hAnsi="Calibri" w:cs="Calibri"/>
                <w:color w:val="000000"/>
              </w:rPr>
              <w:t>40</w:t>
            </w:r>
          </w:p>
        </w:tc>
      </w:tr>
      <w:tr w:rsidR="003A3BCA" w14:paraId="63CB6861" w14:textId="77777777" w:rsidTr="00B24E05">
        <w:trPr>
          <w:trHeight w:val="310"/>
        </w:trPr>
        <w:tc>
          <w:tcPr>
            <w:tcW w:w="1934" w:type="dxa"/>
            <w:tcBorders>
              <w:top w:val="nil"/>
              <w:left w:val="single" w:sz="4" w:space="0" w:color="000000"/>
              <w:bottom w:val="single" w:sz="4" w:space="0" w:color="000000"/>
              <w:right w:val="single" w:sz="4" w:space="0" w:color="000000"/>
            </w:tcBorders>
            <w:shd w:val="clear" w:color="auto" w:fill="C6E0B4"/>
            <w:vAlign w:val="bottom"/>
          </w:tcPr>
          <w:p w14:paraId="57B95436" w14:textId="77777777" w:rsidR="003A3BCA" w:rsidRDefault="008276B6">
            <w:pPr>
              <w:rPr>
                <w:rFonts w:ascii="Calibri" w:eastAsia="Calibri" w:hAnsi="Calibri" w:cs="Calibri"/>
                <w:color w:val="000000"/>
              </w:rPr>
            </w:pPr>
            <w:r>
              <w:rPr>
                <w:rFonts w:ascii="Calibri" w:eastAsia="Calibri" w:hAnsi="Calibri" w:cs="Calibri"/>
                <w:color w:val="000000"/>
              </w:rPr>
              <w:t>Donny van de Beek</w:t>
            </w:r>
          </w:p>
        </w:tc>
        <w:tc>
          <w:tcPr>
            <w:tcW w:w="649" w:type="dxa"/>
            <w:tcBorders>
              <w:top w:val="nil"/>
              <w:left w:val="nil"/>
              <w:bottom w:val="single" w:sz="4" w:space="0" w:color="000000"/>
              <w:right w:val="single" w:sz="4" w:space="0" w:color="000000"/>
            </w:tcBorders>
            <w:shd w:val="clear" w:color="auto" w:fill="C6E0B4"/>
            <w:vAlign w:val="bottom"/>
          </w:tcPr>
          <w:p w14:paraId="7BE08DE1" w14:textId="77777777" w:rsidR="003A3BCA" w:rsidRDefault="008276B6">
            <w:pPr>
              <w:jc w:val="right"/>
              <w:rPr>
                <w:rFonts w:ascii="Calibri" w:eastAsia="Calibri" w:hAnsi="Calibri" w:cs="Calibri"/>
                <w:color w:val="000000"/>
              </w:rPr>
            </w:pPr>
            <w:r>
              <w:rPr>
                <w:rFonts w:ascii="Calibri" w:eastAsia="Calibri" w:hAnsi="Calibri" w:cs="Calibri"/>
                <w:color w:val="000000"/>
              </w:rPr>
              <w:t>23</w:t>
            </w:r>
          </w:p>
        </w:tc>
        <w:tc>
          <w:tcPr>
            <w:tcW w:w="2158" w:type="dxa"/>
            <w:tcBorders>
              <w:top w:val="nil"/>
              <w:left w:val="nil"/>
              <w:bottom w:val="single" w:sz="4" w:space="0" w:color="000000"/>
              <w:right w:val="single" w:sz="4" w:space="0" w:color="000000"/>
            </w:tcBorders>
            <w:shd w:val="clear" w:color="auto" w:fill="C6E0B4"/>
            <w:vAlign w:val="bottom"/>
          </w:tcPr>
          <w:p w14:paraId="70AFF103" w14:textId="77777777" w:rsidR="003A3BCA" w:rsidRDefault="008276B6">
            <w:pPr>
              <w:jc w:val="center"/>
              <w:rPr>
                <w:rFonts w:ascii="Calibri" w:eastAsia="Calibri" w:hAnsi="Calibri" w:cs="Calibri"/>
                <w:color w:val="000000"/>
              </w:rPr>
            </w:pPr>
            <w:r>
              <w:rPr>
                <w:rFonts w:ascii="Calibri" w:eastAsia="Calibri" w:hAnsi="Calibri" w:cs="Calibri"/>
                <w:color w:val="000000"/>
              </w:rPr>
              <w:t>2020/2021</w:t>
            </w:r>
          </w:p>
        </w:tc>
        <w:tc>
          <w:tcPr>
            <w:tcW w:w="4048" w:type="dxa"/>
            <w:tcBorders>
              <w:top w:val="nil"/>
              <w:left w:val="nil"/>
              <w:bottom w:val="single" w:sz="4" w:space="0" w:color="000000"/>
              <w:right w:val="single" w:sz="4" w:space="0" w:color="000000"/>
            </w:tcBorders>
            <w:shd w:val="clear" w:color="auto" w:fill="C6E0B4"/>
            <w:vAlign w:val="bottom"/>
          </w:tcPr>
          <w:p w14:paraId="28BDFF18" w14:textId="77777777" w:rsidR="003A3BCA" w:rsidRDefault="008276B6">
            <w:pPr>
              <w:jc w:val="right"/>
              <w:rPr>
                <w:rFonts w:ascii="Calibri" w:eastAsia="Calibri" w:hAnsi="Calibri" w:cs="Calibri"/>
                <w:color w:val="000000"/>
              </w:rPr>
            </w:pPr>
            <w:r>
              <w:rPr>
                <w:rFonts w:ascii="Calibri" w:eastAsia="Calibri" w:hAnsi="Calibri" w:cs="Calibri"/>
                <w:color w:val="000000"/>
              </w:rPr>
              <w:t>44</w:t>
            </w:r>
          </w:p>
        </w:tc>
        <w:tc>
          <w:tcPr>
            <w:tcW w:w="2406" w:type="dxa"/>
            <w:tcBorders>
              <w:top w:val="nil"/>
              <w:left w:val="nil"/>
              <w:bottom w:val="single" w:sz="4" w:space="0" w:color="000000"/>
              <w:right w:val="single" w:sz="4" w:space="0" w:color="000000"/>
            </w:tcBorders>
            <w:shd w:val="clear" w:color="auto" w:fill="C6E0B4"/>
            <w:vAlign w:val="bottom"/>
          </w:tcPr>
          <w:p w14:paraId="1BF01111" w14:textId="77777777" w:rsidR="003A3BCA" w:rsidRDefault="008276B6">
            <w:pPr>
              <w:jc w:val="right"/>
              <w:rPr>
                <w:rFonts w:ascii="Calibri" w:eastAsia="Calibri" w:hAnsi="Calibri" w:cs="Calibri"/>
                <w:color w:val="000000"/>
              </w:rPr>
            </w:pPr>
            <w:r>
              <w:rPr>
                <w:rFonts w:ascii="Calibri" w:eastAsia="Calibri" w:hAnsi="Calibri" w:cs="Calibri"/>
                <w:color w:val="000000"/>
              </w:rPr>
              <w:t>39</w:t>
            </w:r>
          </w:p>
        </w:tc>
      </w:tr>
      <w:tr w:rsidR="003A3BCA" w14:paraId="521C8BC0" w14:textId="77777777" w:rsidTr="00B24E05">
        <w:trPr>
          <w:trHeight w:val="310"/>
        </w:trPr>
        <w:tc>
          <w:tcPr>
            <w:tcW w:w="1934" w:type="dxa"/>
            <w:tcBorders>
              <w:top w:val="nil"/>
              <w:left w:val="nil"/>
              <w:bottom w:val="nil"/>
              <w:right w:val="nil"/>
            </w:tcBorders>
            <w:shd w:val="clear" w:color="auto" w:fill="auto"/>
            <w:vAlign w:val="bottom"/>
          </w:tcPr>
          <w:p w14:paraId="0D703BB7" w14:textId="77777777" w:rsidR="003A3BCA" w:rsidRDefault="003A3BCA">
            <w:pPr>
              <w:jc w:val="right"/>
              <w:rPr>
                <w:rFonts w:ascii="Calibri" w:eastAsia="Calibri" w:hAnsi="Calibri" w:cs="Calibri"/>
                <w:color w:val="000000"/>
              </w:rPr>
            </w:pPr>
          </w:p>
        </w:tc>
        <w:tc>
          <w:tcPr>
            <w:tcW w:w="649" w:type="dxa"/>
            <w:tcBorders>
              <w:top w:val="nil"/>
              <w:left w:val="nil"/>
              <w:bottom w:val="nil"/>
              <w:right w:val="nil"/>
            </w:tcBorders>
            <w:shd w:val="clear" w:color="auto" w:fill="auto"/>
            <w:vAlign w:val="bottom"/>
          </w:tcPr>
          <w:p w14:paraId="25AF933B" w14:textId="77777777" w:rsidR="003A3BCA" w:rsidRDefault="003A3BCA">
            <w:pPr>
              <w:rPr>
                <w:sz w:val="20"/>
                <w:szCs w:val="20"/>
              </w:rPr>
            </w:pPr>
          </w:p>
        </w:tc>
        <w:tc>
          <w:tcPr>
            <w:tcW w:w="2158" w:type="dxa"/>
            <w:tcBorders>
              <w:top w:val="nil"/>
              <w:left w:val="single" w:sz="4" w:space="0" w:color="000000"/>
              <w:bottom w:val="single" w:sz="4" w:space="0" w:color="000000"/>
              <w:right w:val="single" w:sz="4" w:space="0" w:color="000000"/>
            </w:tcBorders>
            <w:shd w:val="clear" w:color="auto" w:fill="FFFF00"/>
            <w:vAlign w:val="center"/>
          </w:tcPr>
          <w:p w14:paraId="5BAFF74E" w14:textId="77777777" w:rsidR="003A3BCA" w:rsidRDefault="008276B6">
            <w:pPr>
              <w:jc w:val="center"/>
              <w:rPr>
                <w:rFonts w:ascii="Calibri" w:eastAsia="Calibri" w:hAnsi="Calibri" w:cs="Calibri"/>
                <w:b/>
                <w:i/>
                <w:color w:val="000000"/>
              </w:rPr>
            </w:pPr>
            <w:r>
              <w:rPr>
                <w:rFonts w:ascii="Calibri" w:eastAsia="Calibri" w:hAnsi="Calibri" w:cs="Calibri"/>
                <w:b/>
                <w:i/>
                <w:color w:val="000000"/>
              </w:rPr>
              <w:t>Total, in million EUR</w:t>
            </w:r>
          </w:p>
        </w:tc>
        <w:tc>
          <w:tcPr>
            <w:tcW w:w="4048" w:type="dxa"/>
            <w:tcBorders>
              <w:top w:val="nil"/>
              <w:left w:val="nil"/>
              <w:bottom w:val="single" w:sz="4" w:space="0" w:color="000000"/>
              <w:right w:val="single" w:sz="4" w:space="0" w:color="000000"/>
            </w:tcBorders>
            <w:shd w:val="clear" w:color="auto" w:fill="FFFF00"/>
            <w:vAlign w:val="bottom"/>
          </w:tcPr>
          <w:p w14:paraId="08AF4002" w14:textId="77777777" w:rsidR="003A3BCA" w:rsidRDefault="008276B6">
            <w:pPr>
              <w:jc w:val="right"/>
              <w:rPr>
                <w:rFonts w:ascii="Calibri" w:eastAsia="Calibri" w:hAnsi="Calibri" w:cs="Calibri"/>
                <w:b/>
                <w:i/>
                <w:color w:val="000000"/>
              </w:rPr>
            </w:pPr>
            <w:r>
              <w:rPr>
                <w:rFonts w:ascii="Calibri" w:eastAsia="Calibri" w:hAnsi="Calibri" w:cs="Calibri"/>
                <w:b/>
                <w:i/>
                <w:color w:val="000000"/>
              </w:rPr>
              <w:t>653</w:t>
            </w:r>
          </w:p>
        </w:tc>
        <w:tc>
          <w:tcPr>
            <w:tcW w:w="2406" w:type="dxa"/>
            <w:tcBorders>
              <w:top w:val="nil"/>
              <w:left w:val="nil"/>
              <w:bottom w:val="single" w:sz="4" w:space="0" w:color="000000"/>
              <w:right w:val="single" w:sz="4" w:space="0" w:color="000000"/>
            </w:tcBorders>
            <w:shd w:val="clear" w:color="auto" w:fill="FFFF00"/>
            <w:vAlign w:val="bottom"/>
          </w:tcPr>
          <w:p w14:paraId="463749F1" w14:textId="77777777" w:rsidR="003A3BCA" w:rsidRDefault="008276B6">
            <w:pPr>
              <w:jc w:val="right"/>
              <w:rPr>
                <w:rFonts w:ascii="Calibri" w:eastAsia="Calibri" w:hAnsi="Calibri" w:cs="Calibri"/>
                <w:b/>
                <w:i/>
                <w:color w:val="000000"/>
              </w:rPr>
            </w:pPr>
            <w:r>
              <w:rPr>
                <w:rFonts w:ascii="Calibri" w:eastAsia="Calibri" w:hAnsi="Calibri" w:cs="Calibri"/>
                <w:b/>
                <w:i/>
                <w:color w:val="000000"/>
              </w:rPr>
              <w:t>885,42</w:t>
            </w:r>
          </w:p>
        </w:tc>
      </w:tr>
    </w:tbl>
    <w:p w14:paraId="2C2A1F7D" w14:textId="77777777" w:rsidR="003A3BCA" w:rsidRDefault="003A3BCA">
      <w:pPr>
        <w:spacing w:line="360" w:lineRule="auto"/>
        <w:ind w:firstLine="720"/>
        <w:jc w:val="both"/>
      </w:pPr>
    </w:p>
    <w:p w14:paraId="6706D6F9" w14:textId="77777777" w:rsidR="003A3BCA" w:rsidRDefault="008276B6">
      <w:pPr>
        <w:pBdr>
          <w:top w:val="nil"/>
          <w:left w:val="nil"/>
          <w:bottom w:val="nil"/>
          <w:right w:val="nil"/>
          <w:between w:val="nil"/>
        </w:pBdr>
        <w:spacing w:after="200"/>
        <w:rPr>
          <w:i/>
          <w:color w:val="44546A"/>
          <w:sz w:val="18"/>
          <w:szCs w:val="18"/>
        </w:rPr>
      </w:pPr>
      <w:r>
        <w:rPr>
          <w:rFonts w:ascii="Calibri" w:eastAsia="Calibri" w:hAnsi="Calibri" w:cs="Calibri"/>
          <w:i/>
          <w:color w:val="44546A"/>
          <w:sz w:val="18"/>
          <w:szCs w:val="18"/>
        </w:rPr>
        <w:t>Table 7. Breakdown of Manchester United's most expensive arrivals post-2017; Source: transfermarkt.com</w:t>
      </w:r>
    </w:p>
    <w:p w14:paraId="0CEE8EFC" w14:textId="2A921ED5" w:rsidR="003A3BCA" w:rsidRDefault="008276B6">
      <w:pPr>
        <w:spacing w:line="360" w:lineRule="auto"/>
        <w:jc w:val="both"/>
      </w:pPr>
      <w:r>
        <w:tab/>
        <w:t xml:space="preserve">As it can be seen, Manchester United have very much overpaid to acquire these 13 players by more than 220 million EUR combined. There are exceptions, however, highlighted in green, but there are only 3. In comparison, in some instances – Anthony’s, Maguire’s, Lukaku’s, Casemiro’s, Fred’s, and Martinez’s, the club almost paid twice as much as they were valued, by transfermarkt.com estimates. One possible explanation for this is that, apart from Casemiro, Matic, and Varane, all the players were bought at a rather young age. This could obviously influence how valuable the previous clubs perceived their players to be, and given United’s history of overpaying on transfers, it shouldn’t be far from reality to think about them trying to get as much value out of their players as possible. There’s obviously nothing wrong with trying to get as much value for your players as possible, the previous clubs can only be praised for how well they have managed to negotiate with United for their players. The criticism should be directed at Manchester United for having overpaid as much on talent </w:t>
      </w:r>
      <w:r>
        <w:lastRenderedPageBreak/>
        <w:t xml:space="preserve">acquisition, and as mentioned earlier, not being able to show any positive return on investment, from a success point of view.  </w:t>
      </w:r>
    </w:p>
    <w:p w14:paraId="36F02167" w14:textId="77777777" w:rsidR="003A3BCA" w:rsidRDefault="008276B6">
      <w:pPr>
        <w:spacing w:line="360" w:lineRule="auto"/>
        <w:jc w:val="both"/>
      </w:pPr>
      <w:r>
        <w:tab/>
        <w:t>Each player will be individually cross-examined against his peers from that season in the Premier League, with the idea to see how they ranked in the respective categories. The ranking will be done on a percentile-based approach. Depending on their respective percentile for each year, they will be given points, ranging from 1 to 5. The maximum (5) points will be given if a player’s rank was between 90</w:t>
      </w:r>
      <w:r>
        <w:rPr>
          <w:vertAlign w:val="superscript"/>
        </w:rPr>
        <w:t>th</w:t>
      </w:r>
      <w:r>
        <w:t xml:space="preserve"> and 99</w:t>
      </w:r>
      <w:r>
        <w:rPr>
          <w:vertAlign w:val="superscript"/>
        </w:rPr>
        <w:t>th</w:t>
      </w:r>
      <w:r>
        <w:t xml:space="preserve"> percentile; 80</w:t>
      </w:r>
      <w:r>
        <w:rPr>
          <w:vertAlign w:val="superscript"/>
        </w:rPr>
        <w:t>th</w:t>
      </w:r>
      <w:r>
        <w:t xml:space="preserve"> to 89</w:t>
      </w:r>
      <w:r>
        <w:rPr>
          <w:vertAlign w:val="superscript"/>
        </w:rPr>
        <w:t>th</w:t>
      </w:r>
      <w:r>
        <w:t xml:space="preserve"> gives 4,5; 70</w:t>
      </w:r>
      <w:r>
        <w:rPr>
          <w:vertAlign w:val="superscript"/>
        </w:rPr>
        <w:t>th</w:t>
      </w:r>
      <w:r>
        <w:t xml:space="preserve"> to 79</w:t>
      </w:r>
      <w:r>
        <w:rPr>
          <w:vertAlign w:val="superscript"/>
        </w:rPr>
        <w:t>th</w:t>
      </w:r>
      <w:r>
        <w:t xml:space="preserve"> scores 4; 60</w:t>
      </w:r>
      <w:r>
        <w:rPr>
          <w:vertAlign w:val="superscript"/>
        </w:rPr>
        <w:t>th</w:t>
      </w:r>
      <w:r>
        <w:t xml:space="preserve"> to 69</w:t>
      </w:r>
      <w:r>
        <w:rPr>
          <w:vertAlign w:val="superscript"/>
        </w:rPr>
        <w:t>th</w:t>
      </w:r>
      <w:r>
        <w:t xml:space="preserve"> gives 3,5; 50</w:t>
      </w:r>
      <w:r>
        <w:rPr>
          <w:vertAlign w:val="superscript"/>
        </w:rPr>
        <w:t>th</w:t>
      </w:r>
      <w:r>
        <w:t xml:space="preserve"> to 59</w:t>
      </w:r>
      <w:r>
        <w:rPr>
          <w:vertAlign w:val="superscript"/>
        </w:rPr>
        <w:t>th</w:t>
      </w:r>
      <w:r>
        <w:t xml:space="preserve"> gives a 3; 40</w:t>
      </w:r>
      <w:r>
        <w:rPr>
          <w:vertAlign w:val="superscript"/>
        </w:rPr>
        <w:t>th</w:t>
      </w:r>
      <w:r>
        <w:t xml:space="preserve"> to 49</w:t>
      </w:r>
      <w:r>
        <w:rPr>
          <w:vertAlign w:val="superscript"/>
        </w:rPr>
        <w:t>th</w:t>
      </w:r>
      <w:r>
        <w:t xml:space="preserve"> percentile scores a 2; and everything lower than the 40</w:t>
      </w:r>
      <w:r>
        <w:rPr>
          <w:vertAlign w:val="superscript"/>
        </w:rPr>
        <w:t>th</w:t>
      </w:r>
      <w:r>
        <w:t xml:space="preserve"> percentile score a 1. The scores are adapted using fbref.com scouting report differentiations. Apart from the goalkeeper position (which is omitted due to United not having signed a GK), there are three general position divisions in football: defenders, midfielders, and attackers. We will, however, use fbref.com division, which is defenders, fullbacks (wide defenders), midfielders, attacking midfielders/wingers, and attackers. The distinction needs to be made, as midfielders who play in the role of a defensive midfielder are expected to score in the lower percentiles for goals and overall creatives statistics, as that is not a role they are required to fulfill, making it unfair for them to be compared with attacking players, due to skewness in results. The percentile scores, mentioned above, will each have a different weight, based on the players’ positions. As mentioned in Chapter 1, there are 4 main variables that were identified to predict final league position: possession, key passes, goals – </w:t>
      </w:r>
      <w:proofErr w:type="spellStart"/>
      <w:r>
        <w:t>xG</w:t>
      </w:r>
      <w:proofErr w:type="spellEnd"/>
      <w:r>
        <w:t xml:space="preserve">, opponent goals – </w:t>
      </w:r>
      <w:proofErr w:type="spellStart"/>
      <w:r>
        <w:t>xG</w:t>
      </w:r>
      <w:proofErr w:type="spellEnd"/>
      <w:r>
        <w:t>. Currently, fbref.com provides the following distinct categories in their scouting report feature: shooting, passing, pass types, goal and shot creation, possession, defense, and misc. We, however, won’t be using all of them, as this will fall outside the scope of this paper, as it will become a football analytics dissertation before all. On fbref.com scouting reports section, there is a standardized sample that basically divides all the above-mentioned categories into three: attack, midfield, and defense.</w:t>
      </w:r>
      <w:r>
        <w:rPr>
          <w:vertAlign w:val="superscript"/>
        </w:rPr>
        <w:footnoteReference w:id="24"/>
      </w:r>
      <w:r>
        <w:t xml:space="preserve"> This is what it will be used. </w:t>
      </w:r>
    </w:p>
    <w:p w14:paraId="353E4DAD" w14:textId="44FF60EA" w:rsidR="003A3BCA" w:rsidRDefault="008276B6">
      <w:pPr>
        <w:spacing w:line="360" w:lineRule="auto"/>
        <w:jc w:val="both"/>
      </w:pPr>
      <w:r>
        <w:t xml:space="preserve">Now, moving onto the calculations and evaluations themselves. Figure </w:t>
      </w:r>
      <w:r w:rsidR="00646D10">
        <w:t>6</w:t>
      </w:r>
      <w:r>
        <w:t xml:space="preserve"> breaks down the approach that will be used for calculating each player’s overall grade for a single season, cross-comparing them with players from their position. </w:t>
      </w:r>
    </w:p>
    <w:p w14:paraId="3236B6D9" w14:textId="77777777" w:rsidR="003A3BCA" w:rsidRDefault="008276B6">
      <w:pPr>
        <w:keepNext/>
        <w:spacing w:line="360" w:lineRule="auto"/>
        <w:jc w:val="both"/>
      </w:pPr>
      <w:r>
        <w:rPr>
          <w:noProof/>
        </w:rPr>
        <w:lastRenderedPageBreak/>
        <w:drawing>
          <wp:inline distT="0" distB="0" distL="0" distR="0" wp14:anchorId="6A6BE4FC" wp14:editId="483C94C0">
            <wp:extent cx="6350813" cy="3497686"/>
            <wp:effectExtent l="0" t="0" r="0" b="0"/>
            <wp:docPr id="17" name="image7.png" descr="Graphical user interface, text,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7.png" descr="Graphical user interface, text, application&#10;&#10;Description automatically generated"/>
                    <pic:cNvPicPr preferRelativeResize="0"/>
                  </pic:nvPicPr>
                  <pic:blipFill>
                    <a:blip r:embed="rId16"/>
                    <a:srcRect/>
                    <a:stretch>
                      <a:fillRect/>
                    </a:stretch>
                  </pic:blipFill>
                  <pic:spPr>
                    <a:xfrm>
                      <a:off x="0" y="0"/>
                      <a:ext cx="6350813" cy="3497686"/>
                    </a:xfrm>
                    <a:prstGeom prst="rect">
                      <a:avLst/>
                    </a:prstGeom>
                    <a:ln/>
                  </pic:spPr>
                </pic:pic>
              </a:graphicData>
            </a:graphic>
          </wp:inline>
        </w:drawing>
      </w:r>
    </w:p>
    <w:p w14:paraId="781163DE" w14:textId="77777777" w:rsidR="003A3BCA" w:rsidRDefault="008276B6">
      <w:pPr>
        <w:pBdr>
          <w:top w:val="nil"/>
          <w:left w:val="nil"/>
          <w:bottom w:val="nil"/>
          <w:right w:val="nil"/>
          <w:between w:val="nil"/>
        </w:pBdr>
        <w:spacing w:after="200"/>
        <w:jc w:val="both"/>
        <w:rPr>
          <w:rFonts w:ascii="Calibri" w:eastAsia="Calibri" w:hAnsi="Calibri" w:cs="Calibri"/>
          <w:i/>
          <w:color w:val="44546A"/>
          <w:sz w:val="18"/>
          <w:szCs w:val="18"/>
        </w:rPr>
      </w:pPr>
      <w:r>
        <w:rPr>
          <w:rFonts w:ascii="Calibri" w:eastAsia="Calibri" w:hAnsi="Calibri" w:cs="Calibri"/>
          <w:i/>
          <w:color w:val="44546A"/>
          <w:sz w:val="18"/>
          <w:szCs w:val="18"/>
        </w:rPr>
        <w:t>Figure 6. Breakdown of how each player will be evaluated</w:t>
      </w:r>
    </w:p>
    <w:p w14:paraId="4E312EF6" w14:textId="6A68AD58" w:rsidR="003A3BCA" w:rsidRDefault="008276B6">
      <w:pPr>
        <w:spacing w:line="360" w:lineRule="auto"/>
        <w:jc w:val="both"/>
      </w:pPr>
      <w:r>
        <w:t xml:space="preserve">Basically, there is no available methodology or approach on how to do this, hence why it needed to be created from scratch. The problem with creating something from scratch is that it needs to be referenced to something, a thing from the industry, if possible, </w:t>
      </w:r>
      <w:proofErr w:type="gramStart"/>
      <w:r>
        <w:t>in order to</w:t>
      </w:r>
      <w:proofErr w:type="gramEnd"/>
      <w:r>
        <w:t xml:space="preserve"> make any sense. No approaches are available online (it is safe to say that each football club has its own individual approach on how to grade players, based on scouting reports, but they are not available publicly, as it will interfere with intellectual property). Hence why I had to create from scratch and had to use the very next best approach – to reference how the most popular football game (FIFA) does their ratings, as they are experts in the field of ranking players by ability. Basically, in the game of FIFA, players’ rating (1 to 99) is determined by their breaking down their individual attributes and giving them weight, e.g., for defenders, only defensive and small midfield attributes are allocated and evaluated in the overall rating formation</w:t>
      </w:r>
      <w:r>
        <w:rPr>
          <w:vertAlign w:val="superscript"/>
        </w:rPr>
        <w:footnoteReference w:id="25"/>
      </w:r>
      <w:r>
        <w:t xml:space="preserve">. It makes sense to evaluate defenders by their defensive stats, not by how many goals they score and how well they dribble the ball, correct? The exact same logic goes for attackers: why would we judge an attacker’s rating, based on how well they are able to defend? It doesn’t make sense. The same approach (fbref.com &amp; FIFA ratings) was used to determine the rest of the scoring system for the other positions. However, on the defenders’ part, it must be said that evaluating defenders by their absolute defensive actions (stats) is a very flawed method since those </w:t>
      </w:r>
      <w:r>
        <w:lastRenderedPageBreak/>
        <w:t xml:space="preserve">defenders who play for the best teams in England and internationally don’t have to make the same number of defensive contributions, in absolute terms, as defenders from weaker teams, simply because their teams are not attacked as often as the </w:t>
      </w:r>
      <w:r w:rsidR="0074688D">
        <w:t>defenders</w:t>
      </w:r>
      <w:r>
        <w:t xml:space="preserve"> of the weaker </w:t>
      </w:r>
      <w:r w:rsidR="0074688D">
        <w:t>clubs</w:t>
      </w:r>
      <w:r>
        <w:t xml:space="preserve">. And if the defenders were solely judged based on absolute defensive statistics, it’s safe to assume that those who play at the best clubs wouldn’t play there since other defenders who need to do much more in that part of the game are having more productive seasons, in absolute terms. Moreover, defenders usually play different roles – if a team has 4 defenders on the pitch, each of them will be having a different role, hence why some defenders are tasked to tackle and intercept the ball, others to clear it, third to win aerial duels, etc., which makes comparisons between defenders really difficult, as one cannot simply say that the defender who made more tackles is better than the one who made more blocks, as their roles are simply different. That’s why evaluating their best defensive statistical attribute is a better measurement of their contribution to the overall defensive performance of their teams than averaging out </w:t>
      </w:r>
      <w:proofErr w:type="gramStart"/>
      <w:r>
        <w:t>all of</w:t>
      </w:r>
      <w:proofErr w:type="gramEnd"/>
      <w:r>
        <w:t xml:space="preserve"> their defensive statistics. On top of the five defensive categories presented in the defensive section on the scouting report, one more will be </w:t>
      </w:r>
      <w:proofErr w:type="gramStart"/>
      <w:r>
        <w:t>looked into</w:t>
      </w:r>
      <w:proofErr w:type="gramEnd"/>
      <w:r>
        <w:t xml:space="preserve">, only for defenders, however. That’s % of aerial duels won, as the variable has shown to have a positive impact on the overall effectiveness of the regression analysis model, and it has an R squared of 13% alone, when measured against final league position. It’s not much indeed but is an improvement that could be seen as important for teams willing to better themselves in the final EPL standings, and this is a good score for a sole variable. </w:t>
      </w:r>
    </w:p>
    <w:p w14:paraId="4FE3822F" w14:textId="77777777" w:rsidR="003A3BCA" w:rsidRDefault="008276B6">
      <w:pPr>
        <w:spacing w:line="360" w:lineRule="auto"/>
        <w:ind w:firstLine="720"/>
        <w:jc w:val="both"/>
      </w:pPr>
      <w:r>
        <w:t xml:space="preserve">Finally, to evaluate final player performance, each player will be assigned a grade between 1 and 5, with 5 being the highest and 1 the lowest. After applying the formula for each of their seasons (given their statistical performance in each category), they will be given a grade for each season, and then their individual season’s grades will be averaged to get their average grade for their spells at Manchester United. </w:t>
      </w:r>
    </w:p>
    <w:p w14:paraId="660637B6" w14:textId="77777777" w:rsidR="003A3BCA" w:rsidRDefault="008276B6">
      <w:pPr>
        <w:spacing w:line="360" w:lineRule="auto"/>
        <w:ind w:firstLine="720"/>
        <w:jc w:val="both"/>
      </w:pPr>
      <w:r>
        <w:t xml:space="preserve">So, after this long methodological explanation, it’s only natural to begin with Manchester United’s transfer policy evaluation. </w:t>
      </w:r>
    </w:p>
    <w:p w14:paraId="17943DE0" w14:textId="77777777" w:rsidR="003A3BCA" w:rsidRDefault="008276B6">
      <w:pPr>
        <w:spacing w:line="360" w:lineRule="auto"/>
        <w:ind w:firstLine="720"/>
        <w:jc w:val="both"/>
      </w:pPr>
      <w:r>
        <w:t xml:space="preserve">Paul Pogba – Paul Pogba was </w:t>
      </w:r>
      <w:proofErr w:type="gramStart"/>
      <w:r>
        <w:t>actually a</w:t>
      </w:r>
      <w:proofErr w:type="gramEnd"/>
      <w:r>
        <w:t xml:space="preserve"> Manchester United youth academy graduate but was let go to join Juventus for free in 2012, before being brought back in 2016 for the then record-breaking 105 million EUR. His second spell for United lasted from 2016 to 2022, when he was let go to join Juventus for free. Again. So, using fbref.com scouting report, the following table illustrates Paul Pogba’s average attacking, midfield, and defensive percentiles during this 5-year spell. </w:t>
      </w:r>
    </w:p>
    <w:tbl>
      <w:tblPr>
        <w:tblStyle w:val="a6"/>
        <w:tblW w:w="9016" w:type="dxa"/>
        <w:tblLayout w:type="fixed"/>
        <w:tblLook w:val="0400" w:firstRow="0" w:lastRow="0" w:firstColumn="0" w:lastColumn="0" w:noHBand="0" w:noVBand="1"/>
      </w:tblPr>
      <w:tblGrid>
        <w:gridCol w:w="1876"/>
        <w:gridCol w:w="2380"/>
        <w:gridCol w:w="2380"/>
        <w:gridCol w:w="2380"/>
      </w:tblGrid>
      <w:tr w:rsidR="003A3BCA" w14:paraId="46F0A039" w14:textId="77777777">
        <w:trPr>
          <w:trHeight w:val="512"/>
        </w:trPr>
        <w:tc>
          <w:tcPr>
            <w:tcW w:w="1876" w:type="dxa"/>
            <w:tcBorders>
              <w:top w:val="single" w:sz="4" w:space="0" w:color="000000"/>
              <w:left w:val="single" w:sz="4" w:space="0" w:color="000000"/>
              <w:bottom w:val="single" w:sz="4" w:space="0" w:color="000000"/>
              <w:right w:val="single" w:sz="4" w:space="0" w:color="000000"/>
            </w:tcBorders>
            <w:vAlign w:val="bottom"/>
          </w:tcPr>
          <w:p w14:paraId="2D167E69" w14:textId="77777777" w:rsidR="003A3BCA" w:rsidRDefault="008276B6">
            <w:pPr>
              <w:jc w:val="center"/>
              <w:rPr>
                <w:rFonts w:ascii="Calibri" w:eastAsia="Calibri" w:hAnsi="Calibri" w:cs="Calibri"/>
                <w:b/>
                <w:color w:val="000000"/>
              </w:rPr>
            </w:pPr>
            <w:r>
              <w:rPr>
                <w:rFonts w:ascii="Calibri" w:eastAsia="Calibri" w:hAnsi="Calibri" w:cs="Calibri"/>
                <w:b/>
                <w:color w:val="000000"/>
              </w:rPr>
              <w:lastRenderedPageBreak/>
              <w:t>SEASON</w:t>
            </w:r>
          </w:p>
        </w:tc>
        <w:tc>
          <w:tcPr>
            <w:tcW w:w="238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2FC5949" w14:textId="77777777" w:rsidR="003A3BCA" w:rsidRDefault="008276B6">
            <w:pPr>
              <w:jc w:val="center"/>
              <w:rPr>
                <w:rFonts w:ascii="Calibri" w:eastAsia="Calibri" w:hAnsi="Calibri" w:cs="Calibri"/>
                <w:b/>
                <w:color w:val="000000"/>
              </w:rPr>
            </w:pPr>
            <w:r>
              <w:rPr>
                <w:rFonts w:ascii="Calibri" w:eastAsia="Calibri" w:hAnsi="Calibri" w:cs="Calibri"/>
                <w:b/>
                <w:color w:val="000000"/>
              </w:rPr>
              <w:t>AVG ATTACK</w:t>
            </w:r>
          </w:p>
        </w:tc>
        <w:tc>
          <w:tcPr>
            <w:tcW w:w="2380" w:type="dxa"/>
            <w:tcBorders>
              <w:top w:val="single" w:sz="4" w:space="0" w:color="000000"/>
              <w:left w:val="nil"/>
              <w:bottom w:val="single" w:sz="4" w:space="0" w:color="000000"/>
              <w:right w:val="single" w:sz="4" w:space="0" w:color="000000"/>
            </w:tcBorders>
            <w:shd w:val="clear" w:color="auto" w:fill="auto"/>
            <w:vAlign w:val="bottom"/>
          </w:tcPr>
          <w:p w14:paraId="35FA28E0" w14:textId="77777777" w:rsidR="003A3BCA" w:rsidRDefault="008276B6">
            <w:pPr>
              <w:jc w:val="center"/>
              <w:rPr>
                <w:rFonts w:ascii="Calibri" w:eastAsia="Calibri" w:hAnsi="Calibri" w:cs="Calibri"/>
                <w:b/>
                <w:color w:val="000000"/>
              </w:rPr>
            </w:pPr>
            <w:r>
              <w:rPr>
                <w:rFonts w:ascii="Calibri" w:eastAsia="Calibri" w:hAnsi="Calibri" w:cs="Calibri"/>
                <w:b/>
                <w:color w:val="000000"/>
              </w:rPr>
              <w:t>AVG MIDFIELD</w:t>
            </w:r>
          </w:p>
        </w:tc>
        <w:tc>
          <w:tcPr>
            <w:tcW w:w="2380" w:type="dxa"/>
            <w:tcBorders>
              <w:top w:val="single" w:sz="4" w:space="0" w:color="000000"/>
              <w:left w:val="nil"/>
              <w:bottom w:val="single" w:sz="4" w:space="0" w:color="000000"/>
              <w:right w:val="single" w:sz="4" w:space="0" w:color="000000"/>
            </w:tcBorders>
            <w:shd w:val="clear" w:color="auto" w:fill="auto"/>
            <w:vAlign w:val="bottom"/>
          </w:tcPr>
          <w:p w14:paraId="58FEEDAB" w14:textId="77777777" w:rsidR="003A3BCA" w:rsidRDefault="008276B6">
            <w:pPr>
              <w:jc w:val="center"/>
              <w:rPr>
                <w:rFonts w:ascii="Calibri" w:eastAsia="Calibri" w:hAnsi="Calibri" w:cs="Calibri"/>
                <w:b/>
                <w:color w:val="000000"/>
              </w:rPr>
            </w:pPr>
            <w:r>
              <w:rPr>
                <w:rFonts w:ascii="Calibri" w:eastAsia="Calibri" w:hAnsi="Calibri" w:cs="Calibri"/>
                <w:b/>
                <w:color w:val="000000"/>
              </w:rPr>
              <w:t>AVG DEFENSE</w:t>
            </w:r>
          </w:p>
        </w:tc>
      </w:tr>
      <w:tr w:rsidR="003A3BCA" w14:paraId="1DE8ED30" w14:textId="77777777">
        <w:trPr>
          <w:trHeight w:val="512"/>
        </w:trPr>
        <w:tc>
          <w:tcPr>
            <w:tcW w:w="1876" w:type="dxa"/>
            <w:tcBorders>
              <w:top w:val="nil"/>
              <w:left w:val="single" w:sz="4" w:space="0" w:color="000000"/>
              <w:bottom w:val="single" w:sz="4" w:space="0" w:color="000000"/>
              <w:right w:val="single" w:sz="4" w:space="0" w:color="000000"/>
            </w:tcBorders>
            <w:vAlign w:val="center"/>
          </w:tcPr>
          <w:p w14:paraId="183F8227" w14:textId="77777777" w:rsidR="003A3BCA" w:rsidRDefault="008276B6">
            <w:pPr>
              <w:jc w:val="center"/>
              <w:rPr>
                <w:rFonts w:ascii="Calibri" w:eastAsia="Calibri" w:hAnsi="Calibri" w:cs="Calibri"/>
                <w:color w:val="000000"/>
              </w:rPr>
            </w:pPr>
            <w:r>
              <w:rPr>
                <w:rFonts w:ascii="Calibri" w:eastAsia="Calibri" w:hAnsi="Calibri" w:cs="Calibri"/>
                <w:color w:val="000000"/>
              </w:rPr>
              <w:t>2017/2018</w:t>
            </w:r>
          </w:p>
        </w:tc>
        <w:tc>
          <w:tcPr>
            <w:tcW w:w="2380" w:type="dxa"/>
            <w:tcBorders>
              <w:top w:val="nil"/>
              <w:left w:val="single" w:sz="4" w:space="0" w:color="000000"/>
              <w:bottom w:val="single" w:sz="4" w:space="0" w:color="000000"/>
              <w:right w:val="single" w:sz="4" w:space="0" w:color="000000"/>
            </w:tcBorders>
            <w:shd w:val="clear" w:color="auto" w:fill="auto"/>
            <w:vAlign w:val="bottom"/>
          </w:tcPr>
          <w:p w14:paraId="5770C4AB" w14:textId="77777777" w:rsidR="003A3BCA" w:rsidRDefault="008276B6">
            <w:pPr>
              <w:jc w:val="right"/>
              <w:rPr>
                <w:rFonts w:ascii="Calibri" w:eastAsia="Calibri" w:hAnsi="Calibri" w:cs="Calibri"/>
                <w:color w:val="000000"/>
              </w:rPr>
            </w:pPr>
            <w:r>
              <w:rPr>
                <w:rFonts w:ascii="Calibri" w:eastAsia="Calibri" w:hAnsi="Calibri" w:cs="Calibri"/>
                <w:color w:val="000000"/>
              </w:rPr>
              <w:t>95</w:t>
            </w:r>
          </w:p>
        </w:tc>
        <w:tc>
          <w:tcPr>
            <w:tcW w:w="2380" w:type="dxa"/>
            <w:tcBorders>
              <w:top w:val="nil"/>
              <w:left w:val="nil"/>
              <w:bottom w:val="single" w:sz="4" w:space="0" w:color="000000"/>
              <w:right w:val="single" w:sz="4" w:space="0" w:color="000000"/>
            </w:tcBorders>
            <w:shd w:val="clear" w:color="auto" w:fill="auto"/>
            <w:vAlign w:val="bottom"/>
          </w:tcPr>
          <w:p w14:paraId="1C35BE4C" w14:textId="77777777" w:rsidR="003A3BCA" w:rsidRDefault="008276B6">
            <w:pPr>
              <w:jc w:val="right"/>
              <w:rPr>
                <w:rFonts w:ascii="Calibri" w:eastAsia="Calibri" w:hAnsi="Calibri" w:cs="Calibri"/>
                <w:color w:val="000000"/>
              </w:rPr>
            </w:pPr>
            <w:r>
              <w:rPr>
                <w:rFonts w:ascii="Calibri" w:eastAsia="Calibri" w:hAnsi="Calibri" w:cs="Calibri"/>
                <w:color w:val="000000"/>
              </w:rPr>
              <w:t>86</w:t>
            </w:r>
          </w:p>
        </w:tc>
        <w:tc>
          <w:tcPr>
            <w:tcW w:w="2380" w:type="dxa"/>
            <w:tcBorders>
              <w:top w:val="nil"/>
              <w:left w:val="nil"/>
              <w:bottom w:val="single" w:sz="4" w:space="0" w:color="000000"/>
              <w:right w:val="single" w:sz="4" w:space="0" w:color="000000"/>
            </w:tcBorders>
            <w:shd w:val="clear" w:color="auto" w:fill="auto"/>
            <w:vAlign w:val="bottom"/>
          </w:tcPr>
          <w:p w14:paraId="54D22BD8" w14:textId="77777777" w:rsidR="003A3BCA" w:rsidRDefault="008276B6">
            <w:pPr>
              <w:jc w:val="right"/>
              <w:rPr>
                <w:rFonts w:ascii="Calibri" w:eastAsia="Calibri" w:hAnsi="Calibri" w:cs="Calibri"/>
                <w:color w:val="000000"/>
              </w:rPr>
            </w:pPr>
            <w:r>
              <w:rPr>
                <w:rFonts w:ascii="Calibri" w:eastAsia="Calibri" w:hAnsi="Calibri" w:cs="Calibri"/>
                <w:color w:val="000000"/>
              </w:rPr>
              <w:t>36</w:t>
            </w:r>
          </w:p>
        </w:tc>
      </w:tr>
      <w:tr w:rsidR="003A3BCA" w14:paraId="075F9DD3" w14:textId="77777777">
        <w:trPr>
          <w:trHeight w:val="512"/>
        </w:trPr>
        <w:tc>
          <w:tcPr>
            <w:tcW w:w="1876" w:type="dxa"/>
            <w:tcBorders>
              <w:top w:val="nil"/>
              <w:left w:val="single" w:sz="4" w:space="0" w:color="000000"/>
              <w:bottom w:val="single" w:sz="4" w:space="0" w:color="000000"/>
              <w:right w:val="single" w:sz="4" w:space="0" w:color="000000"/>
            </w:tcBorders>
            <w:vAlign w:val="center"/>
          </w:tcPr>
          <w:p w14:paraId="0BE01D9D" w14:textId="77777777" w:rsidR="003A3BCA" w:rsidRDefault="008276B6">
            <w:pPr>
              <w:jc w:val="center"/>
              <w:rPr>
                <w:rFonts w:ascii="Calibri" w:eastAsia="Calibri" w:hAnsi="Calibri" w:cs="Calibri"/>
                <w:color w:val="000000"/>
              </w:rPr>
            </w:pPr>
            <w:r>
              <w:rPr>
                <w:rFonts w:ascii="Calibri" w:eastAsia="Calibri" w:hAnsi="Calibri" w:cs="Calibri"/>
                <w:color w:val="000000"/>
              </w:rPr>
              <w:t>2018/2019</w:t>
            </w:r>
          </w:p>
        </w:tc>
        <w:tc>
          <w:tcPr>
            <w:tcW w:w="2380" w:type="dxa"/>
            <w:tcBorders>
              <w:top w:val="nil"/>
              <w:left w:val="single" w:sz="4" w:space="0" w:color="000000"/>
              <w:bottom w:val="single" w:sz="4" w:space="0" w:color="000000"/>
              <w:right w:val="single" w:sz="4" w:space="0" w:color="000000"/>
            </w:tcBorders>
            <w:shd w:val="clear" w:color="auto" w:fill="auto"/>
            <w:vAlign w:val="bottom"/>
          </w:tcPr>
          <w:p w14:paraId="2FDCB4FA" w14:textId="77777777" w:rsidR="003A3BCA" w:rsidRDefault="008276B6">
            <w:pPr>
              <w:jc w:val="right"/>
              <w:rPr>
                <w:rFonts w:ascii="Calibri" w:eastAsia="Calibri" w:hAnsi="Calibri" w:cs="Calibri"/>
                <w:color w:val="000000"/>
              </w:rPr>
            </w:pPr>
            <w:r>
              <w:rPr>
                <w:rFonts w:ascii="Calibri" w:eastAsia="Calibri" w:hAnsi="Calibri" w:cs="Calibri"/>
                <w:color w:val="000000"/>
              </w:rPr>
              <w:t>88</w:t>
            </w:r>
          </w:p>
        </w:tc>
        <w:tc>
          <w:tcPr>
            <w:tcW w:w="2380" w:type="dxa"/>
            <w:tcBorders>
              <w:top w:val="nil"/>
              <w:left w:val="nil"/>
              <w:bottom w:val="single" w:sz="4" w:space="0" w:color="000000"/>
              <w:right w:val="single" w:sz="4" w:space="0" w:color="000000"/>
            </w:tcBorders>
            <w:shd w:val="clear" w:color="auto" w:fill="auto"/>
            <w:vAlign w:val="bottom"/>
          </w:tcPr>
          <w:p w14:paraId="4117A35A" w14:textId="77777777" w:rsidR="003A3BCA" w:rsidRDefault="008276B6">
            <w:pPr>
              <w:jc w:val="right"/>
              <w:rPr>
                <w:rFonts w:ascii="Calibri" w:eastAsia="Calibri" w:hAnsi="Calibri" w:cs="Calibri"/>
                <w:color w:val="000000"/>
              </w:rPr>
            </w:pPr>
            <w:r>
              <w:rPr>
                <w:rFonts w:ascii="Calibri" w:eastAsia="Calibri" w:hAnsi="Calibri" w:cs="Calibri"/>
                <w:color w:val="000000"/>
              </w:rPr>
              <w:t>83</w:t>
            </w:r>
          </w:p>
        </w:tc>
        <w:tc>
          <w:tcPr>
            <w:tcW w:w="2380" w:type="dxa"/>
            <w:tcBorders>
              <w:top w:val="nil"/>
              <w:left w:val="nil"/>
              <w:bottom w:val="single" w:sz="4" w:space="0" w:color="000000"/>
              <w:right w:val="single" w:sz="4" w:space="0" w:color="000000"/>
            </w:tcBorders>
            <w:shd w:val="clear" w:color="auto" w:fill="auto"/>
            <w:vAlign w:val="bottom"/>
          </w:tcPr>
          <w:p w14:paraId="42E286F1" w14:textId="77777777" w:rsidR="003A3BCA" w:rsidRDefault="008276B6">
            <w:pPr>
              <w:jc w:val="right"/>
              <w:rPr>
                <w:rFonts w:ascii="Calibri" w:eastAsia="Calibri" w:hAnsi="Calibri" w:cs="Calibri"/>
                <w:color w:val="000000"/>
              </w:rPr>
            </w:pPr>
            <w:r>
              <w:rPr>
                <w:rFonts w:ascii="Calibri" w:eastAsia="Calibri" w:hAnsi="Calibri" w:cs="Calibri"/>
                <w:color w:val="000000"/>
              </w:rPr>
              <w:t>35</w:t>
            </w:r>
          </w:p>
        </w:tc>
      </w:tr>
      <w:tr w:rsidR="003A3BCA" w14:paraId="2BFD1D09" w14:textId="77777777">
        <w:trPr>
          <w:trHeight w:val="512"/>
        </w:trPr>
        <w:tc>
          <w:tcPr>
            <w:tcW w:w="1876" w:type="dxa"/>
            <w:tcBorders>
              <w:top w:val="nil"/>
              <w:left w:val="single" w:sz="4" w:space="0" w:color="000000"/>
              <w:bottom w:val="single" w:sz="4" w:space="0" w:color="000000"/>
              <w:right w:val="single" w:sz="4" w:space="0" w:color="000000"/>
            </w:tcBorders>
            <w:vAlign w:val="center"/>
          </w:tcPr>
          <w:p w14:paraId="7A366C0F" w14:textId="77777777" w:rsidR="003A3BCA" w:rsidRDefault="008276B6">
            <w:pPr>
              <w:jc w:val="center"/>
              <w:rPr>
                <w:rFonts w:ascii="Calibri" w:eastAsia="Calibri" w:hAnsi="Calibri" w:cs="Calibri"/>
                <w:color w:val="000000"/>
              </w:rPr>
            </w:pPr>
            <w:r>
              <w:rPr>
                <w:rFonts w:ascii="Calibri" w:eastAsia="Calibri" w:hAnsi="Calibri" w:cs="Calibri"/>
                <w:color w:val="000000"/>
              </w:rPr>
              <w:t>2019/2020</w:t>
            </w:r>
          </w:p>
        </w:tc>
        <w:tc>
          <w:tcPr>
            <w:tcW w:w="2380" w:type="dxa"/>
            <w:tcBorders>
              <w:top w:val="nil"/>
              <w:left w:val="single" w:sz="4" w:space="0" w:color="000000"/>
              <w:bottom w:val="single" w:sz="4" w:space="0" w:color="000000"/>
              <w:right w:val="single" w:sz="4" w:space="0" w:color="000000"/>
            </w:tcBorders>
            <w:shd w:val="clear" w:color="auto" w:fill="auto"/>
            <w:vAlign w:val="bottom"/>
          </w:tcPr>
          <w:p w14:paraId="14DC756F" w14:textId="77777777" w:rsidR="003A3BCA" w:rsidRDefault="008276B6">
            <w:pPr>
              <w:jc w:val="right"/>
              <w:rPr>
                <w:rFonts w:ascii="Calibri" w:eastAsia="Calibri" w:hAnsi="Calibri" w:cs="Calibri"/>
                <w:color w:val="000000"/>
              </w:rPr>
            </w:pPr>
            <w:r>
              <w:rPr>
                <w:rFonts w:ascii="Calibri" w:eastAsia="Calibri" w:hAnsi="Calibri" w:cs="Calibri"/>
                <w:color w:val="000000"/>
              </w:rPr>
              <w:t>77</w:t>
            </w:r>
          </w:p>
        </w:tc>
        <w:tc>
          <w:tcPr>
            <w:tcW w:w="2380" w:type="dxa"/>
            <w:tcBorders>
              <w:top w:val="nil"/>
              <w:left w:val="nil"/>
              <w:bottom w:val="single" w:sz="4" w:space="0" w:color="000000"/>
              <w:right w:val="single" w:sz="4" w:space="0" w:color="000000"/>
            </w:tcBorders>
            <w:shd w:val="clear" w:color="auto" w:fill="auto"/>
            <w:vAlign w:val="bottom"/>
          </w:tcPr>
          <w:p w14:paraId="6891F212" w14:textId="77777777" w:rsidR="003A3BCA" w:rsidRDefault="008276B6">
            <w:pPr>
              <w:jc w:val="right"/>
              <w:rPr>
                <w:rFonts w:ascii="Calibri" w:eastAsia="Calibri" w:hAnsi="Calibri" w:cs="Calibri"/>
                <w:color w:val="000000"/>
              </w:rPr>
            </w:pPr>
            <w:r>
              <w:rPr>
                <w:rFonts w:ascii="Calibri" w:eastAsia="Calibri" w:hAnsi="Calibri" w:cs="Calibri"/>
                <w:color w:val="000000"/>
              </w:rPr>
              <w:t>74</w:t>
            </w:r>
          </w:p>
        </w:tc>
        <w:tc>
          <w:tcPr>
            <w:tcW w:w="2380" w:type="dxa"/>
            <w:tcBorders>
              <w:top w:val="nil"/>
              <w:left w:val="nil"/>
              <w:bottom w:val="single" w:sz="4" w:space="0" w:color="000000"/>
              <w:right w:val="single" w:sz="4" w:space="0" w:color="000000"/>
            </w:tcBorders>
            <w:shd w:val="clear" w:color="auto" w:fill="auto"/>
            <w:vAlign w:val="bottom"/>
          </w:tcPr>
          <w:p w14:paraId="42009912" w14:textId="77777777" w:rsidR="003A3BCA" w:rsidRDefault="008276B6">
            <w:pPr>
              <w:jc w:val="right"/>
              <w:rPr>
                <w:rFonts w:ascii="Calibri" w:eastAsia="Calibri" w:hAnsi="Calibri" w:cs="Calibri"/>
                <w:color w:val="000000"/>
              </w:rPr>
            </w:pPr>
            <w:r>
              <w:rPr>
                <w:rFonts w:ascii="Calibri" w:eastAsia="Calibri" w:hAnsi="Calibri" w:cs="Calibri"/>
                <w:color w:val="000000"/>
              </w:rPr>
              <w:t>37</w:t>
            </w:r>
          </w:p>
        </w:tc>
      </w:tr>
      <w:tr w:rsidR="003A3BCA" w14:paraId="64F9EF3B" w14:textId="77777777">
        <w:trPr>
          <w:trHeight w:val="512"/>
        </w:trPr>
        <w:tc>
          <w:tcPr>
            <w:tcW w:w="1876" w:type="dxa"/>
            <w:tcBorders>
              <w:top w:val="nil"/>
              <w:left w:val="single" w:sz="4" w:space="0" w:color="000000"/>
              <w:bottom w:val="single" w:sz="4" w:space="0" w:color="000000"/>
              <w:right w:val="single" w:sz="4" w:space="0" w:color="000000"/>
            </w:tcBorders>
            <w:vAlign w:val="center"/>
          </w:tcPr>
          <w:p w14:paraId="284F9F6A" w14:textId="77777777" w:rsidR="003A3BCA" w:rsidRDefault="008276B6">
            <w:pPr>
              <w:jc w:val="center"/>
              <w:rPr>
                <w:rFonts w:ascii="Calibri" w:eastAsia="Calibri" w:hAnsi="Calibri" w:cs="Calibri"/>
                <w:color w:val="000000"/>
              </w:rPr>
            </w:pPr>
            <w:r>
              <w:rPr>
                <w:rFonts w:ascii="Calibri" w:eastAsia="Calibri" w:hAnsi="Calibri" w:cs="Calibri"/>
                <w:color w:val="000000"/>
              </w:rPr>
              <w:t>2020/2021</w:t>
            </w:r>
          </w:p>
        </w:tc>
        <w:tc>
          <w:tcPr>
            <w:tcW w:w="2380" w:type="dxa"/>
            <w:tcBorders>
              <w:top w:val="nil"/>
              <w:left w:val="single" w:sz="4" w:space="0" w:color="000000"/>
              <w:bottom w:val="single" w:sz="4" w:space="0" w:color="000000"/>
              <w:right w:val="single" w:sz="4" w:space="0" w:color="000000"/>
            </w:tcBorders>
            <w:shd w:val="clear" w:color="auto" w:fill="auto"/>
            <w:vAlign w:val="bottom"/>
          </w:tcPr>
          <w:p w14:paraId="11A36161" w14:textId="77777777" w:rsidR="003A3BCA" w:rsidRDefault="008276B6">
            <w:pPr>
              <w:jc w:val="right"/>
              <w:rPr>
                <w:rFonts w:ascii="Calibri" w:eastAsia="Calibri" w:hAnsi="Calibri" w:cs="Calibri"/>
                <w:color w:val="000000"/>
              </w:rPr>
            </w:pPr>
            <w:r>
              <w:rPr>
                <w:rFonts w:ascii="Calibri" w:eastAsia="Calibri" w:hAnsi="Calibri" w:cs="Calibri"/>
                <w:color w:val="000000"/>
              </w:rPr>
              <w:t>80</w:t>
            </w:r>
          </w:p>
        </w:tc>
        <w:tc>
          <w:tcPr>
            <w:tcW w:w="2380" w:type="dxa"/>
            <w:tcBorders>
              <w:top w:val="nil"/>
              <w:left w:val="nil"/>
              <w:bottom w:val="single" w:sz="4" w:space="0" w:color="000000"/>
              <w:right w:val="single" w:sz="4" w:space="0" w:color="000000"/>
            </w:tcBorders>
            <w:shd w:val="clear" w:color="auto" w:fill="auto"/>
            <w:vAlign w:val="bottom"/>
          </w:tcPr>
          <w:p w14:paraId="43DB7EBC" w14:textId="77777777" w:rsidR="003A3BCA" w:rsidRDefault="008276B6">
            <w:pPr>
              <w:jc w:val="right"/>
              <w:rPr>
                <w:rFonts w:ascii="Calibri" w:eastAsia="Calibri" w:hAnsi="Calibri" w:cs="Calibri"/>
                <w:color w:val="000000"/>
              </w:rPr>
            </w:pPr>
            <w:r>
              <w:rPr>
                <w:rFonts w:ascii="Calibri" w:eastAsia="Calibri" w:hAnsi="Calibri" w:cs="Calibri"/>
                <w:color w:val="000000"/>
              </w:rPr>
              <w:t>75</w:t>
            </w:r>
          </w:p>
        </w:tc>
        <w:tc>
          <w:tcPr>
            <w:tcW w:w="2380" w:type="dxa"/>
            <w:tcBorders>
              <w:top w:val="nil"/>
              <w:left w:val="nil"/>
              <w:bottom w:val="single" w:sz="4" w:space="0" w:color="000000"/>
              <w:right w:val="single" w:sz="4" w:space="0" w:color="000000"/>
            </w:tcBorders>
            <w:shd w:val="clear" w:color="auto" w:fill="auto"/>
            <w:vAlign w:val="bottom"/>
          </w:tcPr>
          <w:p w14:paraId="5699CA7D" w14:textId="77777777" w:rsidR="003A3BCA" w:rsidRDefault="008276B6">
            <w:pPr>
              <w:jc w:val="right"/>
              <w:rPr>
                <w:rFonts w:ascii="Calibri" w:eastAsia="Calibri" w:hAnsi="Calibri" w:cs="Calibri"/>
                <w:color w:val="000000"/>
              </w:rPr>
            </w:pPr>
            <w:r>
              <w:rPr>
                <w:rFonts w:ascii="Calibri" w:eastAsia="Calibri" w:hAnsi="Calibri" w:cs="Calibri"/>
                <w:color w:val="000000"/>
              </w:rPr>
              <w:t>66</w:t>
            </w:r>
          </w:p>
        </w:tc>
      </w:tr>
      <w:tr w:rsidR="003A3BCA" w14:paraId="751AE444" w14:textId="77777777">
        <w:trPr>
          <w:trHeight w:val="512"/>
        </w:trPr>
        <w:tc>
          <w:tcPr>
            <w:tcW w:w="1876" w:type="dxa"/>
            <w:tcBorders>
              <w:top w:val="nil"/>
              <w:left w:val="single" w:sz="4" w:space="0" w:color="000000"/>
              <w:bottom w:val="single" w:sz="4" w:space="0" w:color="000000"/>
              <w:right w:val="single" w:sz="4" w:space="0" w:color="000000"/>
            </w:tcBorders>
            <w:vAlign w:val="center"/>
          </w:tcPr>
          <w:p w14:paraId="635B91C2" w14:textId="77777777" w:rsidR="003A3BCA" w:rsidRDefault="008276B6">
            <w:pPr>
              <w:jc w:val="center"/>
              <w:rPr>
                <w:rFonts w:ascii="Calibri" w:eastAsia="Calibri" w:hAnsi="Calibri" w:cs="Calibri"/>
                <w:color w:val="000000"/>
              </w:rPr>
            </w:pPr>
            <w:r>
              <w:rPr>
                <w:rFonts w:ascii="Calibri" w:eastAsia="Calibri" w:hAnsi="Calibri" w:cs="Calibri"/>
                <w:color w:val="000000"/>
              </w:rPr>
              <w:t>2021/2022</w:t>
            </w:r>
          </w:p>
        </w:tc>
        <w:tc>
          <w:tcPr>
            <w:tcW w:w="2380" w:type="dxa"/>
            <w:tcBorders>
              <w:top w:val="nil"/>
              <w:left w:val="single" w:sz="4" w:space="0" w:color="000000"/>
              <w:bottom w:val="single" w:sz="4" w:space="0" w:color="000000"/>
              <w:right w:val="single" w:sz="4" w:space="0" w:color="000000"/>
            </w:tcBorders>
            <w:shd w:val="clear" w:color="auto" w:fill="auto"/>
            <w:vAlign w:val="bottom"/>
          </w:tcPr>
          <w:p w14:paraId="4AF3ABD3" w14:textId="77777777" w:rsidR="003A3BCA" w:rsidRDefault="008276B6">
            <w:pPr>
              <w:jc w:val="right"/>
              <w:rPr>
                <w:rFonts w:ascii="Calibri" w:eastAsia="Calibri" w:hAnsi="Calibri" w:cs="Calibri"/>
                <w:color w:val="000000"/>
              </w:rPr>
            </w:pPr>
            <w:r>
              <w:rPr>
                <w:rFonts w:ascii="Calibri" w:eastAsia="Calibri" w:hAnsi="Calibri" w:cs="Calibri"/>
                <w:color w:val="000000"/>
              </w:rPr>
              <w:t>87</w:t>
            </w:r>
          </w:p>
        </w:tc>
        <w:tc>
          <w:tcPr>
            <w:tcW w:w="2380" w:type="dxa"/>
            <w:tcBorders>
              <w:top w:val="nil"/>
              <w:left w:val="nil"/>
              <w:bottom w:val="single" w:sz="4" w:space="0" w:color="000000"/>
              <w:right w:val="single" w:sz="4" w:space="0" w:color="000000"/>
            </w:tcBorders>
            <w:shd w:val="clear" w:color="auto" w:fill="auto"/>
            <w:vAlign w:val="bottom"/>
          </w:tcPr>
          <w:p w14:paraId="01138A29" w14:textId="77777777" w:rsidR="003A3BCA" w:rsidRDefault="008276B6">
            <w:pPr>
              <w:jc w:val="right"/>
              <w:rPr>
                <w:rFonts w:ascii="Calibri" w:eastAsia="Calibri" w:hAnsi="Calibri" w:cs="Calibri"/>
                <w:color w:val="000000"/>
              </w:rPr>
            </w:pPr>
            <w:r>
              <w:rPr>
                <w:rFonts w:ascii="Calibri" w:eastAsia="Calibri" w:hAnsi="Calibri" w:cs="Calibri"/>
                <w:color w:val="000000"/>
              </w:rPr>
              <w:t>80</w:t>
            </w:r>
          </w:p>
        </w:tc>
        <w:tc>
          <w:tcPr>
            <w:tcW w:w="2380" w:type="dxa"/>
            <w:tcBorders>
              <w:top w:val="nil"/>
              <w:left w:val="nil"/>
              <w:bottom w:val="single" w:sz="4" w:space="0" w:color="000000"/>
              <w:right w:val="single" w:sz="4" w:space="0" w:color="000000"/>
            </w:tcBorders>
            <w:shd w:val="clear" w:color="auto" w:fill="auto"/>
            <w:vAlign w:val="bottom"/>
          </w:tcPr>
          <w:p w14:paraId="65A7E577" w14:textId="77777777" w:rsidR="003A3BCA" w:rsidRDefault="008276B6">
            <w:pPr>
              <w:jc w:val="right"/>
              <w:rPr>
                <w:rFonts w:ascii="Calibri" w:eastAsia="Calibri" w:hAnsi="Calibri" w:cs="Calibri"/>
                <w:color w:val="000000"/>
              </w:rPr>
            </w:pPr>
            <w:r>
              <w:rPr>
                <w:rFonts w:ascii="Calibri" w:eastAsia="Calibri" w:hAnsi="Calibri" w:cs="Calibri"/>
                <w:color w:val="000000"/>
              </w:rPr>
              <w:t>39</w:t>
            </w:r>
          </w:p>
        </w:tc>
      </w:tr>
    </w:tbl>
    <w:p w14:paraId="23B3E86F" w14:textId="77777777" w:rsidR="003A3BCA" w:rsidRDefault="008276B6">
      <w:pPr>
        <w:pBdr>
          <w:top w:val="nil"/>
          <w:left w:val="nil"/>
          <w:bottom w:val="nil"/>
          <w:right w:val="nil"/>
          <w:between w:val="nil"/>
        </w:pBdr>
        <w:spacing w:after="200"/>
        <w:rPr>
          <w:rFonts w:ascii="Calibri" w:eastAsia="Calibri" w:hAnsi="Calibri" w:cs="Calibri"/>
          <w:i/>
          <w:color w:val="44546A"/>
          <w:sz w:val="18"/>
          <w:szCs w:val="18"/>
        </w:rPr>
      </w:pPr>
      <w:r>
        <w:rPr>
          <w:rFonts w:ascii="Calibri" w:eastAsia="Calibri" w:hAnsi="Calibri" w:cs="Calibri"/>
          <w:i/>
          <w:color w:val="44546A"/>
          <w:sz w:val="18"/>
          <w:szCs w:val="18"/>
        </w:rPr>
        <w:t>Table 8. Paul Pogba's average percentiles per category</w:t>
      </w:r>
    </w:p>
    <w:p w14:paraId="47E8BB2C" w14:textId="77777777" w:rsidR="003A3BCA" w:rsidRDefault="008276B6">
      <w:pPr>
        <w:spacing w:line="360" w:lineRule="auto"/>
        <w:ind w:firstLine="720"/>
        <w:jc w:val="both"/>
      </w:pPr>
      <w:r>
        <w:t xml:space="preserve">Applying the formula for midfielders, as Pogba is classified as a central midfielder, we get the following total percentiles and grades for each season: 2017/2018 – grade of 3,75/5; 2018/2019 – grade of 3,63/5; 2019/2020 – grade of 3,25 out of 5; 2020/2021 – grade of 4 out of 5; and 2021/2022 – grade of 3,63/5. The overall score is calculated as the average of the grades just presented, which means that Paul Pogba’s 5-year spell at Manchester United could be evaluated as 3,6/5. Basically, it can be concluded that Pogba’s tenure at United was, overall, above average. His main issues related to his defensive duties, as his peers in the Premier League were far more helpful defensively to their teams than he was. Apart from his penultimate season, all other seasons, defensively speaking, were bad, very bad actually. This lack of defensive ability, or duty coverage, is what brings his overall performance down. If it were any other player, any player that wasn’t bought for a record-breaking 105 million EUR, the performances could’ve justified the price tag. But paying so much for a player whose overall performance could be evaluated as above average is not enough. It is not enough to spend that much on a midfielder who is basically unable to participate and help his team defensively. And here we don’t talk about him being the best defender in the whole England. The idea is to be a great defender among your midfield peers, something that Pogba didn’t succeed in. This, plus a couple of bad seasons in what is supposedly his strong side, were the overall determinants of a spell that could be defined as “not-enough”. It can never be enough to be classified as above average, not when a record amount of money was paid for your services. </w:t>
      </w:r>
    </w:p>
    <w:tbl>
      <w:tblPr>
        <w:tblStyle w:val="a7"/>
        <w:tblW w:w="9520" w:type="dxa"/>
        <w:tblLayout w:type="fixed"/>
        <w:tblLook w:val="0400" w:firstRow="0" w:lastRow="0" w:firstColumn="0" w:lastColumn="0" w:noHBand="0" w:noVBand="1"/>
      </w:tblPr>
      <w:tblGrid>
        <w:gridCol w:w="1904"/>
        <w:gridCol w:w="1904"/>
        <w:gridCol w:w="1904"/>
        <w:gridCol w:w="1904"/>
        <w:gridCol w:w="1904"/>
      </w:tblGrid>
      <w:tr w:rsidR="003A3BCA" w14:paraId="01083DF7" w14:textId="77777777">
        <w:trPr>
          <w:trHeight w:val="341"/>
        </w:trPr>
        <w:tc>
          <w:tcPr>
            <w:tcW w:w="19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616073" w14:textId="77777777" w:rsidR="003A3BCA" w:rsidRDefault="008276B6">
            <w:pPr>
              <w:jc w:val="center"/>
              <w:rPr>
                <w:rFonts w:ascii="Calibri" w:eastAsia="Calibri" w:hAnsi="Calibri" w:cs="Calibri"/>
                <w:b/>
                <w:color w:val="000000"/>
              </w:rPr>
            </w:pPr>
            <w:r>
              <w:rPr>
                <w:rFonts w:ascii="Calibri" w:eastAsia="Calibri" w:hAnsi="Calibri" w:cs="Calibri"/>
                <w:b/>
                <w:color w:val="000000"/>
              </w:rPr>
              <w:t>Player</w:t>
            </w:r>
          </w:p>
        </w:tc>
        <w:tc>
          <w:tcPr>
            <w:tcW w:w="1904" w:type="dxa"/>
            <w:tcBorders>
              <w:top w:val="single" w:sz="4" w:space="0" w:color="000000"/>
              <w:left w:val="nil"/>
              <w:bottom w:val="single" w:sz="4" w:space="0" w:color="000000"/>
              <w:right w:val="single" w:sz="4" w:space="0" w:color="000000"/>
            </w:tcBorders>
            <w:shd w:val="clear" w:color="auto" w:fill="auto"/>
            <w:vAlign w:val="center"/>
          </w:tcPr>
          <w:p w14:paraId="20BDF0F9" w14:textId="77777777" w:rsidR="003A3BCA" w:rsidRDefault="008276B6">
            <w:pPr>
              <w:jc w:val="center"/>
              <w:rPr>
                <w:rFonts w:ascii="Calibri" w:eastAsia="Calibri" w:hAnsi="Calibri" w:cs="Calibri"/>
                <w:b/>
                <w:color w:val="000000"/>
              </w:rPr>
            </w:pPr>
            <w:r>
              <w:rPr>
                <w:rFonts w:ascii="Calibri" w:eastAsia="Calibri" w:hAnsi="Calibri" w:cs="Calibri"/>
                <w:b/>
                <w:color w:val="000000"/>
              </w:rPr>
              <w:t>Age at Transfer</w:t>
            </w:r>
          </w:p>
        </w:tc>
        <w:tc>
          <w:tcPr>
            <w:tcW w:w="1904" w:type="dxa"/>
            <w:tcBorders>
              <w:top w:val="single" w:sz="4" w:space="0" w:color="000000"/>
              <w:left w:val="nil"/>
              <w:bottom w:val="single" w:sz="4" w:space="0" w:color="000000"/>
              <w:right w:val="single" w:sz="4" w:space="0" w:color="000000"/>
            </w:tcBorders>
            <w:shd w:val="clear" w:color="auto" w:fill="auto"/>
            <w:vAlign w:val="center"/>
          </w:tcPr>
          <w:p w14:paraId="31D24817" w14:textId="77777777" w:rsidR="003A3BCA" w:rsidRDefault="008276B6">
            <w:pPr>
              <w:jc w:val="center"/>
              <w:rPr>
                <w:rFonts w:ascii="Calibri" w:eastAsia="Calibri" w:hAnsi="Calibri" w:cs="Calibri"/>
                <w:b/>
                <w:color w:val="000000"/>
              </w:rPr>
            </w:pPr>
            <w:r>
              <w:rPr>
                <w:rFonts w:ascii="Calibri" w:eastAsia="Calibri" w:hAnsi="Calibri" w:cs="Calibri"/>
                <w:b/>
                <w:color w:val="000000"/>
              </w:rPr>
              <w:t>Bought, Season</w:t>
            </w:r>
          </w:p>
        </w:tc>
        <w:tc>
          <w:tcPr>
            <w:tcW w:w="1904" w:type="dxa"/>
            <w:tcBorders>
              <w:top w:val="single" w:sz="4" w:space="0" w:color="000000"/>
              <w:left w:val="nil"/>
              <w:bottom w:val="single" w:sz="4" w:space="0" w:color="000000"/>
              <w:right w:val="single" w:sz="4" w:space="0" w:color="000000"/>
            </w:tcBorders>
            <w:shd w:val="clear" w:color="auto" w:fill="auto"/>
            <w:vAlign w:val="center"/>
          </w:tcPr>
          <w:p w14:paraId="6B2466B5" w14:textId="77777777" w:rsidR="003A3BCA" w:rsidRDefault="008276B6">
            <w:pPr>
              <w:jc w:val="center"/>
              <w:rPr>
                <w:rFonts w:ascii="Calibri" w:eastAsia="Calibri" w:hAnsi="Calibri" w:cs="Calibri"/>
                <w:b/>
                <w:color w:val="000000"/>
              </w:rPr>
            </w:pPr>
            <w:r>
              <w:rPr>
                <w:rFonts w:ascii="Calibri" w:eastAsia="Calibri" w:hAnsi="Calibri" w:cs="Calibri"/>
                <w:b/>
                <w:color w:val="000000"/>
              </w:rPr>
              <w:t>Years Spent</w:t>
            </w:r>
          </w:p>
        </w:tc>
        <w:tc>
          <w:tcPr>
            <w:tcW w:w="1904" w:type="dxa"/>
            <w:tcBorders>
              <w:top w:val="single" w:sz="4" w:space="0" w:color="000000"/>
              <w:left w:val="nil"/>
              <w:bottom w:val="single" w:sz="4" w:space="0" w:color="000000"/>
              <w:right w:val="single" w:sz="4" w:space="0" w:color="000000"/>
            </w:tcBorders>
            <w:shd w:val="clear" w:color="auto" w:fill="auto"/>
            <w:vAlign w:val="center"/>
          </w:tcPr>
          <w:p w14:paraId="6E850B1D" w14:textId="77777777" w:rsidR="003A3BCA" w:rsidRDefault="008276B6">
            <w:pPr>
              <w:jc w:val="center"/>
              <w:rPr>
                <w:rFonts w:ascii="Calibri" w:eastAsia="Calibri" w:hAnsi="Calibri" w:cs="Calibri"/>
                <w:b/>
                <w:color w:val="000000"/>
              </w:rPr>
            </w:pPr>
            <w:r>
              <w:rPr>
                <w:rFonts w:ascii="Calibri" w:eastAsia="Calibri" w:hAnsi="Calibri" w:cs="Calibri"/>
                <w:b/>
                <w:color w:val="000000"/>
              </w:rPr>
              <w:t>Average Grade</w:t>
            </w:r>
          </w:p>
        </w:tc>
      </w:tr>
      <w:tr w:rsidR="003A3BCA" w14:paraId="140783A0" w14:textId="77777777">
        <w:trPr>
          <w:trHeight w:val="341"/>
        </w:trPr>
        <w:tc>
          <w:tcPr>
            <w:tcW w:w="1904" w:type="dxa"/>
            <w:tcBorders>
              <w:top w:val="nil"/>
              <w:left w:val="single" w:sz="4" w:space="0" w:color="000000"/>
              <w:bottom w:val="single" w:sz="4" w:space="0" w:color="000000"/>
              <w:right w:val="single" w:sz="4" w:space="0" w:color="000000"/>
            </w:tcBorders>
            <w:shd w:val="clear" w:color="auto" w:fill="auto"/>
            <w:vAlign w:val="bottom"/>
          </w:tcPr>
          <w:p w14:paraId="343DEBE5" w14:textId="77777777" w:rsidR="003A3BCA" w:rsidRDefault="008276B6">
            <w:pPr>
              <w:rPr>
                <w:rFonts w:ascii="Calibri" w:eastAsia="Calibri" w:hAnsi="Calibri" w:cs="Calibri"/>
                <w:color w:val="000000"/>
              </w:rPr>
            </w:pPr>
            <w:r>
              <w:rPr>
                <w:rFonts w:ascii="Calibri" w:eastAsia="Calibri" w:hAnsi="Calibri" w:cs="Calibri"/>
                <w:color w:val="000000"/>
              </w:rPr>
              <w:t>Paul Pogba</w:t>
            </w:r>
          </w:p>
        </w:tc>
        <w:tc>
          <w:tcPr>
            <w:tcW w:w="1904" w:type="dxa"/>
            <w:tcBorders>
              <w:top w:val="nil"/>
              <w:left w:val="nil"/>
              <w:bottom w:val="single" w:sz="4" w:space="0" w:color="000000"/>
              <w:right w:val="single" w:sz="4" w:space="0" w:color="000000"/>
            </w:tcBorders>
            <w:shd w:val="clear" w:color="auto" w:fill="auto"/>
            <w:vAlign w:val="bottom"/>
          </w:tcPr>
          <w:p w14:paraId="468F8EC1" w14:textId="77777777" w:rsidR="003A3BCA" w:rsidRDefault="008276B6">
            <w:pPr>
              <w:jc w:val="right"/>
              <w:rPr>
                <w:rFonts w:ascii="Calibri" w:eastAsia="Calibri" w:hAnsi="Calibri" w:cs="Calibri"/>
                <w:color w:val="000000"/>
              </w:rPr>
            </w:pPr>
            <w:r>
              <w:rPr>
                <w:rFonts w:ascii="Calibri" w:eastAsia="Calibri" w:hAnsi="Calibri" w:cs="Calibri"/>
                <w:color w:val="000000"/>
              </w:rPr>
              <w:t>23</w:t>
            </w:r>
          </w:p>
        </w:tc>
        <w:tc>
          <w:tcPr>
            <w:tcW w:w="1904" w:type="dxa"/>
            <w:tcBorders>
              <w:top w:val="nil"/>
              <w:left w:val="nil"/>
              <w:bottom w:val="single" w:sz="4" w:space="0" w:color="000000"/>
              <w:right w:val="single" w:sz="4" w:space="0" w:color="000000"/>
            </w:tcBorders>
            <w:shd w:val="clear" w:color="auto" w:fill="auto"/>
            <w:vAlign w:val="bottom"/>
          </w:tcPr>
          <w:p w14:paraId="0C6449EF" w14:textId="77777777" w:rsidR="003A3BCA" w:rsidRDefault="008276B6">
            <w:pPr>
              <w:rPr>
                <w:rFonts w:ascii="Calibri" w:eastAsia="Calibri" w:hAnsi="Calibri" w:cs="Calibri"/>
                <w:color w:val="000000"/>
              </w:rPr>
            </w:pPr>
            <w:r>
              <w:rPr>
                <w:rFonts w:ascii="Calibri" w:eastAsia="Calibri" w:hAnsi="Calibri" w:cs="Calibri"/>
                <w:color w:val="000000"/>
              </w:rPr>
              <w:t>2016/2017</w:t>
            </w:r>
          </w:p>
        </w:tc>
        <w:tc>
          <w:tcPr>
            <w:tcW w:w="1904" w:type="dxa"/>
            <w:tcBorders>
              <w:top w:val="nil"/>
              <w:left w:val="nil"/>
              <w:bottom w:val="single" w:sz="4" w:space="0" w:color="000000"/>
              <w:right w:val="single" w:sz="4" w:space="0" w:color="000000"/>
            </w:tcBorders>
            <w:shd w:val="clear" w:color="auto" w:fill="auto"/>
            <w:vAlign w:val="bottom"/>
          </w:tcPr>
          <w:p w14:paraId="7E752073" w14:textId="77777777" w:rsidR="003A3BCA" w:rsidRDefault="008276B6">
            <w:pPr>
              <w:jc w:val="right"/>
              <w:rPr>
                <w:rFonts w:ascii="Calibri" w:eastAsia="Calibri" w:hAnsi="Calibri" w:cs="Calibri"/>
                <w:color w:val="000000"/>
              </w:rPr>
            </w:pPr>
            <w:r>
              <w:rPr>
                <w:rFonts w:ascii="Calibri" w:eastAsia="Calibri" w:hAnsi="Calibri" w:cs="Calibri"/>
                <w:color w:val="000000"/>
              </w:rPr>
              <w:t>6</w:t>
            </w:r>
          </w:p>
        </w:tc>
        <w:tc>
          <w:tcPr>
            <w:tcW w:w="1904" w:type="dxa"/>
            <w:tcBorders>
              <w:top w:val="nil"/>
              <w:left w:val="nil"/>
              <w:bottom w:val="single" w:sz="4" w:space="0" w:color="000000"/>
              <w:right w:val="single" w:sz="4" w:space="0" w:color="000000"/>
            </w:tcBorders>
            <w:shd w:val="clear" w:color="auto" w:fill="A8D08D"/>
            <w:vAlign w:val="bottom"/>
          </w:tcPr>
          <w:p w14:paraId="6E6AD8AE" w14:textId="77777777" w:rsidR="003A3BCA" w:rsidRDefault="008276B6">
            <w:pPr>
              <w:jc w:val="right"/>
              <w:rPr>
                <w:rFonts w:ascii="Calibri" w:eastAsia="Calibri" w:hAnsi="Calibri" w:cs="Calibri"/>
                <w:color w:val="000000"/>
              </w:rPr>
            </w:pPr>
            <w:r>
              <w:rPr>
                <w:rFonts w:ascii="Calibri" w:eastAsia="Calibri" w:hAnsi="Calibri" w:cs="Calibri"/>
                <w:color w:val="000000"/>
              </w:rPr>
              <w:t>3,6</w:t>
            </w:r>
          </w:p>
        </w:tc>
      </w:tr>
      <w:tr w:rsidR="003A3BCA" w14:paraId="64BF02BC" w14:textId="77777777">
        <w:trPr>
          <w:trHeight w:val="341"/>
        </w:trPr>
        <w:tc>
          <w:tcPr>
            <w:tcW w:w="1904" w:type="dxa"/>
            <w:tcBorders>
              <w:top w:val="nil"/>
              <w:left w:val="single" w:sz="4" w:space="0" w:color="000000"/>
              <w:bottom w:val="single" w:sz="4" w:space="0" w:color="000000"/>
              <w:right w:val="single" w:sz="4" w:space="0" w:color="000000"/>
            </w:tcBorders>
            <w:shd w:val="clear" w:color="auto" w:fill="auto"/>
            <w:vAlign w:val="bottom"/>
          </w:tcPr>
          <w:p w14:paraId="7F5140B3" w14:textId="77777777" w:rsidR="003A3BCA" w:rsidRDefault="008276B6">
            <w:pPr>
              <w:rPr>
                <w:rFonts w:ascii="Calibri" w:eastAsia="Calibri" w:hAnsi="Calibri" w:cs="Calibri"/>
                <w:color w:val="000000"/>
              </w:rPr>
            </w:pPr>
            <w:r>
              <w:rPr>
                <w:rFonts w:ascii="Calibri" w:eastAsia="Calibri" w:hAnsi="Calibri" w:cs="Calibri"/>
                <w:color w:val="000000"/>
              </w:rPr>
              <w:t>Harry Maguire</w:t>
            </w:r>
          </w:p>
        </w:tc>
        <w:tc>
          <w:tcPr>
            <w:tcW w:w="1904" w:type="dxa"/>
            <w:tcBorders>
              <w:top w:val="nil"/>
              <w:left w:val="nil"/>
              <w:bottom w:val="single" w:sz="4" w:space="0" w:color="000000"/>
              <w:right w:val="single" w:sz="4" w:space="0" w:color="000000"/>
            </w:tcBorders>
            <w:shd w:val="clear" w:color="auto" w:fill="auto"/>
            <w:vAlign w:val="bottom"/>
          </w:tcPr>
          <w:p w14:paraId="6B2C2057" w14:textId="77777777" w:rsidR="003A3BCA" w:rsidRDefault="008276B6">
            <w:pPr>
              <w:jc w:val="right"/>
              <w:rPr>
                <w:rFonts w:ascii="Calibri" w:eastAsia="Calibri" w:hAnsi="Calibri" w:cs="Calibri"/>
                <w:color w:val="000000"/>
              </w:rPr>
            </w:pPr>
            <w:r>
              <w:rPr>
                <w:rFonts w:ascii="Calibri" w:eastAsia="Calibri" w:hAnsi="Calibri" w:cs="Calibri"/>
                <w:color w:val="000000"/>
              </w:rPr>
              <w:t>26</w:t>
            </w:r>
          </w:p>
        </w:tc>
        <w:tc>
          <w:tcPr>
            <w:tcW w:w="1904" w:type="dxa"/>
            <w:tcBorders>
              <w:top w:val="nil"/>
              <w:left w:val="nil"/>
              <w:bottom w:val="single" w:sz="4" w:space="0" w:color="000000"/>
              <w:right w:val="single" w:sz="4" w:space="0" w:color="000000"/>
            </w:tcBorders>
            <w:shd w:val="clear" w:color="auto" w:fill="auto"/>
            <w:vAlign w:val="bottom"/>
          </w:tcPr>
          <w:p w14:paraId="16E199A0" w14:textId="77777777" w:rsidR="003A3BCA" w:rsidRDefault="008276B6">
            <w:pPr>
              <w:rPr>
                <w:rFonts w:ascii="Calibri" w:eastAsia="Calibri" w:hAnsi="Calibri" w:cs="Calibri"/>
                <w:color w:val="000000"/>
              </w:rPr>
            </w:pPr>
            <w:r>
              <w:rPr>
                <w:rFonts w:ascii="Calibri" w:eastAsia="Calibri" w:hAnsi="Calibri" w:cs="Calibri"/>
                <w:color w:val="000000"/>
              </w:rPr>
              <w:t>2019/2020</w:t>
            </w:r>
          </w:p>
        </w:tc>
        <w:tc>
          <w:tcPr>
            <w:tcW w:w="1904" w:type="dxa"/>
            <w:tcBorders>
              <w:top w:val="nil"/>
              <w:left w:val="nil"/>
              <w:bottom w:val="single" w:sz="4" w:space="0" w:color="000000"/>
              <w:right w:val="single" w:sz="4" w:space="0" w:color="000000"/>
            </w:tcBorders>
            <w:shd w:val="clear" w:color="auto" w:fill="auto"/>
            <w:vAlign w:val="bottom"/>
          </w:tcPr>
          <w:p w14:paraId="67CF57E1" w14:textId="77777777" w:rsidR="003A3BCA" w:rsidRDefault="008276B6">
            <w:pPr>
              <w:jc w:val="right"/>
              <w:rPr>
                <w:rFonts w:ascii="Calibri" w:eastAsia="Calibri" w:hAnsi="Calibri" w:cs="Calibri"/>
                <w:color w:val="000000"/>
              </w:rPr>
            </w:pPr>
            <w:r>
              <w:rPr>
                <w:rFonts w:ascii="Calibri" w:eastAsia="Calibri" w:hAnsi="Calibri" w:cs="Calibri"/>
                <w:color w:val="000000"/>
              </w:rPr>
              <w:t>3</w:t>
            </w:r>
          </w:p>
        </w:tc>
        <w:tc>
          <w:tcPr>
            <w:tcW w:w="1904" w:type="dxa"/>
            <w:tcBorders>
              <w:top w:val="nil"/>
              <w:left w:val="nil"/>
              <w:bottom w:val="single" w:sz="4" w:space="0" w:color="000000"/>
              <w:right w:val="single" w:sz="4" w:space="0" w:color="000000"/>
            </w:tcBorders>
            <w:shd w:val="clear" w:color="auto" w:fill="A8D08D"/>
            <w:vAlign w:val="bottom"/>
          </w:tcPr>
          <w:p w14:paraId="186B3AE4" w14:textId="77777777" w:rsidR="003A3BCA" w:rsidRDefault="008276B6">
            <w:pPr>
              <w:jc w:val="right"/>
              <w:rPr>
                <w:rFonts w:ascii="Calibri" w:eastAsia="Calibri" w:hAnsi="Calibri" w:cs="Calibri"/>
                <w:color w:val="000000"/>
              </w:rPr>
            </w:pPr>
            <w:r>
              <w:rPr>
                <w:rFonts w:ascii="Calibri" w:eastAsia="Calibri" w:hAnsi="Calibri" w:cs="Calibri"/>
                <w:color w:val="000000"/>
              </w:rPr>
              <w:t>4,5</w:t>
            </w:r>
          </w:p>
        </w:tc>
      </w:tr>
      <w:tr w:rsidR="003A3BCA" w14:paraId="6C2E85DB" w14:textId="77777777">
        <w:trPr>
          <w:trHeight w:val="341"/>
        </w:trPr>
        <w:tc>
          <w:tcPr>
            <w:tcW w:w="1904" w:type="dxa"/>
            <w:tcBorders>
              <w:top w:val="nil"/>
              <w:left w:val="single" w:sz="4" w:space="0" w:color="000000"/>
              <w:bottom w:val="single" w:sz="4" w:space="0" w:color="000000"/>
              <w:right w:val="single" w:sz="4" w:space="0" w:color="000000"/>
            </w:tcBorders>
            <w:shd w:val="clear" w:color="auto" w:fill="auto"/>
            <w:vAlign w:val="bottom"/>
          </w:tcPr>
          <w:p w14:paraId="0ED8D232" w14:textId="77777777" w:rsidR="003A3BCA" w:rsidRDefault="008276B6">
            <w:pPr>
              <w:rPr>
                <w:rFonts w:ascii="Calibri" w:eastAsia="Calibri" w:hAnsi="Calibri" w:cs="Calibri"/>
                <w:color w:val="000000"/>
              </w:rPr>
            </w:pPr>
            <w:r>
              <w:rPr>
                <w:rFonts w:ascii="Calibri" w:eastAsia="Calibri" w:hAnsi="Calibri" w:cs="Calibri"/>
                <w:color w:val="000000"/>
              </w:rPr>
              <w:t>Jadon Sancho</w:t>
            </w:r>
          </w:p>
        </w:tc>
        <w:tc>
          <w:tcPr>
            <w:tcW w:w="1904" w:type="dxa"/>
            <w:tcBorders>
              <w:top w:val="nil"/>
              <w:left w:val="nil"/>
              <w:bottom w:val="single" w:sz="4" w:space="0" w:color="000000"/>
              <w:right w:val="single" w:sz="4" w:space="0" w:color="000000"/>
            </w:tcBorders>
            <w:shd w:val="clear" w:color="auto" w:fill="auto"/>
            <w:vAlign w:val="bottom"/>
          </w:tcPr>
          <w:p w14:paraId="2F049138" w14:textId="77777777" w:rsidR="003A3BCA" w:rsidRDefault="008276B6">
            <w:pPr>
              <w:jc w:val="right"/>
              <w:rPr>
                <w:rFonts w:ascii="Calibri" w:eastAsia="Calibri" w:hAnsi="Calibri" w:cs="Calibri"/>
                <w:color w:val="000000"/>
              </w:rPr>
            </w:pPr>
            <w:r>
              <w:rPr>
                <w:rFonts w:ascii="Calibri" w:eastAsia="Calibri" w:hAnsi="Calibri" w:cs="Calibri"/>
                <w:color w:val="000000"/>
              </w:rPr>
              <w:t>21</w:t>
            </w:r>
          </w:p>
        </w:tc>
        <w:tc>
          <w:tcPr>
            <w:tcW w:w="1904" w:type="dxa"/>
            <w:tcBorders>
              <w:top w:val="nil"/>
              <w:left w:val="nil"/>
              <w:bottom w:val="single" w:sz="4" w:space="0" w:color="000000"/>
              <w:right w:val="single" w:sz="4" w:space="0" w:color="000000"/>
            </w:tcBorders>
            <w:shd w:val="clear" w:color="auto" w:fill="auto"/>
            <w:vAlign w:val="bottom"/>
          </w:tcPr>
          <w:p w14:paraId="5D43EF01" w14:textId="77777777" w:rsidR="003A3BCA" w:rsidRDefault="008276B6">
            <w:pPr>
              <w:rPr>
                <w:rFonts w:ascii="Calibri" w:eastAsia="Calibri" w:hAnsi="Calibri" w:cs="Calibri"/>
                <w:color w:val="000000"/>
              </w:rPr>
            </w:pPr>
            <w:r>
              <w:rPr>
                <w:rFonts w:ascii="Calibri" w:eastAsia="Calibri" w:hAnsi="Calibri" w:cs="Calibri"/>
                <w:color w:val="000000"/>
              </w:rPr>
              <w:t>2021/2022</w:t>
            </w:r>
          </w:p>
        </w:tc>
        <w:tc>
          <w:tcPr>
            <w:tcW w:w="1904" w:type="dxa"/>
            <w:tcBorders>
              <w:top w:val="nil"/>
              <w:left w:val="nil"/>
              <w:bottom w:val="single" w:sz="4" w:space="0" w:color="000000"/>
              <w:right w:val="single" w:sz="4" w:space="0" w:color="000000"/>
            </w:tcBorders>
            <w:shd w:val="clear" w:color="auto" w:fill="auto"/>
            <w:vAlign w:val="bottom"/>
          </w:tcPr>
          <w:p w14:paraId="1234D527" w14:textId="77777777" w:rsidR="003A3BCA" w:rsidRDefault="008276B6">
            <w:pPr>
              <w:jc w:val="right"/>
              <w:rPr>
                <w:rFonts w:ascii="Calibri" w:eastAsia="Calibri" w:hAnsi="Calibri" w:cs="Calibri"/>
                <w:color w:val="000000"/>
              </w:rPr>
            </w:pPr>
            <w:r>
              <w:rPr>
                <w:rFonts w:ascii="Calibri" w:eastAsia="Calibri" w:hAnsi="Calibri" w:cs="Calibri"/>
                <w:color w:val="000000"/>
              </w:rPr>
              <w:t>1</w:t>
            </w:r>
          </w:p>
        </w:tc>
        <w:tc>
          <w:tcPr>
            <w:tcW w:w="1904" w:type="dxa"/>
            <w:tcBorders>
              <w:top w:val="nil"/>
              <w:left w:val="nil"/>
              <w:bottom w:val="single" w:sz="4" w:space="0" w:color="000000"/>
              <w:right w:val="single" w:sz="4" w:space="0" w:color="000000"/>
            </w:tcBorders>
            <w:shd w:val="clear" w:color="auto" w:fill="A8D08D"/>
            <w:vAlign w:val="bottom"/>
          </w:tcPr>
          <w:p w14:paraId="0FE20034" w14:textId="77777777" w:rsidR="003A3BCA" w:rsidRDefault="008276B6">
            <w:pPr>
              <w:jc w:val="right"/>
              <w:rPr>
                <w:rFonts w:ascii="Calibri" w:eastAsia="Calibri" w:hAnsi="Calibri" w:cs="Calibri"/>
                <w:color w:val="000000"/>
              </w:rPr>
            </w:pPr>
            <w:r>
              <w:rPr>
                <w:rFonts w:ascii="Calibri" w:eastAsia="Calibri" w:hAnsi="Calibri" w:cs="Calibri"/>
                <w:color w:val="000000"/>
              </w:rPr>
              <w:t>2,7</w:t>
            </w:r>
          </w:p>
        </w:tc>
      </w:tr>
      <w:tr w:rsidR="003A3BCA" w14:paraId="333C7D9C" w14:textId="77777777">
        <w:trPr>
          <w:trHeight w:val="341"/>
        </w:trPr>
        <w:tc>
          <w:tcPr>
            <w:tcW w:w="1904" w:type="dxa"/>
            <w:tcBorders>
              <w:top w:val="nil"/>
              <w:left w:val="single" w:sz="4" w:space="0" w:color="000000"/>
              <w:bottom w:val="single" w:sz="4" w:space="0" w:color="000000"/>
              <w:right w:val="single" w:sz="4" w:space="0" w:color="000000"/>
            </w:tcBorders>
            <w:shd w:val="clear" w:color="auto" w:fill="auto"/>
            <w:vAlign w:val="bottom"/>
          </w:tcPr>
          <w:p w14:paraId="4FD220E3" w14:textId="77777777" w:rsidR="003A3BCA" w:rsidRDefault="008276B6">
            <w:pPr>
              <w:rPr>
                <w:rFonts w:ascii="Calibri" w:eastAsia="Calibri" w:hAnsi="Calibri" w:cs="Calibri"/>
                <w:color w:val="000000"/>
              </w:rPr>
            </w:pPr>
            <w:r>
              <w:rPr>
                <w:rFonts w:ascii="Calibri" w:eastAsia="Calibri" w:hAnsi="Calibri" w:cs="Calibri"/>
                <w:color w:val="000000"/>
              </w:rPr>
              <w:t>Romelu Lukaku</w:t>
            </w:r>
          </w:p>
        </w:tc>
        <w:tc>
          <w:tcPr>
            <w:tcW w:w="1904" w:type="dxa"/>
            <w:tcBorders>
              <w:top w:val="nil"/>
              <w:left w:val="nil"/>
              <w:bottom w:val="single" w:sz="4" w:space="0" w:color="000000"/>
              <w:right w:val="single" w:sz="4" w:space="0" w:color="000000"/>
            </w:tcBorders>
            <w:shd w:val="clear" w:color="auto" w:fill="auto"/>
            <w:vAlign w:val="bottom"/>
          </w:tcPr>
          <w:p w14:paraId="4B4487E5" w14:textId="77777777" w:rsidR="003A3BCA" w:rsidRDefault="008276B6">
            <w:pPr>
              <w:jc w:val="right"/>
              <w:rPr>
                <w:rFonts w:ascii="Calibri" w:eastAsia="Calibri" w:hAnsi="Calibri" w:cs="Calibri"/>
                <w:color w:val="000000"/>
              </w:rPr>
            </w:pPr>
            <w:r>
              <w:rPr>
                <w:rFonts w:ascii="Calibri" w:eastAsia="Calibri" w:hAnsi="Calibri" w:cs="Calibri"/>
                <w:color w:val="000000"/>
              </w:rPr>
              <w:t>24</w:t>
            </w:r>
          </w:p>
        </w:tc>
        <w:tc>
          <w:tcPr>
            <w:tcW w:w="1904" w:type="dxa"/>
            <w:tcBorders>
              <w:top w:val="nil"/>
              <w:left w:val="nil"/>
              <w:bottom w:val="single" w:sz="4" w:space="0" w:color="000000"/>
              <w:right w:val="single" w:sz="4" w:space="0" w:color="000000"/>
            </w:tcBorders>
            <w:shd w:val="clear" w:color="auto" w:fill="auto"/>
            <w:vAlign w:val="bottom"/>
          </w:tcPr>
          <w:p w14:paraId="1F1E3775" w14:textId="77777777" w:rsidR="003A3BCA" w:rsidRDefault="008276B6">
            <w:pPr>
              <w:rPr>
                <w:rFonts w:ascii="Calibri" w:eastAsia="Calibri" w:hAnsi="Calibri" w:cs="Calibri"/>
                <w:color w:val="000000"/>
              </w:rPr>
            </w:pPr>
            <w:r>
              <w:rPr>
                <w:rFonts w:ascii="Calibri" w:eastAsia="Calibri" w:hAnsi="Calibri" w:cs="Calibri"/>
                <w:color w:val="000000"/>
              </w:rPr>
              <w:t>2017/2018</w:t>
            </w:r>
          </w:p>
        </w:tc>
        <w:tc>
          <w:tcPr>
            <w:tcW w:w="1904" w:type="dxa"/>
            <w:tcBorders>
              <w:top w:val="nil"/>
              <w:left w:val="nil"/>
              <w:bottom w:val="single" w:sz="4" w:space="0" w:color="000000"/>
              <w:right w:val="single" w:sz="4" w:space="0" w:color="000000"/>
            </w:tcBorders>
            <w:shd w:val="clear" w:color="auto" w:fill="auto"/>
            <w:vAlign w:val="bottom"/>
          </w:tcPr>
          <w:p w14:paraId="6542401E" w14:textId="77777777" w:rsidR="003A3BCA" w:rsidRDefault="008276B6">
            <w:pPr>
              <w:jc w:val="right"/>
              <w:rPr>
                <w:rFonts w:ascii="Calibri" w:eastAsia="Calibri" w:hAnsi="Calibri" w:cs="Calibri"/>
                <w:color w:val="000000"/>
              </w:rPr>
            </w:pPr>
            <w:r>
              <w:rPr>
                <w:rFonts w:ascii="Calibri" w:eastAsia="Calibri" w:hAnsi="Calibri" w:cs="Calibri"/>
                <w:color w:val="000000"/>
              </w:rPr>
              <w:t>2</w:t>
            </w:r>
          </w:p>
        </w:tc>
        <w:tc>
          <w:tcPr>
            <w:tcW w:w="1904" w:type="dxa"/>
            <w:tcBorders>
              <w:top w:val="nil"/>
              <w:left w:val="nil"/>
              <w:bottom w:val="single" w:sz="4" w:space="0" w:color="000000"/>
              <w:right w:val="single" w:sz="4" w:space="0" w:color="000000"/>
            </w:tcBorders>
            <w:shd w:val="clear" w:color="auto" w:fill="A8D08D"/>
            <w:vAlign w:val="bottom"/>
          </w:tcPr>
          <w:p w14:paraId="39A2BD14" w14:textId="77777777" w:rsidR="003A3BCA" w:rsidRDefault="008276B6">
            <w:pPr>
              <w:jc w:val="right"/>
              <w:rPr>
                <w:rFonts w:ascii="Calibri" w:eastAsia="Calibri" w:hAnsi="Calibri" w:cs="Calibri"/>
                <w:color w:val="000000"/>
              </w:rPr>
            </w:pPr>
            <w:r>
              <w:rPr>
                <w:rFonts w:ascii="Calibri" w:eastAsia="Calibri" w:hAnsi="Calibri" w:cs="Calibri"/>
                <w:color w:val="000000"/>
              </w:rPr>
              <w:t>3,4</w:t>
            </w:r>
          </w:p>
        </w:tc>
      </w:tr>
      <w:tr w:rsidR="003A3BCA" w14:paraId="199BA39E" w14:textId="77777777">
        <w:trPr>
          <w:trHeight w:val="341"/>
        </w:trPr>
        <w:tc>
          <w:tcPr>
            <w:tcW w:w="1904" w:type="dxa"/>
            <w:tcBorders>
              <w:top w:val="nil"/>
              <w:left w:val="single" w:sz="4" w:space="0" w:color="000000"/>
              <w:bottom w:val="single" w:sz="4" w:space="0" w:color="000000"/>
              <w:right w:val="single" w:sz="4" w:space="0" w:color="000000"/>
            </w:tcBorders>
            <w:shd w:val="clear" w:color="auto" w:fill="auto"/>
            <w:vAlign w:val="bottom"/>
          </w:tcPr>
          <w:p w14:paraId="32AB9F3E" w14:textId="77777777" w:rsidR="003A3BCA" w:rsidRDefault="008276B6">
            <w:pPr>
              <w:rPr>
                <w:rFonts w:ascii="Calibri" w:eastAsia="Calibri" w:hAnsi="Calibri" w:cs="Calibri"/>
                <w:color w:val="000000"/>
              </w:rPr>
            </w:pPr>
            <w:r>
              <w:rPr>
                <w:rFonts w:ascii="Calibri" w:eastAsia="Calibri" w:hAnsi="Calibri" w:cs="Calibri"/>
                <w:color w:val="000000"/>
              </w:rPr>
              <w:t>Bruno Fernandes</w:t>
            </w:r>
          </w:p>
        </w:tc>
        <w:tc>
          <w:tcPr>
            <w:tcW w:w="1904" w:type="dxa"/>
            <w:tcBorders>
              <w:top w:val="nil"/>
              <w:left w:val="nil"/>
              <w:bottom w:val="single" w:sz="4" w:space="0" w:color="000000"/>
              <w:right w:val="single" w:sz="4" w:space="0" w:color="000000"/>
            </w:tcBorders>
            <w:shd w:val="clear" w:color="auto" w:fill="auto"/>
            <w:vAlign w:val="bottom"/>
          </w:tcPr>
          <w:p w14:paraId="7D08D1A1" w14:textId="77777777" w:rsidR="003A3BCA" w:rsidRDefault="008276B6">
            <w:pPr>
              <w:jc w:val="right"/>
              <w:rPr>
                <w:rFonts w:ascii="Calibri" w:eastAsia="Calibri" w:hAnsi="Calibri" w:cs="Calibri"/>
                <w:color w:val="000000"/>
              </w:rPr>
            </w:pPr>
            <w:r>
              <w:rPr>
                <w:rFonts w:ascii="Calibri" w:eastAsia="Calibri" w:hAnsi="Calibri" w:cs="Calibri"/>
                <w:color w:val="000000"/>
              </w:rPr>
              <w:t>25</w:t>
            </w:r>
          </w:p>
        </w:tc>
        <w:tc>
          <w:tcPr>
            <w:tcW w:w="1904" w:type="dxa"/>
            <w:tcBorders>
              <w:top w:val="nil"/>
              <w:left w:val="nil"/>
              <w:bottom w:val="single" w:sz="4" w:space="0" w:color="000000"/>
              <w:right w:val="single" w:sz="4" w:space="0" w:color="000000"/>
            </w:tcBorders>
            <w:shd w:val="clear" w:color="auto" w:fill="auto"/>
            <w:vAlign w:val="bottom"/>
          </w:tcPr>
          <w:p w14:paraId="565F11F6" w14:textId="77777777" w:rsidR="003A3BCA" w:rsidRDefault="008276B6">
            <w:pPr>
              <w:rPr>
                <w:rFonts w:ascii="Calibri" w:eastAsia="Calibri" w:hAnsi="Calibri" w:cs="Calibri"/>
                <w:color w:val="000000"/>
              </w:rPr>
            </w:pPr>
            <w:r>
              <w:rPr>
                <w:rFonts w:ascii="Calibri" w:eastAsia="Calibri" w:hAnsi="Calibri" w:cs="Calibri"/>
                <w:color w:val="000000"/>
              </w:rPr>
              <w:t>2019/2020</w:t>
            </w:r>
          </w:p>
        </w:tc>
        <w:tc>
          <w:tcPr>
            <w:tcW w:w="1904" w:type="dxa"/>
            <w:tcBorders>
              <w:top w:val="nil"/>
              <w:left w:val="nil"/>
              <w:bottom w:val="single" w:sz="4" w:space="0" w:color="000000"/>
              <w:right w:val="single" w:sz="4" w:space="0" w:color="000000"/>
            </w:tcBorders>
            <w:shd w:val="clear" w:color="auto" w:fill="auto"/>
            <w:vAlign w:val="bottom"/>
          </w:tcPr>
          <w:p w14:paraId="1840E99B" w14:textId="77777777" w:rsidR="003A3BCA" w:rsidRDefault="008276B6">
            <w:pPr>
              <w:jc w:val="right"/>
              <w:rPr>
                <w:rFonts w:ascii="Calibri" w:eastAsia="Calibri" w:hAnsi="Calibri" w:cs="Calibri"/>
                <w:color w:val="000000"/>
              </w:rPr>
            </w:pPr>
            <w:r>
              <w:rPr>
                <w:rFonts w:ascii="Calibri" w:eastAsia="Calibri" w:hAnsi="Calibri" w:cs="Calibri"/>
                <w:color w:val="000000"/>
              </w:rPr>
              <w:t>3</w:t>
            </w:r>
          </w:p>
        </w:tc>
        <w:tc>
          <w:tcPr>
            <w:tcW w:w="1904" w:type="dxa"/>
            <w:tcBorders>
              <w:top w:val="nil"/>
              <w:left w:val="nil"/>
              <w:bottom w:val="single" w:sz="4" w:space="0" w:color="000000"/>
              <w:right w:val="single" w:sz="4" w:space="0" w:color="000000"/>
            </w:tcBorders>
            <w:shd w:val="clear" w:color="auto" w:fill="A8D08D"/>
            <w:vAlign w:val="bottom"/>
          </w:tcPr>
          <w:p w14:paraId="0D4E8D9E" w14:textId="77777777" w:rsidR="003A3BCA" w:rsidRDefault="008276B6">
            <w:pPr>
              <w:jc w:val="right"/>
              <w:rPr>
                <w:rFonts w:ascii="Calibri" w:eastAsia="Calibri" w:hAnsi="Calibri" w:cs="Calibri"/>
                <w:color w:val="000000"/>
              </w:rPr>
            </w:pPr>
            <w:r>
              <w:rPr>
                <w:rFonts w:ascii="Calibri" w:eastAsia="Calibri" w:hAnsi="Calibri" w:cs="Calibri"/>
                <w:color w:val="000000"/>
              </w:rPr>
              <w:t>3,6</w:t>
            </w:r>
          </w:p>
        </w:tc>
      </w:tr>
      <w:tr w:rsidR="003A3BCA" w14:paraId="37AC0986" w14:textId="77777777">
        <w:trPr>
          <w:trHeight w:val="341"/>
        </w:trPr>
        <w:tc>
          <w:tcPr>
            <w:tcW w:w="1904" w:type="dxa"/>
            <w:tcBorders>
              <w:top w:val="nil"/>
              <w:left w:val="single" w:sz="4" w:space="0" w:color="000000"/>
              <w:bottom w:val="single" w:sz="4" w:space="0" w:color="000000"/>
              <w:right w:val="single" w:sz="4" w:space="0" w:color="000000"/>
            </w:tcBorders>
            <w:shd w:val="clear" w:color="auto" w:fill="auto"/>
            <w:vAlign w:val="bottom"/>
          </w:tcPr>
          <w:p w14:paraId="02E0A73D" w14:textId="77777777" w:rsidR="003A3BCA" w:rsidRDefault="008276B6">
            <w:pPr>
              <w:rPr>
                <w:rFonts w:ascii="Calibri" w:eastAsia="Calibri" w:hAnsi="Calibri" w:cs="Calibri"/>
                <w:color w:val="000000"/>
              </w:rPr>
            </w:pPr>
            <w:r>
              <w:rPr>
                <w:rFonts w:ascii="Calibri" w:eastAsia="Calibri" w:hAnsi="Calibri" w:cs="Calibri"/>
                <w:color w:val="000000"/>
              </w:rPr>
              <w:lastRenderedPageBreak/>
              <w:t>Fred</w:t>
            </w:r>
          </w:p>
        </w:tc>
        <w:tc>
          <w:tcPr>
            <w:tcW w:w="1904" w:type="dxa"/>
            <w:tcBorders>
              <w:top w:val="nil"/>
              <w:left w:val="nil"/>
              <w:bottom w:val="single" w:sz="4" w:space="0" w:color="000000"/>
              <w:right w:val="single" w:sz="4" w:space="0" w:color="000000"/>
            </w:tcBorders>
            <w:shd w:val="clear" w:color="auto" w:fill="auto"/>
            <w:vAlign w:val="bottom"/>
          </w:tcPr>
          <w:p w14:paraId="7F7C8388" w14:textId="77777777" w:rsidR="003A3BCA" w:rsidRDefault="008276B6">
            <w:pPr>
              <w:jc w:val="right"/>
              <w:rPr>
                <w:rFonts w:ascii="Calibri" w:eastAsia="Calibri" w:hAnsi="Calibri" w:cs="Calibri"/>
                <w:color w:val="000000"/>
              </w:rPr>
            </w:pPr>
            <w:r>
              <w:rPr>
                <w:rFonts w:ascii="Calibri" w:eastAsia="Calibri" w:hAnsi="Calibri" w:cs="Calibri"/>
                <w:color w:val="000000"/>
              </w:rPr>
              <w:t>25</w:t>
            </w:r>
          </w:p>
        </w:tc>
        <w:tc>
          <w:tcPr>
            <w:tcW w:w="1904" w:type="dxa"/>
            <w:tcBorders>
              <w:top w:val="nil"/>
              <w:left w:val="nil"/>
              <w:bottom w:val="single" w:sz="4" w:space="0" w:color="000000"/>
              <w:right w:val="single" w:sz="4" w:space="0" w:color="000000"/>
            </w:tcBorders>
            <w:shd w:val="clear" w:color="auto" w:fill="auto"/>
            <w:vAlign w:val="bottom"/>
          </w:tcPr>
          <w:p w14:paraId="66CEF756" w14:textId="77777777" w:rsidR="003A3BCA" w:rsidRDefault="008276B6">
            <w:pPr>
              <w:rPr>
                <w:rFonts w:ascii="Calibri" w:eastAsia="Calibri" w:hAnsi="Calibri" w:cs="Calibri"/>
                <w:color w:val="000000"/>
              </w:rPr>
            </w:pPr>
            <w:r>
              <w:rPr>
                <w:rFonts w:ascii="Calibri" w:eastAsia="Calibri" w:hAnsi="Calibri" w:cs="Calibri"/>
                <w:color w:val="000000"/>
              </w:rPr>
              <w:t>2018/2019</w:t>
            </w:r>
          </w:p>
        </w:tc>
        <w:tc>
          <w:tcPr>
            <w:tcW w:w="1904" w:type="dxa"/>
            <w:tcBorders>
              <w:top w:val="nil"/>
              <w:left w:val="nil"/>
              <w:bottom w:val="single" w:sz="4" w:space="0" w:color="000000"/>
              <w:right w:val="single" w:sz="4" w:space="0" w:color="000000"/>
            </w:tcBorders>
            <w:shd w:val="clear" w:color="auto" w:fill="auto"/>
            <w:vAlign w:val="bottom"/>
          </w:tcPr>
          <w:p w14:paraId="2CF3839F" w14:textId="77777777" w:rsidR="003A3BCA" w:rsidRDefault="008276B6">
            <w:pPr>
              <w:jc w:val="right"/>
              <w:rPr>
                <w:rFonts w:ascii="Calibri" w:eastAsia="Calibri" w:hAnsi="Calibri" w:cs="Calibri"/>
                <w:color w:val="000000"/>
              </w:rPr>
            </w:pPr>
            <w:r>
              <w:rPr>
                <w:rFonts w:ascii="Calibri" w:eastAsia="Calibri" w:hAnsi="Calibri" w:cs="Calibri"/>
                <w:color w:val="000000"/>
              </w:rPr>
              <w:t>4</w:t>
            </w:r>
          </w:p>
        </w:tc>
        <w:tc>
          <w:tcPr>
            <w:tcW w:w="1904" w:type="dxa"/>
            <w:tcBorders>
              <w:top w:val="nil"/>
              <w:left w:val="nil"/>
              <w:bottom w:val="single" w:sz="4" w:space="0" w:color="000000"/>
              <w:right w:val="single" w:sz="4" w:space="0" w:color="000000"/>
            </w:tcBorders>
            <w:shd w:val="clear" w:color="auto" w:fill="A8D08D"/>
            <w:vAlign w:val="bottom"/>
          </w:tcPr>
          <w:p w14:paraId="150D3B63" w14:textId="77777777" w:rsidR="003A3BCA" w:rsidRDefault="008276B6">
            <w:pPr>
              <w:jc w:val="right"/>
              <w:rPr>
                <w:rFonts w:ascii="Calibri" w:eastAsia="Calibri" w:hAnsi="Calibri" w:cs="Calibri"/>
                <w:color w:val="000000"/>
              </w:rPr>
            </w:pPr>
            <w:r>
              <w:rPr>
                <w:rFonts w:ascii="Calibri" w:eastAsia="Calibri" w:hAnsi="Calibri" w:cs="Calibri"/>
                <w:color w:val="000000"/>
              </w:rPr>
              <w:t>3</w:t>
            </w:r>
          </w:p>
        </w:tc>
      </w:tr>
      <w:tr w:rsidR="003A3BCA" w14:paraId="12AA3E80" w14:textId="77777777">
        <w:trPr>
          <w:trHeight w:val="341"/>
        </w:trPr>
        <w:tc>
          <w:tcPr>
            <w:tcW w:w="1904" w:type="dxa"/>
            <w:tcBorders>
              <w:top w:val="nil"/>
              <w:left w:val="single" w:sz="4" w:space="0" w:color="000000"/>
              <w:bottom w:val="single" w:sz="4" w:space="0" w:color="000000"/>
              <w:right w:val="single" w:sz="4" w:space="0" w:color="000000"/>
            </w:tcBorders>
            <w:shd w:val="clear" w:color="auto" w:fill="auto"/>
            <w:vAlign w:val="bottom"/>
          </w:tcPr>
          <w:p w14:paraId="5DF63B3C" w14:textId="77777777" w:rsidR="003A3BCA" w:rsidRDefault="008276B6">
            <w:pPr>
              <w:rPr>
                <w:rFonts w:ascii="Calibri" w:eastAsia="Calibri" w:hAnsi="Calibri" w:cs="Calibri"/>
                <w:color w:val="000000"/>
              </w:rPr>
            </w:pPr>
            <w:r>
              <w:rPr>
                <w:rFonts w:ascii="Calibri" w:eastAsia="Calibri" w:hAnsi="Calibri" w:cs="Calibri"/>
                <w:color w:val="000000"/>
              </w:rPr>
              <w:t>Aaron Wan-</w:t>
            </w:r>
            <w:proofErr w:type="spellStart"/>
            <w:r>
              <w:rPr>
                <w:rFonts w:ascii="Calibri" w:eastAsia="Calibri" w:hAnsi="Calibri" w:cs="Calibri"/>
                <w:color w:val="000000"/>
              </w:rPr>
              <w:t>Bissaka</w:t>
            </w:r>
            <w:proofErr w:type="spellEnd"/>
          </w:p>
        </w:tc>
        <w:tc>
          <w:tcPr>
            <w:tcW w:w="1904" w:type="dxa"/>
            <w:tcBorders>
              <w:top w:val="nil"/>
              <w:left w:val="nil"/>
              <w:bottom w:val="single" w:sz="4" w:space="0" w:color="000000"/>
              <w:right w:val="single" w:sz="4" w:space="0" w:color="000000"/>
            </w:tcBorders>
            <w:shd w:val="clear" w:color="auto" w:fill="auto"/>
            <w:vAlign w:val="bottom"/>
          </w:tcPr>
          <w:p w14:paraId="4A4B59AB" w14:textId="77777777" w:rsidR="003A3BCA" w:rsidRDefault="008276B6">
            <w:pPr>
              <w:jc w:val="right"/>
              <w:rPr>
                <w:rFonts w:ascii="Calibri" w:eastAsia="Calibri" w:hAnsi="Calibri" w:cs="Calibri"/>
                <w:color w:val="000000"/>
              </w:rPr>
            </w:pPr>
            <w:r>
              <w:rPr>
                <w:rFonts w:ascii="Calibri" w:eastAsia="Calibri" w:hAnsi="Calibri" w:cs="Calibri"/>
                <w:color w:val="000000"/>
              </w:rPr>
              <w:t>21</w:t>
            </w:r>
          </w:p>
        </w:tc>
        <w:tc>
          <w:tcPr>
            <w:tcW w:w="1904" w:type="dxa"/>
            <w:tcBorders>
              <w:top w:val="nil"/>
              <w:left w:val="nil"/>
              <w:bottom w:val="single" w:sz="4" w:space="0" w:color="000000"/>
              <w:right w:val="single" w:sz="4" w:space="0" w:color="000000"/>
            </w:tcBorders>
            <w:shd w:val="clear" w:color="auto" w:fill="auto"/>
            <w:vAlign w:val="bottom"/>
          </w:tcPr>
          <w:p w14:paraId="47BBCC0A" w14:textId="77777777" w:rsidR="003A3BCA" w:rsidRDefault="008276B6">
            <w:pPr>
              <w:rPr>
                <w:rFonts w:ascii="Calibri" w:eastAsia="Calibri" w:hAnsi="Calibri" w:cs="Calibri"/>
                <w:color w:val="000000"/>
              </w:rPr>
            </w:pPr>
            <w:r>
              <w:rPr>
                <w:rFonts w:ascii="Calibri" w:eastAsia="Calibri" w:hAnsi="Calibri" w:cs="Calibri"/>
                <w:color w:val="000000"/>
              </w:rPr>
              <w:t>2019/2020</w:t>
            </w:r>
          </w:p>
        </w:tc>
        <w:tc>
          <w:tcPr>
            <w:tcW w:w="1904" w:type="dxa"/>
            <w:tcBorders>
              <w:top w:val="nil"/>
              <w:left w:val="nil"/>
              <w:bottom w:val="single" w:sz="4" w:space="0" w:color="000000"/>
              <w:right w:val="single" w:sz="4" w:space="0" w:color="000000"/>
            </w:tcBorders>
            <w:shd w:val="clear" w:color="auto" w:fill="auto"/>
            <w:vAlign w:val="bottom"/>
          </w:tcPr>
          <w:p w14:paraId="0A8F6A16" w14:textId="77777777" w:rsidR="003A3BCA" w:rsidRDefault="008276B6">
            <w:pPr>
              <w:jc w:val="right"/>
              <w:rPr>
                <w:rFonts w:ascii="Calibri" w:eastAsia="Calibri" w:hAnsi="Calibri" w:cs="Calibri"/>
                <w:color w:val="000000"/>
              </w:rPr>
            </w:pPr>
            <w:r>
              <w:rPr>
                <w:rFonts w:ascii="Calibri" w:eastAsia="Calibri" w:hAnsi="Calibri" w:cs="Calibri"/>
                <w:color w:val="000000"/>
              </w:rPr>
              <w:t>3</w:t>
            </w:r>
          </w:p>
        </w:tc>
        <w:tc>
          <w:tcPr>
            <w:tcW w:w="1904" w:type="dxa"/>
            <w:tcBorders>
              <w:top w:val="nil"/>
              <w:left w:val="nil"/>
              <w:bottom w:val="single" w:sz="4" w:space="0" w:color="000000"/>
              <w:right w:val="single" w:sz="4" w:space="0" w:color="000000"/>
            </w:tcBorders>
            <w:shd w:val="clear" w:color="auto" w:fill="A8D08D"/>
            <w:vAlign w:val="bottom"/>
          </w:tcPr>
          <w:p w14:paraId="3AE58849" w14:textId="77777777" w:rsidR="003A3BCA" w:rsidRDefault="008276B6">
            <w:pPr>
              <w:jc w:val="right"/>
              <w:rPr>
                <w:rFonts w:ascii="Calibri" w:eastAsia="Calibri" w:hAnsi="Calibri" w:cs="Calibri"/>
                <w:color w:val="000000"/>
              </w:rPr>
            </w:pPr>
            <w:r>
              <w:rPr>
                <w:rFonts w:ascii="Calibri" w:eastAsia="Calibri" w:hAnsi="Calibri" w:cs="Calibri"/>
                <w:color w:val="000000"/>
              </w:rPr>
              <w:t>4,3</w:t>
            </w:r>
          </w:p>
        </w:tc>
      </w:tr>
      <w:tr w:rsidR="003A3BCA" w14:paraId="244A4C41" w14:textId="77777777">
        <w:trPr>
          <w:trHeight w:val="341"/>
        </w:trPr>
        <w:tc>
          <w:tcPr>
            <w:tcW w:w="1904" w:type="dxa"/>
            <w:tcBorders>
              <w:top w:val="nil"/>
              <w:left w:val="single" w:sz="4" w:space="0" w:color="000000"/>
              <w:bottom w:val="single" w:sz="4" w:space="0" w:color="000000"/>
              <w:right w:val="single" w:sz="4" w:space="0" w:color="000000"/>
            </w:tcBorders>
            <w:shd w:val="clear" w:color="auto" w:fill="auto"/>
            <w:vAlign w:val="bottom"/>
          </w:tcPr>
          <w:p w14:paraId="282C7025" w14:textId="77777777" w:rsidR="003A3BCA" w:rsidRDefault="008276B6">
            <w:pPr>
              <w:rPr>
                <w:rFonts w:ascii="Calibri" w:eastAsia="Calibri" w:hAnsi="Calibri" w:cs="Calibri"/>
                <w:color w:val="000000"/>
              </w:rPr>
            </w:pPr>
            <w:r>
              <w:rPr>
                <w:rFonts w:ascii="Calibri" w:eastAsia="Calibri" w:hAnsi="Calibri" w:cs="Calibri"/>
                <w:color w:val="000000"/>
              </w:rPr>
              <w:t>Nemanja Matic</w:t>
            </w:r>
          </w:p>
        </w:tc>
        <w:tc>
          <w:tcPr>
            <w:tcW w:w="1904" w:type="dxa"/>
            <w:tcBorders>
              <w:top w:val="nil"/>
              <w:left w:val="nil"/>
              <w:bottom w:val="single" w:sz="4" w:space="0" w:color="000000"/>
              <w:right w:val="single" w:sz="4" w:space="0" w:color="000000"/>
            </w:tcBorders>
            <w:shd w:val="clear" w:color="auto" w:fill="auto"/>
            <w:vAlign w:val="bottom"/>
          </w:tcPr>
          <w:p w14:paraId="4BD70565" w14:textId="77777777" w:rsidR="003A3BCA" w:rsidRDefault="008276B6">
            <w:pPr>
              <w:jc w:val="right"/>
              <w:rPr>
                <w:rFonts w:ascii="Calibri" w:eastAsia="Calibri" w:hAnsi="Calibri" w:cs="Calibri"/>
                <w:color w:val="000000"/>
              </w:rPr>
            </w:pPr>
            <w:r>
              <w:rPr>
                <w:rFonts w:ascii="Calibri" w:eastAsia="Calibri" w:hAnsi="Calibri" w:cs="Calibri"/>
                <w:color w:val="000000"/>
              </w:rPr>
              <w:t>28</w:t>
            </w:r>
          </w:p>
        </w:tc>
        <w:tc>
          <w:tcPr>
            <w:tcW w:w="1904" w:type="dxa"/>
            <w:tcBorders>
              <w:top w:val="nil"/>
              <w:left w:val="nil"/>
              <w:bottom w:val="single" w:sz="4" w:space="0" w:color="000000"/>
              <w:right w:val="single" w:sz="4" w:space="0" w:color="000000"/>
            </w:tcBorders>
            <w:shd w:val="clear" w:color="auto" w:fill="auto"/>
            <w:vAlign w:val="bottom"/>
          </w:tcPr>
          <w:p w14:paraId="12F6D840" w14:textId="77777777" w:rsidR="003A3BCA" w:rsidRDefault="008276B6">
            <w:pPr>
              <w:rPr>
                <w:rFonts w:ascii="Calibri" w:eastAsia="Calibri" w:hAnsi="Calibri" w:cs="Calibri"/>
                <w:color w:val="000000"/>
              </w:rPr>
            </w:pPr>
            <w:r>
              <w:rPr>
                <w:rFonts w:ascii="Calibri" w:eastAsia="Calibri" w:hAnsi="Calibri" w:cs="Calibri"/>
                <w:color w:val="000000"/>
              </w:rPr>
              <w:t>2017/2018</w:t>
            </w:r>
          </w:p>
        </w:tc>
        <w:tc>
          <w:tcPr>
            <w:tcW w:w="1904" w:type="dxa"/>
            <w:tcBorders>
              <w:top w:val="nil"/>
              <w:left w:val="nil"/>
              <w:bottom w:val="single" w:sz="4" w:space="0" w:color="000000"/>
              <w:right w:val="single" w:sz="4" w:space="0" w:color="000000"/>
            </w:tcBorders>
            <w:shd w:val="clear" w:color="auto" w:fill="auto"/>
            <w:vAlign w:val="bottom"/>
          </w:tcPr>
          <w:p w14:paraId="22D2B996" w14:textId="77777777" w:rsidR="003A3BCA" w:rsidRDefault="008276B6">
            <w:pPr>
              <w:jc w:val="right"/>
              <w:rPr>
                <w:rFonts w:ascii="Calibri" w:eastAsia="Calibri" w:hAnsi="Calibri" w:cs="Calibri"/>
                <w:color w:val="000000"/>
              </w:rPr>
            </w:pPr>
            <w:r>
              <w:rPr>
                <w:rFonts w:ascii="Calibri" w:eastAsia="Calibri" w:hAnsi="Calibri" w:cs="Calibri"/>
                <w:color w:val="000000"/>
              </w:rPr>
              <w:t>5</w:t>
            </w:r>
          </w:p>
        </w:tc>
        <w:tc>
          <w:tcPr>
            <w:tcW w:w="1904" w:type="dxa"/>
            <w:tcBorders>
              <w:top w:val="nil"/>
              <w:left w:val="nil"/>
              <w:bottom w:val="single" w:sz="4" w:space="0" w:color="000000"/>
              <w:right w:val="single" w:sz="4" w:space="0" w:color="000000"/>
            </w:tcBorders>
            <w:shd w:val="clear" w:color="auto" w:fill="A8D08D"/>
            <w:vAlign w:val="bottom"/>
          </w:tcPr>
          <w:p w14:paraId="09267B06" w14:textId="77777777" w:rsidR="003A3BCA" w:rsidRDefault="008276B6">
            <w:pPr>
              <w:jc w:val="right"/>
              <w:rPr>
                <w:rFonts w:ascii="Calibri" w:eastAsia="Calibri" w:hAnsi="Calibri" w:cs="Calibri"/>
                <w:color w:val="000000"/>
              </w:rPr>
            </w:pPr>
            <w:r>
              <w:rPr>
                <w:rFonts w:ascii="Calibri" w:eastAsia="Calibri" w:hAnsi="Calibri" w:cs="Calibri"/>
                <w:color w:val="000000"/>
              </w:rPr>
              <w:t>2,8</w:t>
            </w:r>
          </w:p>
        </w:tc>
      </w:tr>
      <w:tr w:rsidR="003A3BCA" w14:paraId="454B87F0" w14:textId="77777777">
        <w:trPr>
          <w:trHeight w:val="341"/>
        </w:trPr>
        <w:tc>
          <w:tcPr>
            <w:tcW w:w="1904" w:type="dxa"/>
            <w:tcBorders>
              <w:top w:val="nil"/>
              <w:left w:val="single" w:sz="4" w:space="0" w:color="000000"/>
              <w:bottom w:val="single" w:sz="4" w:space="0" w:color="000000"/>
              <w:right w:val="single" w:sz="4" w:space="0" w:color="000000"/>
            </w:tcBorders>
            <w:shd w:val="clear" w:color="auto" w:fill="auto"/>
            <w:vAlign w:val="bottom"/>
          </w:tcPr>
          <w:p w14:paraId="515C207F" w14:textId="77777777" w:rsidR="003A3BCA" w:rsidRDefault="008276B6">
            <w:pPr>
              <w:rPr>
                <w:rFonts w:ascii="Calibri" w:eastAsia="Calibri" w:hAnsi="Calibri" w:cs="Calibri"/>
                <w:color w:val="000000"/>
              </w:rPr>
            </w:pPr>
            <w:r>
              <w:rPr>
                <w:rFonts w:ascii="Calibri" w:eastAsia="Calibri" w:hAnsi="Calibri" w:cs="Calibri"/>
                <w:color w:val="000000"/>
              </w:rPr>
              <w:t>Raphael Varane</w:t>
            </w:r>
          </w:p>
        </w:tc>
        <w:tc>
          <w:tcPr>
            <w:tcW w:w="1904" w:type="dxa"/>
            <w:tcBorders>
              <w:top w:val="nil"/>
              <w:left w:val="nil"/>
              <w:bottom w:val="single" w:sz="4" w:space="0" w:color="000000"/>
              <w:right w:val="single" w:sz="4" w:space="0" w:color="000000"/>
            </w:tcBorders>
            <w:shd w:val="clear" w:color="auto" w:fill="auto"/>
            <w:vAlign w:val="bottom"/>
          </w:tcPr>
          <w:p w14:paraId="56577B88" w14:textId="77777777" w:rsidR="003A3BCA" w:rsidRDefault="008276B6">
            <w:pPr>
              <w:jc w:val="right"/>
              <w:rPr>
                <w:rFonts w:ascii="Calibri" w:eastAsia="Calibri" w:hAnsi="Calibri" w:cs="Calibri"/>
                <w:color w:val="000000"/>
              </w:rPr>
            </w:pPr>
            <w:r>
              <w:rPr>
                <w:rFonts w:ascii="Calibri" w:eastAsia="Calibri" w:hAnsi="Calibri" w:cs="Calibri"/>
                <w:color w:val="000000"/>
              </w:rPr>
              <w:t>28</w:t>
            </w:r>
          </w:p>
        </w:tc>
        <w:tc>
          <w:tcPr>
            <w:tcW w:w="1904" w:type="dxa"/>
            <w:tcBorders>
              <w:top w:val="nil"/>
              <w:left w:val="nil"/>
              <w:bottom w:val="single" w:sz="4" w:space="0" w:color="000000"/>
              <w:right w:val="single" w:sz="4" w:space="0" w:color="000000"/>
            </w:tcBorders>
            <w:shd w:val="clear" w:color="auto" w:fill="auto"/>
            <w:vAlign w:val="bottom"/>
          </w:tcPr>
          <w:p w14:paraId="752AF09C" w14:textId="77777777" w:rsidR="003A3BCA" w:rsidRDefault="008276B6">
            <w:pPr>
              <w:rPr>
                <w:rFonts w:ascii="Calibri" w:eastAsia="Calibri" w:hAnsi="Calibri" w:cs="Calibri"/>
                <w:color w:val="000000"/>
              </w:rPr>
            </w:pPr>
            <w:r>
              <w:rPr>
                <w:rFonts w:ascii="Calibri" w:eastAsia="Calibri" w:hAnsi="Calibri" w:cs="Calibri"/>
                <w:color w:val="000000"/>
              </w:rPr>
              <w:t>2021/2022</w:t>
            </w:r>
          </w:p>
        </w:tc>
        <w:tc>
          <w:tcPr>
            <w:tcW w:w="1904" w:type="dxa"/>
            <w:tcBorders>
              <w:top w:val="nil"/>
              <w:left w:val="nil"/>
              <w:bottom w:val="single" w:sz="4" w:space="0" w:color="000000"/>
              <w:right w:val="single" w:sz="4" w:space="0" w:color="000000"/>
            </w:tcBorders>
            <w:shd w:val="clear" w:color="auto" w:fill="auto"/>
            <w:vAlign w:val="bottom"/>
          </w:tcPr>
          <w:p w14:paraId="0B5D9992" w14:textId="77777777" w:rsidR="003A3BCA" w:rsidRDefault="008276B6">
            <w:pPr>
              <w:jc w:val="right"/>
              <w:rPr>
                <w:rFonts w:ascii="Calibri" w:eastAsia="Calibri" w:hAnsi="Calibri" w:cs="Calibri"/>
                <w:color w:val="000000"/>
              </w:rPr>
            </w:pPr>
            <w:r>
              <w:rPr>
                <w:rFonts w:ascii="Calibri" w:eastAsia="Calibri" w:hAnsi="Calibri" w:cs="Calibri"/>
                <w:color w:val="000000"/>
              </w:rPr>
              <w:t>1</w:t>
            </w:r>
          </w:p>
        </w:tc>
        <w:tc>
          <w:tcPr>
            <w:tcW w:w="1904" w:type="dxa"/>
            <w:tcBorders>
              <w:top w:val="nil"/>
              <w:left w:val="nil"/>
              <w:bottom w:val="single" w:sz="4" w:space="0" w:color="000000"/>
              <w:right w:val="single" w:sz="4" w:space="0" w:color="000000"/>
            </w:tcBorders>
            <w:shd w:val="clear" w:color="auto" w:fill="A8D08D"/>
            <w:vAlign w:val="bottom"/>
          </w:tcPr>
          <w:p w14:paraId="20D9241F" w14:textId="77777777" w:rsidR="003A3BCA" w:rsidRDefault="008276B6">
            <w:pPr>
              <w:jc w:val="right"/>
              <w:rPr>
                <w:rFonts w:ascii="Calibri" w:eastAsia="Calibri" w:hAnsi="Calibri" w:cs="Calibri"/>
                <w:color w:val="000000"/>
              </w:rPr>
            </w:pPr>
            <w:r>
              <w:rPr>
                <w:rFonts w:ascii="Calibri" w:eastAsia="Calibri" w:hAnsi="Calibri" w:cs="Calibri"/>
                <w:color w:val="000000"/>
              </w:rPr>
              <w:t>4,1</w:t>
            </w:r>
          </w:p>
        </w:tc>
      </w:tr>
      <w:tr w:rsidR="003A3BCA" w14:paraId="5927AEC5" w14:textId="77777777">
        <w:trPr>
          <w:trHeight w:val="341"/>
        </w:trPr>
        <w:tc>
          <w:tcPr>
            <w:tcW w:w="1904" w:type="dxa"/>
            <w:tcBorders>
              <w:top w:val="nil"/>
              <w:left w:val="single" w:sz="4" w:space="0" w:color="000000"/>
              <w:bottom w:val="single" w:sz="4" w:space="0" w:color="000000"/>
              <w:right w:val="single" w:sz="4" w:space="0" w:color="000000"/>
            </w:tcBorders>
            <w:shd w:val="clear" w:color="auto" w:fill="auto"/>
            <w:vAlign w:val="bottom"/>
          </w:tcPr>
          <w:p w14:paraId="7DAAD162" w14:textId="77777777" w:rsidR="003A3BCA" w:rsidRDefault="008276B6">
            <w:pPr>
              <w:rPr>
                <w:rFonts w:ascii="Calibri" w:eastAsia="Calibri" w:hAnsi="Calibri" w:cs="Calibri"/>
                <w:color w:val="000000"/>
              </w:rPr>
            </w:pPr>
            <w:r>
              <w:rPr>
                <w:rFonts w:ascii="Calibri" w:eastAsia="Calibri" w:hAnsi="Calibri" w:cs="Calibri"/>
                <w:color w:val="000000"/>
              </w:rPr>
              <w:t>Donny van de Beek</w:t>
            </w:r>
          </w:p>
        </w:tc>
        <w:tc>
          <w:tcPr>
            <w:tcW w:w="1904" w:type="dxa"/>
            <w:tcBorders>
              <w:top w:val="nil"/>
              <w:left w:val="nil"/>
              <w:bottom w:val="single" w:sz="4" w:space="0" w:color="000000"/>
              <w:right w:val="single" w:sz="4" w:space="0" w:color="000000"/>
            </w:tcBorders>
            <w:shd w:val="clear" w:color="auto" w:fill="auto"/>
            <w:vAlign w:val="bottom"/>
          </w:tcPr>
          <w:p w14:paraId="1D2F9C95" w14:textId="77777777" w:rsidR="003A3BCA" w:rsidRDefault="008276B6">
            <w:pPr>
              <w:jc w:val="right"/>
              <w:rPr>
                <w:rFonts w:ascii="Calibri" w:eastAsia="Calibri" w:hAnsi="Calibri" w:cs="Calibri"/>
                <w:color w:val="000000"/>
              </w:rPr>
            </w:pPr>
            <w:r>
              <w:rPr>
                <w:rFonts w:ascii="Calibri" w:eastAsia="Calibri" w:hAnsi="Calibri" w:cs="Calibri"/>
                <w:color w:val="000000"/>
              </w:rPr>
              <w:t>23</w:t>
            </w:r>
          </w:p>
        </w:tc>
        <w:tc>
          <w:tcPr>
            <w:tcW w:w="1904" w:type="dxa"/>
            <w:tcBorders>
              <w:top w:val="nil"/>
              <w:left w:val="nil"/>
              <w:bottom w:val="single" w:sz="4" w:space="0" w:color="000000"/>
              <w:right w:val="single" w:sz="4" w:space="0" w:color="000000"/>
            </w:tcBorders>
            <w:shd w:val="clear" w:color="auto" w:fill="auto"/>
            <w:vAlign w:val="bottom"/>
          </w:tcPr>
          <w:p w14:paraId="4696BCE5" w14:textId="77777777" w:rsidR="003A3BCA" w:rsidRDefault="008276B6">
            <w:pPr>
              <w:rPr>
                <w:rFonts w:ascii="Calibri" w:eastAsia="Calibri" w:hAnsi="Calibri" w:cs="Calibri"/>
                <w:color w:val="000000"/>
              </w:rPr>
            </w:pPr>
            <w:r>
              <w:rPr>
                <w:rFonts w:ascii="Calibri" w:eastAsia="Calibri" w:hAnsi="Calibri" w:cs="Calibri"/>
                <w:color w:val="000000"/>
              </w:rPr>
              <w:t>2020/2021</w:t>
            </w:r>
          </w:p>
        </w:tc>
        <w:tc>
          <w:tcPr>
            <w:tcW w:w="1904" w:type="dxa"/>
            <w:tcBorders>
              <w:top w:val="nil"/>
              <w:left w:val="nil"/>
              <w:bottom w:val="single" w:sz="4" w:space="0" w:color="000000"/>
              <w:right w:val="single" w:sz="4" w:space="0" w:color="000000"/>
            </w:tcBorders>
            <w:shd w:val="clear" w:color="auto" w:fill="auto"/>
            <w:vAlign w:val="bottom"/>
          </w:tcPr>
          <w:p w14:paraId="1FD982F2" w14:textId="77777777" w:rsidR="003A3BCA" w:rsidRDefault="008276B6">
            <w:pPr>
              <w:jc w:val="right"/>
              <w:rPr>
                <w:rFonts w:ascii="Calibri" w:eastAsia="Calibri" w:hAnsi="Calibri" w:cs="Calibri"/>
                <w:color w:val="000000"/>
              </w:rPr>
            </w:pPr>
            <w:r>
              <w:rPr>
                <w:rFonts w:ascii="Calibri" w:eastAsia="Calibri" w:hAnsi="Calibri" w:cs="Calibri"/>
                <w:color w:val="000000"/>
              </w:rPr>
              <w:t>2</w:t>
            </w:r>
          </w:p>
        </w:tc>
        <w:tc>
          <w:tcPr>
            <w:tcW w:w="1904" w:type="dxa"/>
            <w:tcBorders>
              <w:top w:val="nil"/>
              <w:left w:val="nil"/>
              <w:bottom w:val="single" w:sz="4" w:space="0" w:color="000000"/>
              <w:right w:val="single" w:sz="4" w:space="0" w:color="000000"/>
            </w:tcBorders>
            <w:shd w:val="clear" w:color="auto" w:fill="A8D08D"/>
            <w:vAlign w:val="bottom"/>
          </w:tcPr>
          <w:p w14:paraId="76814B03" w14:textId="77777777" w:rsidR="003A3BCA" w:rsidRDefault="008276B6">
            <w:pPr>
              <w:jc w:val="right"/>
              <w:rPr>
                <w:rFonts w:ascii="Calibri" w:eastAsia="Calibri" w:hAnsi="Calibri" w:cs="Calibri"/>
                <w:color w:val="000000"/>
              </w:rPr>
            </w:pPr>
            <w:r>
              <w:rPr>
                <w:rFonts w:ascii="Calibri" w:eastAsia="Calibri" w:hAnsi="Calibri" w:cs="Calibri"/>
                <w:color w:val="000000"/>
              </w:rPr>
              <w:t>3,1</w:t>
            </w:r>
          </w:p>
        </w:tc>
      </w:tr>
    </w:tbl>
    <w:p w14:paraId="62689EFF" w14:textId="77777777" w:rsidR="003A3BCA" w:rsidRDefault="008276B6">
      <w:pPr>
        <w:pBdr>
          <w:top w:val="nil"/>
          <w:left w:val="nil"/>
          <w:bottom w:val="nil"/>
          <w:right w:val="nil"/>
          <w:between w:val="nil"/>
        </w:pBdr>
        <w:spacing w:after="200"/>
        <w:rPr>
          <w:rFonts w:ascii="Calibri" w:eastAsia="Calibri" w:hAnsi="Calibri" w:cs="Calibri"/>
          <w:i/>
          <w:color w:val="2F5496"/>
          <w:sz w:val="32"/>
          <w:szCs w:val="32"/>
        </w:rPr>
      </w:pPr>
      <w:r>
        <w:rPr>
          <w:rFonts w:ascii="Calibri" w:eastAsia="Calibri" w:hAnsi="Calibri" w:cs="Calibri"/>
          <w:i/>
          <w:color w:val="44546A"/>
          <w:sz w:val="18"/>
          <w:szCs w:val="18"/>
        </w:rPr>
        <w:t>Table 9. Player Evaluation Model applied to the rest of Manchester United's signings of interest from 2017 to 2022</w:t>
      </w:r>
    </w:p>
    <w:p w14:paraId="62A877E6" w14:textId="77777777" w:rsidR="003A3BCA" w:rsidRDefault="008276B6">
      <w:pPr>
        <w:spacing w:line="360" w:lineRule="auto"/>
        <w:ind w:firstLine="720"/>
        <w:jc w:val="both"/>
      </w:pPr>
      <w:r>
        <w:t xml:space="preserve">Table 9 shows the average grades that the rest of Manchester United’s signings of interest between 2017 and 2022 received. It must be noted that Antony, Casemiro, and Lisandro Martinez weren’t included in this table as they were signed in the summer of 2022 for the 2022/2023 season, and their grades will be evaluated individually later in the paper. </w:t>
      </w:r>
    </w:p>
    <w:tbl>
      <w:tblPr>
        <w:tblStyle w:val="a8"/>
        <w:tblW w:w="10103" w:type="dxa"/>
        <w:tblLayout w:type="fixed"/>
        <w:tblLook w:val="0400" w:firstRow="0" w:lastRow="0" w:firstColumn="0" w:lastColumn="0" w:noHBand="0" w:noVBand="1"/>
      </w:tblPr>
      <w:tblGrid>
        <w:gridCol w:w="1519"/>
        <w:gridCol w:w="1520"/>
        <w:gridCol w:w="1315"/>
        <w:gridCol w:w="1681"/>
        <w:gridCol w:w="1215"/>
        <w:gridCol w:w="951"/>
        <w:gridCol w:w="951"/>
        <w:gridCol w:w="951"/>
      </w:tblGrid>
      <w:tr w:rsidR="003A3BCA" w14:paraId="3754CA38" w14:textId="77777777" w:rsidTr="006771A1">
        <w:trPr>
          <w:trHeight w:val="276"/>
        </w:trPr>
        <w:tc>
          <w:tcPr>
            <w:tcW w:w="151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40C9588" w14:textId="77777777" w:rsidR="003A3BCA" w:rsidRDefault="008276B6">
            <w:pPr>
              <w:rPr>
                <w:rFonts w:ascii="Calibri" w:eastAsia="Calibri" w:hAnsi="Calibri" w:cs="Calibri"/>
                <w:color w:val="000000"/>
              </w:rPr>
            </w:pPr>
            <w:r>
              <w:rPr>
                <w:rFonts w:ascii="Calibri" w:eastAsia="Calibri" w:hAnsi="Calibri" w:cs="Calibri"/>
                <w:color w:val="000000"/>
              </w:rPr>
              <w:t>Player</w:t>
            </w:r>
          </w:p>
        </w:tc>
        <w:tc>
          <w:tcPr>
            <w:tcW w:w="1520" w:type="dxa"/>
            <w:tcBorders>
              <w:top w:val="single" w:sz="4" w:space="0" w:color="000000"/>
              <w:left w:val="nil"/>
              <w:bottom w:val="single" w:sz="4" w:space="0" w:color="000000"/>
              <w:right w:val="single" w:sz="4" w:space="0" w:color="000000"/>
            </w:tcBorders>
            <w:shd w:val="clear" w:color="auto" w:fill="auto"/>
            <w:vAlign w:val="bottom"/>
          </w:tcPr>
          <w:p w14:paraId="21D18096" w14:textId="77777777" w:rsidR="003A3BCA" w:rsidRDefault="008276B6">
            <w:pPr>
              <w:rPr>
                <w:rFonts w:ascii="Calibri" w:eastAsia="Calibri" w:hAnsi="Calibri" w:cs="Calibri"/>
                <w:color w:val="000000"/>
              </w:rPr>
            </w:pPr>
            <w:r>
              <w:rPr>
                <w:rFonts w:ascii="Calibri" w:eastAsia="Calibri" w:hAnsi="Calibri" w:cs="Calibri"/>
                <w:color w:val="000000"/>
              </w:rPr>
              <w:t>Season</w:t>
            </w:r>
          </w:p>
        </w:tc>
        <w:tc>
          <w:tcPr>
            <w:tcW w:w="1315" w:type="dxa"/>
            <w:tcBorders>
              <w:top w:val="single" w:sz="4" w:space="0" w:color="000000"/>
              <w:left w:val="nil"/>
              <w:bottom w:val="single" w:sz="4" w:space="0" w:color="000000"/>
              <w:right w:val="single" w:sz="4" w:space="0" w:color="000000"/>
            </w:tcBorders>
            <w:shd w:val="clear" w:color="auto" w:fill="auto"/>
            <w:vAlign w:val="bottom"/>
          </w:tcPr>
          <w:p w14:paraId="7D3ECFD5" w14:textId="77777777" w:rsidR="003A3BCA" w:rsidRDefault="008276B6">
            <w:pPr>
              <w:rPr>
                <w:rFonts w:ascii="Calibri" w:eastAsia="Calibri" w:hAnsi="Calibri" w:cs="Calibri"/>
                <w:color w:val="000000"/>
              </w:rPr>
            </w:pPr>
            <w:r>
              <w:rPr>
                <w:rFonts w:ascii="Calibri" w:eastAsia="Calibri" w:hAnsi="Calibri" w:cs="Calibri"/>
                <w:color w:val="000000"/>
              </w:rPr>
              <w:t>Position</w:t>
            </w:r>
          </w:p>
        </w:tc>
        <w:tc>
          <w:tcPr>
            <w:tcW w:w="1681" w:type="dxa"/>
            <w:tcBorders>
              <w:top w:val="single" w:sz="4" w:space="0" w:color="000000"/>
              <w:left w:val="nil"/>
              <w:bottom w:val="single" w:sz="4" w:space="0" w:color="000000"/>
              <w:right w:val="single" w:sz="4" w:space="0" w:color="000000"/>
            </w:tcBorders>
            <w:shd w:val="clear" w:color="auto" w:fill="auto"/>
            <w:vAlign w:val="bottom"/>
          </w:tcPr>
          <w:p w14:paraId="6DB81A4F" w14:textId="77777777" w:rsidR="003A3BCA" w:rsidRDefault="008276B6">
            <w:pPr>
              <w:rPr>
                <w:rFonts w:ascii="Calibri" w:eastAsia="Calibri" w:hAnsi="Calibri" w:cs="Calibri"/>
                <w:color w:val="000000"/>
              </w:rPr>
            </w:pPr>
            <w:r>
              <w:rPr>
                <w:rFonts w:ascii="Calibri" w:eastAsia="Calibri" w:hAnsi="Calibri" w:cs="Calibri"/>
                <w:color w:val="000000"/>
              </w:rPr>
              <w:t>Leading DEF Attribute</w:t>
            </w:r>
          </w:p>
        </w:tc>
        <w:tc>
          <w:tcPr>
            <w:tcW w:w="1215" w:type="dxa"/>
            <w:tcBorders>
              <w:top w:val="single" w:sz="4" w:space="0" w:color="000000"/>
              <w:left w:val="nil"/>
              <w:bottom w:val="single" w:sz="4" w:space="0" w:color="000000"/>
              <w:right w:val="single" w:sz="4" w:space="0" w:color="000000"/>
            </w:tcBorders>
            <w:shd w:val="clear" w:color="auto" w:fill="auto"/>
            <w:vAlign w:val="bottom"/>
          </w:tcPr>
          <w:p w14:paraId="4AD63352" w14:textId="77777777" w:rsidR="003A3BCA" w:rsidRDefault="008276B6">
            <w:pPr>
              <w:rPr>
                <w:rFonts w:ascii="Calibri" w:eastAsia="Calibri" w:hAnsi="Calibri" w:cs="Calibri"/>
                <w:color w:val="000000"/>
              </w:rPr>
            </w:pPr>
            <w:r>
              <w:rPr>
                <w:rFonts w:ascii="Calibri" w:eastAsia="Calibri" w:hAnsi="Calibri" w:cs="Calibri"/>
                <w:color w:val="000000"/>
              </w:rPr>
              <w:t>Percentile</w:t>
            </w:r>
          </w:p>
        </w:tc>
        <w:tc>
          <w:tcPr>
            <w:tcW w:w="951" w:type="dxa"/>
            <w:tcBorders>
              <w:top w:val="single" w:sz="4" w:space="0" w:color="000000"/>
              <w:left w:val="nil"/>
              <w:bottom w:val="single" w:sz="4" w:space="0" w:color="000000"/>
              <w:right w:val="single" w:sz="4" w:space="0" w:color="000000"/>
            </w:tcBorders>
            <w:shd w:val="clear" w:color="auto" w:fill="auto"/>
            <w:vAlign w:val="bottom"/>
          </w:tcPr>
          <w:p w14:paraId="167BBCEA" w14:textId="77777777" w:rsidR="003A3BCA" w:rsidRDefault="008276B6">
            <w:pPr>
              <w:rPr>
                <w:rFonts w:ascii="Calibri" w:eastAsia="Calibri" w:hAnsi="Calibri" w:cs="Calibri"/>
                <w:color w:val="000000"/>
              </w:rPr>
            </w:pPr>
            <w:r>
              <w:rPr>
                <w:rFonts w:ascii="Calibri" w:eastAsia="Calibri" w:hAnsi="Calibri" w:cs="Calibri"/>
                <w:color w:val="000000"/>
              </w:rPr>
              <w:t>Avg MID</w:t>
            </w:r>
          </w:p>
        </w:tc>
        <w:tc>
          <w:tcPr>
            <w:tcW w:w="951" w:type="dxa"/>
            <w:tcBorders>
              <w:top w:val="single" w:sz="4" w:space="0" w:color="000000"/>
              <w:left w:val="nil"/>
              <w:bottom w:val="single" w:sz="4" w:space="0" w:color="000000"/>
              <w:right w:val="single" w:sz="4" w:space="0" w:color="000000"/>
            </w:tcBorders>
            <w:shd w:val="clear" w:color="auto" w:fill="auto"/>
            <w:vAlign w:val="bottom"/>
          </w:tcPr>
          <w:p w14:paraId="240B149B" w14:textId="77777777" w:rsidR="003A3BCA" w:rsidRDefault="008276B6">
            <w:pPr>
              <w:rPr>
                <w:rFonts w:ascii="Calibri" w:eastAsia="Calibri" w:hAnsi="Calibri" w:cs="Calibri"/>
                <w:color w:val="000000"/>
              </w:rPr>
            </w:pPr>
            <w:r>
              <w:rPr>
                <w:rFonts w:ascii="Calibri" w:eastAsia="Calibri" w:hAnsi="Calibri" w:cs="Calibri"/>
                <w:color w:val="000000"/>
              </w:rPr>
              <w:t>Avg ATT</w:t>
            </w:r>
          </w:p>
        </w:tc>
        <w:tc>
          <w:tcPr>
            <w:tcW w:w="951" w:type="dxa"/>
            <w:tcBorders>
              <w:top w:val="single" w:sz="4" w:space="0" w:color="000000"/>
              <w:left w:val="nil"/>
              <w:bottom w:val="single" w:sz="4" w:space="0" w:color="000000"/>
              <w:right w:val="single" w:sz="4" w:space="0" w:color="000000"/>
            </w:tcBorders>
            <w:shd w:val="clear" w:color="auto" w:fill="auto"/>
            <w:vAlign w:val="bottom"/>
          </w:tcPr>
          <w:p w14:paraId="58224F9B" w14:textId="77777777" w:rsidR="003A3BCA" w:rsidRDefault="008276B6">
            <w:pPr>
              <w:rPr>
                <w:rFonts w:ascii="Calibri" w:eastAsia="Calibri" w:hAnsi="Calibri" w:cs="Calibri"/>
                <w:color w:val="000000"/>
              </w:rPr>
            </w:pPr>
            <w:r>
              <w:rPr>
                <w:rFonts w:ascii="Calibri" w:eastAsia="Calibri" w:hAnsi="Calibri" w:cs="Calibri"/>
                <w:color w:val="000000"/>
              </w:rPr>
              <w:t>Grade</w:t>
            </w:r>
          </w:p>
        </w:tc>
      </w:tr>
      <w:tr w:rsidR="003A3BCA" w14:paraId="5CE74CBA" w14:textId="77777777" w:rsidTr="006771A1">
        <w:trPr>
          <w:trHeight w:val="276"/>
        </w:trPr>
        <w:tc>
          <w:tcPr>
            <w:tcW w:w="1519" w:type="dxa"/>
            <w:tcBorders>
              <w:top w:val="nil"/>
              <w:left w:val="single" w:sz="4" w:space="0" w:color="000000"/>
              <w:bottom w:val="single" w:sz="4" w:space="0" w:color="000000"/>
              <w:right w:val="single" w:sz="4" w:space="0" w:color="000000"/>
            </w:tcBorders>
            <w:shd w:val="clear" w:color="auto" w:fill="auto"/>
            <w:vAlign w:val="bottom"/>
          </w:tcPr>
          <w:p w14:paraId="4ADEA92D" w14:textId="77777777" w:rsidR="003A3BCA" w:rsidRDefault="008276B6">
            <w:pPr>
              <w:rPr>
                <w:rFonts w:ascii="Calibri" w:eastAsia="Calibri" w:hAnsi="Calibri" w:cs="Calibri"/>
                <w:color w:val="000000"/>
              </w:rPr>
            </w:pPr>
            <w:r>
              <w:rPr>
                <w:rFonts w:ascii="Calibri" w:eastAsia="Calibri" w:hAnsi="Calibri" w:cs="Calibri"/>
                <w:color w:val="000000"/>
              </w:rPr>
              <w:t>Harry Maguire</w:t>
            </w:r>
          </w:p>
        </w:tc>
        <w:tc>
          <w:tcPr>
            <w:tcW w:w="1520" w:type="dxa"/>
            <w:tcBorders>
              <w:top w:val="nil"/>
              <w:left w:val="nil"/>
              <w:bottom w:val="single" w:sz="4" w:space="0" w:color="000000"/>
              <w:right w:val="single" w:sz="4" w:space="0" w:color="000000"/>
            </w:tcBorders>
            <w:shd w:val="clear" w:color="auto" w:fill="auto"/>
            <w:vAlign w:val="bottom"/>
          </w:tcPr>
          <w:p w14:paraId="5B0CED3A" w14:textId="77777777" w:rsidR="003A3BCA" w:rsidRDefault="008276B6">
            <w:pPr>
              <w:rPr>
                <w:rFonts w:ascii="Calibri" w:eastAsia="Calibri" w:hAnsi="Calibri" w:cs="Calibri"/>
                <w:color w:val="000000"/>
              </w:rPr>
            </w:pPr>
            <w:r>
              <w:rPr>
                <w:rFonts w:ascii="Calibri" w:eastAsia="Calibri" w:hAnsi="Calibri" w:cs="Calibri"/>
                <w:color w:val="000000"/>
              </w:rPr>
              <w:t>2019/2020</w:t>
            </w:r>
          </w:p>
        </w:tc>
        <w:tc>
          <w:tcPr>
            <w:tcW w:w="1315" w:type="dxa"/>
            <w:tcBorders>
              <w:top w:val="nil"/>
              <w:left w:val="nil"/>
              <w:bottom w:val="single" w:sz="4" w:space="0" w:color="000000"/>
              <w:right w:val="single" w:sz="4" w:space="0" w:color="000000"/>
            </w:tcBorders>
            <w:shd w:val="clear" w:color="auto" w:fill="auto"/>
            <w:vAlign w:val="bottom"/>
          </w:tcPr>
          <w:p w14:paraId="19F5A7A9" w14:textId="77777777" w:rsidR="003A3BCA" w:rsidRDefault="008276B6">
            <w:pPr>
              <w:rPr>
                <w:rFonts w:ascii="Calibri" w:eastAsia="Calibri" w:hAnsi="Calibri" w:cs="Calibri"/>
                <w:color w:val="000000"/>
              </w:rPr>
            </w:pPr>
            <w:r>
              <w:rPr>
                <w:rFonts w:ascii="Calibri" w:eastAsia="Calibri" w:hAnsi="Calibri" w:cs="Calibri"/>
                <w:color w:val="000000"/>
              </w:rPr>
              <w:t>Central Defender</w:t>
            </w:r>
          </w:p>
        </w:tc>
        <w:tc>
          <w:tcPr>
            <w:tcW w:w="1681" w:type="dxa"/>
            <w:tcBorders>
              <w:top w:val="nil"/>
              <w:left w:val="nil"/>
              <w:bottom w:val="single" w:sz="4" w:space="0" w:color="000000"/>
              <w:right w:val="single" w:sz="4" w:space="0" w:color="000000"/>
            </w:tcBorders>
            <w:shd w:val="clear" w:color="auto" w:fill="auto"/>
            <w:vAlign w:val="bottom"/>
          </w:tcPr>
          <w:p w14:paraId="002DACDB" w14:textId="77777777" w:rsidR="003A3BCA" w:rsidRDefault="008276B6">
            <w:pPr>
              <w:rPr>
                <w:rFonts w:ascii="Calibri" w:eastAsia="Calibri" w:hAnsi="Calibri" w:cs="Calibri"/>
                <w:color w:val="000000"/>
              </w:rPr>
            </w:pPr>
            <w:r>
              <w:rPr>
                <w:rFonts w:ascii="Calibri" w:eastAsia="Calibri" w:hAnsi="Calibri" w:cs="Calibri"/>
                <w:color w:val="000000"/>
              </w:rPr>
              <w:t>Interceptions</w:t>
            </w:r>
          </w:p>
        </w:tc>
        <w:tc>
          <w:tcPr>
            <w:tcW w:w="1215" w:type="dxa"/>
            <w:tcBorders>
              <w:top w:val="nil"/>
              <w:left w:val="nil"/>
              <w:bottom w:val="single" w:sz="4" w:space="0" w:color="000000"/>
              <w:right w:val="single" w:sz="4" w:space="0" w:color="000000"/>
            </w:tcBorders>
            <w:shd w:val="clear" w:color="auto" w:fill="auto"/>
            <w:vAlign w:val="bottom"/>
          </w:tcPr>
          <w:p w14:paraId="734CF258" w14:textId="77777777" w:rsidR="003A3BCA" w:rsidRDefault="008276B6">
            <w:pPr>
              <w:jc w:val="right"/>
              <w:rPr>
                <w:rFonts w:ascii="Calibri" w:eastAsia="Calibri" w:hAnsi="Calibri" w:cs="Calibri"/>
                <w:color w:val="000000"/>
              </w:rPr>
            </w:pPr>
            <w:r>
              <w:rPr>
                <w:rFonts w:ascii="Calibri" w:eastAsia="Calibri" w:hAnsi="Calibri" w:cs="Calibri"/>
                <w:color w:val="000000"/>
              </w:rPr>
              <w:t>88</w:t>
            </w:r>
          </w:p>
        </w:tc>
        <w:tc>
          <w:tcPr>
            <w:tcW w:w="951" w:type="dxa"/>
            <w:tcBorders>
              <w:top w:val="nil"/>
              <w:left w:val="nil"/>
              <w:bottom w:val="single" w:sz="4" w:space="0" w:color="000000"/>
              <w:right w:val="single" w:sz="4" w:space="0" w:color="000000"/>
            </w:tcBorders>
            <w:shd w:val="clear" w:color="auto" w:fill="auto"/>
            <w:vAlign w:val="bottom"/>
          </w:tcPr>
          <w:p w14:paraId="69FA214A" w14:textId="77777777" w:rsidR="003A3BCA" w:rsidRDefault="008276B6">
            <w:pPr>
              <w:jc w:val="right"/>
              <w:rPr>
                <w:rFonts w:ascii="Calibri" w:eastAsia="Calibri" w:hAnsi="Calibri" w:cs="Calibri"/>
                <w:color w:val="000000"/>
              </w:rPr>
            </w:pPr>
            <w:r>
              <w:rPr>
                <w:rFonts w:ascii="Calibri" w:eastAsia="Calibri" w:hAnsi="Calibri" w:cs="Calibri"/>
                <w:color w:val="000000"/>
              </w:rPr>
              <w:t>76</w:t>
            </w:r>
          </w:p>
        </w:tc>
        <w:tc>
          <w:tcPr>
            <w:tcW w:w="951" w:type="dxa"/>
            <w:tcBorders>
              <w:top w:val="nil"/>
              <w:left w:val="nil"/>
              <w:bottom w:val="single" w:sz="4" w:space="0" w:color="000000"/>
              <w:right w:val="single" w:sz="4" w:space="0" w:color="000000"/>
            </w:tcBorders>
            <w:shd w:val="clear" w:color="auto" w:fill="auto"/>
            <w:vAlign w:val="bottom"/>
          </w:tcPr>
          <w:p w14:paraId="3BDBFDC2" w14:textId="77777777" w:rsidR="003A3BCA" w:rsidRDefault="008276B6">
            <w:pPr>
              <w:rPr>
                <w:rFonts w:ascii="Calibri" w:eastAsia="Calibri" w:hAnsi="Calibri" w:cs="Calibri"/>
                <w:color w:val="000000"/>
              </w:rPr>
            </w:pPr>
            <w:r>
              <w:rPr>
                <w:rFonts w:ascii="Calibri" w:eastAsia="Calibri" w:hAnsi="Calibri" w:cs="Calibri"/>
                <w:color w:val="000000"/>
              </w:rPr>
              <w:t> </w:t>
            </w:r>
          </w:p>
        </w:tc>
        <w:tc>
          <w:tcPr>
            <w:tcW w:w="951" w:type="dxa"/>
            <w:tcBorders>
              <w:top w:val="nil"/>
              <w:left w:val="nil"/>
              <w:bottom w:val="single" w:sz="4" w:space="0" w:color="000000"/>
              <w:right w:val="single" w:sz="4" w:space="0" w:color="000000"/>
            </w:tcBorders>
            <w:shd w:val="clear" w:color="auto" w:fill="auto"/>
            <w:vAlign w:val="bottom"/>
          </w:tcPr>
          <w:p w14:paraId="01A2C835" w14:textId="77777777" w:rsidR="003A3BCA" w:rsidRDefault="008276B6">
            <w:pPr>
              <w:jc w:val="right"/>
              <w:rPr>
                <w:rFonts w:ascii="Calibri" w:eastAsia="Calibri" w:hAnsi="Calibri" w:cs="Calibri"/>
                <w:color w:val="000000"/>
              </w:rPr>
            </w:pPr>
            <w:r>
              <w:rPr>
                <w:rFonts w:ascii="Calibri" w:eastAsia="Calibri" w:hAnsi="Calibri" w:cs="Calibri"/>
                <w:color w:val="000000"/>
              </w:rPr>
              <w:t>4,43</w:t>
            </w:r>
          </w:p>
        </w:tc>
      </w:tr>
      <w:tr w:rsidR="003A3BCA" w14:paraId="00B12FF2" w14:textId="77777777" w:rsidTr="006771A1">
        <w:trPr>
          <w:trHeight w:val="276"/>
        </w:trPr>
        <w:tc>
          <w:tcPr>
            <w:tcW w:w="1519" w:type="dxa"/>
            <w:tcBorders>
              <w:top w:val="nil"/>
              <w:left w:val="single" w:sz="4" w:space="0" w:color="000000"/>
              <w:bottom w:val="single" w:sz="4" w:space="0" w:color="000000"/>
              <w:right w:val="single" w:sz="4" w:space="0" w:color="000000"/>
            </w:tcBorders>
            <w:shd w:val="clear" w:color="auto" w:fill="auto"/>
            <w:vAlign w:val="bottom"/>
          </w:tcPr>
          <w:p w14:paraId="3077739C" w14:textId="77777777" w:rsidR="003A3BCA" w:rsidRDefault="008276B6">
            <w:pPr>
              <w:rPr>
                <w:rFonts w:ascii="Calibri" w:eastAsia="Calibri" w:hAnsi="Calibri" w:cs="Calibri"/>
                <w:color w:val="000000"/>
              </w:rPr>
            </w:pPr>
            <w:r>
              <w:rPr>
                <w:rFonts w:ascii="Calibri" w:eastAsia="Calibri" w:hAnsi="Calibri" w:cs="Calibri"/>
                <w:color w:val="000000"/>
              </w:rPr>
              <w:t> </w:t>
            </w:r>
          </w:p>
        </w:tc>
        <w:tc>
          <w:tcPr>
            <w:tcW w:w="1520" w:type="dxa"/>
            <w:tcBorders>
              <w:top w:val="nil"/>
              <w:left w:val="nil"/>
              <w:bottom w:val="single" w:sz="4" w:space="0" w:color="000000"/>
              <w:right w:val="single" w:sz="4" w:space="0" w:color="000000"/>
            </w:tcBorders>
            <w:shd w:val="clear" w:color="auto" w:fill="auto"/>
            <w:vAlign w:val="bottom"/>
          </w:tcPr>
          <w:p w14:paraId="719AE629" w14:textId="77777777" w:rsidR="003A3BCA" w:rsidRDefault="008276B6">
            <w:pPr>
              <w:rPr>
                <w:rFonts w:ascii="Calibri" w:eastAsia="Calibri" w:hAnsi="Calibri" w:cs="Calibri"/>
                <w:color w:val="000000"/>
              </w:rPr>
            </w:pPr>
            <w:r>
              <w:rPr>
                <w:rFonts w:ascii="Calibri" w:eastAsia="Calibri" w:hAnsi="Calibri" w:cs="Calibri"/>
                <w:color w:val="000000"/>
              </w:rPr>
              <w:t>2020/2021</w:t>
            </w:r>
          </w:p>
        </w:tc>
        <w:tc>
          <w:tcPr>
            <w:tcW w:w="1315" w:type="dxa"/>
            <w:tcBorders>
              <w:top w:val="nil"/>
              <w:left w:val="nil"/>
              <w:bottom w:val="single" w:sz="4" w:space="0" w:color="000000"/>
              <w:right w:val="single" w:sz="4" w:space="0" w:color="000000"/>
            </w:tcBorders>
            <w:shd w:val="clear" w:color="auto" w:fill="auto"/>
            <w:vAlign w:val="bottom"/>
          </w:tcPr>
          <w:p w14:paraId="5E7C9F77" w14:textId="77777777" w:rsidR="003A3BCA" w:rsidRDefault="008276B6">
            <w:pPr>
              <w:rPr>
                <w:rFonts w:ascii="Calibri" w:eastAsia="Calibri" w:hAnsi="Calibri" w:cs="Calibri"/>
                <w:color w:val="000000"/>
              </w:rPr>
            </w:pPr>
            <w:r>
              <w:rPr>
                <w:rFonts w:ascii="Calibri" w:eastAsia="Calibri" w:hAnsi="Calibri" w:cs="Calibri"/>
                <w:color w:val="000000"/>
              </w:rPr>
              <w:t> </w:t>
            </w:r>
          </w:p>
        </w:tc>
        <w:tc>
          <w:tcPr>
            <w:tcW w:w="1681" w:type="dxa"/>
            <w:tcBorders>
              <w:top w:val="nil"/>
              <w:left w:val="nil"/>
              <w:bottom w:val="single" w:sz="4" w:space="0" w:color="000000"/>
              <w:right w:val="single" w:sz="4" w:space="0" w:color="000000"/>
            </w:tcBorders>
            <w:shd w:val="clear" w:color="auto" w:fill="auto"/>
            <w:vAlign w:val="bottom"/>
          </w:tcPr>
          <w:p w14:paraId="6DFE79B6" w14:textId="77777777" w:rsidR="003A3BCA" w:rsidRDefault="008276B6">
            <w:pPr>
              <w:rPr>
                <w:rFonts w:ascii="Calibri" w:eastAsia="Calibri" w:hAnsi="Calibri" w:cs="Calibri"/>
                <w:color w:val="000000"/>
              </w:rPr>
            </w:pPr>
            <w:r>
              <w:rPr>
                <w:rFonts w:ascii="Calibri" w:eastAsia="Calibri" w:hAnsi="Calibri" w:cs="Calibri"/>
                <w:color w:val="000000"/>
              </w:rPr>
              <w:t xml:space="preserve">% </w:t>
            </w:r>
            <w:proofErr w:type="gramStart"/>
            <w:r>
              <w:rPr>
                <w:rFonts w:ascii="Calibri" w:eastAsia="Calibri" w:hAnsi="Calibri" w:cs="Calibri"/>
                <w:color w:val="000000"/>
              </w:rPr>
              <w:t>of</w:t>
            </w:r>
            <w:proofErr w:type="gramEnd"/>
            <w:r>
              <w:rPr>
                <w:rFonts w:ascii="Calibri" w:eastAsia="Calibri" w:hAnsi="Calibri" w:cs="Calibri"/>
                <w:color w:val="000000"/>
              </w:rPr>
              <w:t xml:space="preserve"> Aerials Won</w:t>
            </w:r>
          </w:p>
        </w:tc>
        <w:tc>
          <w:tcPr>
            <w:tcW w:w="1215" w:type="dxa"/>
            <w:tcBorders>
              <w:top w:val="nil"/>
              <w:left w:val="nil"/>
              <w:bottom w:val="single" w:sz="4" w:space="0" w:color="000000"/>
              <w:right w:val="single" w:sz="4" w:space="0" w:color="000000"/>
            </w:tcBorders>
            <w:shd w:val="clear" w:color="auto" w:fill="auto"/>
            <w:vAlign w:val="bottom"/>
          </w:tcPr>
          <w:p w14:paraId="56902105" w14:textId="77777777" w:rsidR="003A3BCA" w:rsidRDefault="008276B6">
            <w:pPr>
              <w:jc w:val="right"/>
              <w:rPr>
                <w:rFonts w:ascii="Calibri" w:eastAsia="Calibri" w:hAnsi="Calibri" w:cs="Calibri"/>
                <w:color w:val="000000"/>
              </w:rPr>
            </w:pPr>
            <w:r>
              <w:rPr>
                <w:rFonts w:ascii="Calibri" w:eastAsia="Calibri" w:hAnsi="Calibri" w:cs="Calibri"/>
                <w:color w:val="000000"/>
              </w:rPr>
              <w:t>98</w:t>
            </w:r>
          </w:p>
        </w:tc>
        <w:tc>
          <w:tcPr>
            <w:tcW w:w="951" w:type="dxa"/>
            <w:tcBorders>
              <w:top w:val="nil"/>
              <w:left w:val="nil"/>
              <w:bottom w:val="single" w:sz="4" w:space="0" w:color="000000"/>
              <w:right w:val="single" w:sz="4" w:space="0" w:color="000000"/>
            </w:tcBorders>
            <w:shd w:val="clear" w:color="auto" w:fill="auto"/>
            <w:vAlign w:val="bottom"/>
          </w:tcPr>
          <w:p w14:paraId="724F97DA" w14:textId="77777777" w:rsidR="003A3BCA" w:rsidRDefault="008276B6">
            <w:pPr>
              <w:jc w:val="right"/>
              <w:rPr>
                <w:rFonts w:ascii="Calibri" w:eastAsia="Calibri" w:hAnsi="Calibri" w:cs="Calibri"/>
                <w:color w:val="000000"/>
              </w:rPr>
            </w:pPr>
            <w:r>
              <w:rPr>
                <w:rFonts w:ascii="Calibri" w:eastAsia="Calibri" w:hAnsi="Calibri" w:cs="Calibri"/>
                <w:color w:val="000000"/>
              </w:rPr>
              <w:t>78</w:t>
            </w:r>
          </w:p>
        </w:tc>
        <w:tc>
          <w:tcPr>
            <w:tcW w:w="951" w:type="dxa"/>
            <w:tcBorders>
              <w:top w:val="nil"/>
              <w:left w:val="nil"/>
              <w:bottom w:val="single" w:sz="4" w:space="0" w:color="000000"/>
              <w:right w:val="single" w:sz="4" w:space="0" w:color="000000"/>
            </w:tcBorders>
            <w:shd w:val="clear" w:color="auto" w:fill="auto"/>
            <w:vAlign w:val="bottom"/>
          </w:tcPr>
          <w:p w14:paraId="72817AA2" w14:textId="77777777" w:rsidR="003A3BCA" w:rsidRDefault="008276B6">
            <w:pPr>
              <w:rPr>
                <w:rFonts w:ascii="Calibri" w:eastAsia="Calibri" w:hAnsi="Calibri" w:cs="Calibri"/>
                <w:color w:val="000000"/>
              </w:rPr>
            </w:pPr>
            <w:r>
              <w:rPr>
                <w:rFonts w:ascii="Calibri" w:eastAsia="Calibri" w:hAnsi="Calibri" w:cs="Calibri"/>
                <w:color w:val="000000"/>
              </w:rPr>
              <w:t> </w:t>
            </w:r>
          </w:p>
        </w:tc>
        <w:tc>
          <w:tcPr>
            <w:tcW w:w="951" w:type="dxa"/>
            <w:tcBorders>
              <w:top w:val="nil"/>
              <w:left w:val="nil"/>
              <w:bottom w:val="single" w:sz="4" w:space="0" w:color="000000"/>
              <w:right w:val="single" w:sz="4" w:space="0" w:color="000000"/>
            </w:tcBorders>
            <w:shd w:val="clear" w:color="auto" w:fill="auto"/>
            <w:vAlign w:val="bottom"/>
          </w:tcPr>
          <w:p w14:paraId="6C4A7D2E" w14:textId="77777777" w:rsidR="003A3BCA" w:rsidRDefault="008276B6">
            <w:pPr>
              <w:jc w:val="right"/>
              <w:rPr>
                <w:rFonts w:ascii="Calibri" w:eastAsia="Calibri" w:hAnsi="Calibri" w:cs="Calibri"/>
                <w:color w:val="000000"/>
              </w:rPr>
            </w:pPr>
            <w:r>
              <w:rPr>
                <w:rFonts w:ascii="Calibri" w:eastAsia="Calibri" w:hAnsi="Calibri" w:cs="Calibri"/>
                <w:color w:val="000000"/>
              </w:rPr>
              <w:t>4,85</w:t>
            </w:r>
          </w:p>
        </w:tc>
      </w:tr>
      <w:tr w:rsidR="003A3BCA" w14:paraId="08164356" w14:textId="77777777" w:rsidTr="006771A1">
        <w:trPr>
          <w:trHeight w:val="276"/>
        </w:trPr>
        <w:tc>
          <w:tcPr>
            <w:tcW w:w="1519" w:type="dxa"/>
            <w:tcBorders>
              <w:top w:val="nil"/>
              <w:left w:val="single" w:sz="4" w:space="0" w:color="000000"/>
              <w:bottom w:val="single" w:sz="4" w:space="0" w:color="000000"/>
              <w:right w:val="single" w:sz="4" w:space="0" w:color="000000"/>
            </w:tcBorders>
            <w:shd w:val="clear" w:color="auto" w:fill="auto"/>
            <w:vAlign w:val="bottom"/>
          </w:tcPr>
          <w:p w14:paraId="28890F7D" w14:textId="77777777" w:rsidR="003A3BCA" w:rsidRDefault="008276B6">
            <w:pPr>
              <w:rPr>
                <w:rFonts w:ascii="Calibri" w:eastAsia="Calibri" w:hAnsi="Calibri" w:cs="Calibri"/>
                <w:color w:val="000000"/>
              </w:rPr>
            </w:pPr>
            <w:r>
              <w:rPr>
                <w:rFonts w:ascii="Calibri" w:eastAsia="Calibri" w:hAnsi="Calibri" w:cs="Calibri"/>
                <w:color w:val="000000"/>
              </w:rPr>
              <w:t> </w:t>
            </w:r>
          </w:p>
        </w:tc>
        <w:tc>
          <w:tcPr>
            <w:tcW w:w="1520" w:type="dxa"/>
            <w:tcBorders>
              <w:top w:val="nil"/>
              <w:left w:val="nil"/>
              <w:bottom w:val="single" w:sz="4" w:space="0" w:color="000000"/>
              <w:right w:val="single" w:sz="4" w:space="0" w:color="000000"/>
            </w:tcBorders>
            <w:shd w:val="clear" w:color="auto" w:fill="auto"/>
            <w:vAlign w:val="bottom"/>
          </w:tcPr>
          <w:p w14:paraId="2D23E735" w14:textId="77777777" w:rsidR="003A3BCA" w:rsidRDefault="008276B6">
            <w:pPr>
              <w:rPr>
                <w:rFonts w:ascii="Calibri" w:eastAsia="Calibri" w:hAnsi="Calibri" w:cs="Calibri"/>
                <w:color w:val="000000"/>
              </w:rPr>
            </w:pPr>
            <w:r>
              <w:rPr>
                <w:rFonts w:ascii="Calibri" w:eastAsia="Calibri" w:hAnsi="Calibri" w:cs="Calibri"/>
                <w:color w:val="000000"/>
              </w:rPr>
              <w:t>2021/2022</w:t>
            </w:r>
          </w:p>
        </w:tc>
        <w:tc>
          <w:tcPr>
            <w:tcW w:w="1315" w:type="dxa"/>
            <w:tcBorders>
              <w:top w:val="nil"/>
              <w:left w:val="nil"/>
              <w:bottom w:val="single" w:sz="4" w:space="0" w:color="000000"/>
              <w:right w:val="single" w:sz="4" w:space="0" w:color="000000"/>
            </w:tcBorders>
            <w:shd w:val="clear" w:color="auto" w:fill="auto"/>
            <w:vAlign w:val="bottom"/>
          </w:tcPr>
          <w:p w14:paraId="5569B574" w14:textId="77777777" w:rsidR="003A3BCA" w:rsidRDefault="008276B6">
            <w:pPr>
              <w:rPr>
                <w:rFonts w:ascii="Calibri" w:eastAsia="Calibri" w:hAnsi="Calibri" w:cs="Calibri"/>
                <w:color w:val="000000"/>
              </w:rPr>
            </w:pPr>
            <w:r>
              <w:rPr>
                <w:rFonts w:ascii="Calibri" w:eastAsia="Calibri" w:hAnsi="Calibri" w:cs="Calibri"/>
                <w:color w:val="000000"/>
              </w:rPr>
              <w:t> </w:t>
            </w:r>
          </w:p>
        </w:tc>
        <w:tc>
          <w:tcPr>
            <w:tcW w:w="1681" w:type="dxa"/>
            <w:tcBorders>
              <w:top w:val="nil"/>
              <w:left w:val="nil"/>
              <w:bottom w:val="single" w:sz="4" w:space="0" w:color="000000"/>
              <w:right w:val="single" w:sz="4" w:space="0" w:color="000000"/>
            </w:tcBorders>
            <w:shd w:val="clear" w:color="auto" w:fill="auto"/>
            <w:vAlign w:val="bottom"/>
          </w:tcPr>
          <w:p w14:paraId="5363197D" w14:textId="77777777" w:rsidR="003A3BCA" w:rsidRDefault="008276B6">
            <w:pPr>
              <w:rPr>
                <w:rFonts w:ascii="Calibri" w:eastAsia="Calibri" w:hAnsi="Calibri" w:cs="Calibri"/>
                <w:color w:val="000000"/>
              </w:rPr>
            </w:pPr>
            <w:r>
              <w:rPr>
                <w:rFonts w:ascii="Calibri" w:eastAsia="Calibri" w:hAnsi="Calibri" w:cs="Calibri"/>
                <w:color w:val="000000"/>
              </w:rPr>
              <w:t xml:space="preserve">% </w:t>
            </w:r>
            <w:proofErr w:type="gramStart"/>
            <w:r>
              <w:rPr>
                <w:rFonts w:ascii="Calibri" w:eastAsia="Calibri" w:hAnsi="Calibri" w:cs="Calibri"/>
                <w:color w:val="000000"/>
              </w:rPr>
              <w:t>of</w:t>
            </w:r>
            <w:proofErr w:type="gramEnd"/>
            <w:r>
              <w:rPr>
                <w:rFonts w:ascii="Calibri" w:eastAsia="Calibri" w:hAnsi="Calibri" w:cs="Calibri"/>
                <w:color w:val="000000"/>
              </w:rPr>
              <w:t xml:space="preserve"> Aerials Won</w:t>
            </w:r>
          </w:p>
        </w:tc>
        <w:tc>
          <w:tcPr>
            <w:tcW w:w="1215" w:type="dxa"/>
            <w:tcBorders>
              <w:top w:val="nil"/>
              <w:left w:val="nil"/>
              <w:bottom w:val="single" w:sz="4" w:space="0" w:color="000000"/>
              <w:right w:val="single" w:sz="4" w:space="0" w:color="000000"/>
            </w:tcBorders>
            <w:shd w:val="clear" w:color="auto" w:fill="auto"/>
            <w:vAlign w:val="bottom"/>
          </w:tcPr>
          <w:p w14:paraId="1BD5B99D" w14:textId="77777777" w:rsidR="003A3BCA" w:rsidRDefault="008276B6">
            <w:pPr>
              <w:jc w:val="right"/>
              <w:rPr>
                <w:rFonts w:ascii="Calibri" w:eastAsia="Calibri" w:hAnsi="Calibri" w:cs="Calibri"/>
                <w:color w:val="000000"/>
              </w:rPr>
            </w:pPr>
            <w:r>
              <w:rPr>
                <w:rFonts w:ascii="Calibri" w:eastAsia="Calibri" w:hAnsi="Calibri" w:cs="Calibri"/>
                <w:color w:val="000000"/>
              </w:rPr>
              <w:t>87</w:t>
            </w:r>
          </w:p>
        </w:tc>
        <w:tc>
          <w:tcPr>
            <w:tcW w:w="951" w:type="dxa"/>
            <w:tcBorders>
              <w:top w:val="nil"/>
              <w:left w:val="nil"/>
              <w:bottom w:val="single" w:sz="4" w:space="0" w:color="000000"/>
              <w:right w:val="single" w:sz="4" w:space="0" w:color="000000"/>
            </w:tcBorders>
            <w:shd w:val="clear" w:color="auto" w:fill="auto"/>
            <w:vAlign w:val="bottom"/>
          </w:tcPr>
          <w:p w14:paraId="713E7068" w14:textId="77777777" w:rsidR="003A3BCA" w:rsidRDefault="008276B6">
            <w:pPr>
              <w:jc w:val="right"/>
              <w:rPr>
                <w:rFonts w:ascii="Calibri" w:eastAsia="Calibri" w:hAnsi="Calibri" w:cs="Calibri"/>
                <w:color w:val="000000"/>
              </w:rPr>
            </w:pPr>
            <w:r>
              <w:rPr>
                <w:rFonts w:ascii="Calibri" w:eastAsia="Calibri" w:hAnsi="Calibri" w:cs="Calibri"/>
                <w:color w:val="000000"/>
              </w:rPr>
              <w:t>62</w:t>
            </w:r>
          </w:p>
        </w:tc>
        <w:tc>
          <w:tcPr>
            <w:tcW w:w="951" w:type="dxa"/>
            <w:tcBorders>
              <w:top w:val="nil"/>
              <w:left w:val="nil"/>
              <w:bottom w:val="single" w:sz="4" w:space="0" w:color="000000"/>
              <w:right w:val="single" w:sz="4" w:space="0" w:color="000000"/>
            </w:tcBorders>
            <w:shd w:val="clear" w:color="auto" w:fill="auto"/>
            <w:vAlign w:val="bottom"/>
          </w:tcPr>
          <w:p w14:paraId="036B44B7" w14:textId="77777777" w:rsidR="003A3BCA" w:rsidRDefault="008276B6">
            <w:pPr>
              <w:rPr>
                <w:rFonts w:ascii="Calibri" w:eastAsia="Calibri" w:hAnsi="Calibri" w:cs="Calibri"/>
                <w:color w:val="000000"/>
              </w:rPr>
            </w:pPr>
            <w:r>
              <w:rPr>
                <w:rFonts w:ascii="Calibri" w:eastAsia="Calibri" w:hAnsi="Calibri" w:cs="Calibri"/>
                <w:color w:val="000000"/>
              </w:rPr>
              <w:t> </w:t>
            </w:r>
          </w:p>
        </w:tc>
        <w:tc>
          <w:tcPr>
            <w:tcW w:w="951" w:type="dxa"/>
            <w:tcBorders>
              <w:top w:val="nil"/>
              <w:left w:val="nil"/>
              <w:bottom w:val="single" w:sz="4" w:space="0" w:color="000000"/>
              <w:right w:val="single" w:sz="4" w:space="0" w:color="000000"/>
            </w:tcBorders>
            <w:shd w:val="clear" w:color="auto" w:fill="auto"/>
            <w:vAlign w:val="bottom"/>
          </w:tcPr>
          <w:p w14:paraId="4537C891" w14:textId="77777777" w:rsidR="003A3BCA" w:rsidRDefault="008276B6">
            <w:pPr>
              <w:jc w:val="right"/>
              <w:rPr>
                <w:rFonts w:ascii="Calibri" w:eastAsia="Calibri" w:hAnsi="Calibri" w:cs="Calibri"/>
                <w:color w:val="000000"/>
              </w:rPr>
            </w:pPr>
            <w:r>
              <w:rPr>
                <w:rFonts w:ascii="Calibri" w:eastAsia="Calibri" w:hAnsi="Calibri" w:cs="Calibri"/>
                <w:color w:val="000000"/>
              </w:rPr>
              <w:t>4,35</w:t>
            </w:r>
          </w:p>
        </w:tc>
      </w:tr>
      <w:tr w:rsidR="003A3BCA" w14:paraId="74B5F08A" w14:textId="77777777" w:rsidTr="006771A1">
        <w:trPr>
          <w:trHeight w:val="276"/>
        </w:trPr>
        <w:tc>
          <w:tcPr>
            <w:tcW w:w="1519" w:type="dxa"/>
            <w:tcBorders>
              <w:top w:val="nil"/>
              <w:left w:val="single" w:sz="4" w:space="0" w:color="000000"/>
              <w:bottom w:val="single" w:sz="4" w:space="0" w:color="000000"/>
              <w:right w:val="single" w:sz="4" w:space="0" w:color="000000"/>
            </w:tcBorders>
            <w:shd w:val="clear" w:color="auto" w:fill="auto"/>
            <w:vAlign w:val="bottom"/>
          </w:tcPr>
          <w:p w14:paraId="5921F9DB" w14:textId="77777777" w:rsidR="003A3BCA" w:rsidRDefault="008276B6">
            <w:pPr>
              <w:rPr>
                <w:rFonts w:ascii="Calibri" w:eastAsia="Calibri" w:hAnsi="Calibri" w:cs="Calibri"/>
                <w:color w:val="000000"/>
              </w:rPr>
            </w:pPr>
            <w:r>
              <w:rPr>
                <w:rFonts w:ascii="Calibri" w:eastAsia="Calibri" w:hAnsi="Calibri" w:cs="Calibri"/>
                <w:color w:val="000000"/>
              </w:rPr>
              <w:t> </w:t>
            </w:r>
          </w:p>
        </w:tc>
        <w:tc>
          <w:tcPr>
            <w:tcW w:w="1520" w:type="dxa"/>
            <w:tcBorders>
              <w:top w:val="nil"/>
              <w:left w:val="nil"/>
              <w:bottom w:val="single" w:sz="4" w:space="0" w:color="000000"/>
              <w:right w:val="single" w:sz="4" w:space="0" w:color="000000"/>
            </w:tcBorders>
            <w:shd w:val="clear" w:color="auto" w:fill="auto"/>
            <w:vAlign w:val="bottom"/>
          </w:tcPr>
          <w:p w14:paraId="077B2892" w14:textId="77777777" w:rsidR="003A3BCA" w:rsidRDefault="008276B6">
            <w:pPr>
              <w:rPr>
                <w:rFonts w:ascii="Calibri" w:eastAsia="Calibri" w:hAnsi="Calibri" w:cs="Calibri"/>
                <w:color w:val="000000"/>
              </w:rPr>
            </w:pPr>
            <w:r>
              <w:rPr>
                <w:rFonts w:ascii="Calibri" w:eastAsia="Calibri" w:hAnsi="Calibri" w:cs="Calibri"/>
                <w:color w:val="000000"/>
              </w:rPr>
              <w:t> </w:t>
            </w:r>
          </w:p>
        </w:tc>
        <w:tc>
          <w:tcPr>
            <w:tcW w:w="1315" w:type="dxa"/>
            <w:tcBorders>
              <w:top w:val="nil"/>
              <w:left w:val="nil"/>
              <w:bottom w:val="single" w:sz="4" w:space="0" w:color="000000"/>
              <w:right w:val="single" w:sz="4" w:space="0" w:color="000000"/>
            </w:tcBorders>
            <w:shd w:val="clear" w:color="auto" w:fill="auto"/>
            <w:vAlign w:val="bottom"/>
          </w:tcPr>
          <w:p w14:paraId="1AD00CA2" w14:textId="77777777" w:rsidR="003A3BCA" w:rsidRDefault="008276B6">
            <w:pPr>
              <w:rPr>
                <w:rFonts w:ascii="Calibri" w:eastAsia="Calibri" w:hAnsi="Calibri" w:cs="Calibri"/>
                <w:color w:val="000000"/>
              </w:rPr>
            </w:pPr>
            <w:r>
              <w:rPr>
                <w:rFonts w:ascii="Calibri" w:eastAsia="Calibri" w:hAnsi="Calibri" w:cs="Calibri"/>
                <w:color w:val="000000"/>
              </w:rPr>
              <w:t> </w:t>
            </w:r>
          </w:p>
        </w:tc>
        <w:tc>
          <w:tcPr>
            <w:tcW w:w="1681" w:type="dxa"/>
            <w:tcBorders>
              <w:top w:val="nil"/>
              <w:left w:val="nil"/>
              <w:bottom w:val="single" w:sz="4" w:space="0" w:color="000000"/>
              <w:right w:val="single" w:sz="4" w:space="0" w:color="000000"/>
            </w:tcBorders>
            <w:shd w:val="clear" w:color="auto" w:fill="auto"/>
            <w:vAlign w:val="bottom"/>
          </w:tcPr>
          <w:p w14:paraId="3A81610B" w14:textId="77777777" w:rsidR="003A3BCA" w:rsidRDefault="008276B6">
            <w:pPr>
              <w:rPr>
                <w:rFonts w:ascii="Calibri" w:eastAsia="Calibri" w:hAnsi="Calibri" w:cs="Calibri"/>
                <w:color w:val="000000"/>
              </w:rPr>
            </w:pPr>
            <w:r>
              <w:rPr>
                <w:rFonts w:ascii="Calibri" w:eastAsia="Calibri" w:hAnsi="Calibri" w:cs="Calibri"/>
                <w:color w:val="000000"/>
              </w:rPr>
              <w:t> </w:t>
            </w:r>
          </w:p>
        </w:tc>
        <w:tc>
          <w:tcPr>
            <w:tcW w:w="1215" w:type="dxa"/>
            <w:tcBorders>
              <w:top w:val="nil"/>
              <w:left w:val="nil"/>
              <w:bottom w:val="single" w:sz="4" w:space="0" w:color="000000"/>
              <w:right w:val="single" w:sz="4" w:space="0" w:color="000000"/>
            </w:tcBorders>
            <w:shd w:val="clear" w:color="auto" w:fill="auto"/>
            <w:vAlign w:val="bottom"/>
          </w:tcPr>
          <w:p w14:paraId="1074B3B2" w14:textId="77777777" w:rsidR="003A3BCA" w:rsidRDefault="008276B6">
            <w:pPr>
              <w:rPr>
                <w:rFonts w:ascii="Calibri" w:eastAsia="Calibri" w:hAnsi="Calibri" w:cs="Calibri"/>
                <w:color w:val="000000"/>
              </w:rPr>
            </w:pPr>
            <w:r>
              <w:rPr>
                <w:rFonts w:ascii="Calibri" w:eastAsia="Calibri" w:hAnsi="Calibri" w:cs="Calibri"/>
                <w:color w:val="000000"/>
              </w:rPr>
              <w:t> </w:t>
            </w:r>
          </w:p>
        </w:tc>
        <w:tc>
          <w:tcPr>
            <w:tcW w:w="951" w:type="dxa"/>
            <w:tcBorders>
              <w:top w:val="nil"/>
              <w:left w:val="nil"/>
              <w:bottom w:val="single" w:sz="4" w:space="0" w:color="000000"/>
              <w:right w:val="single" w:sz="4" w:space="0" w:color="000000"/>
            </w:tcBorders>
            <w:shd w:val="clear" w:color="auto" w:fill="auto"/>
            <w:vAlign w:val="bottom"/>
          </w:tcPr>
          <w:p w14:paraId="681E7F31" w14:textId="77777777" w:rsidR="003A3BCA" w:rsidRDefault="008276B6">
            <w:pPr>
              <w:rPr>
                <w:rFonts w:ascii="Calibri" w:eastAsia="Calibri" w:hAnsi="Calibri" w:cs="Calibri"/>
                <w:color w:val="000000"/>
              </w:rPr>
            </w:pPr>
            <w:r>
              <w:rPr>
                <w:rFonts w:ascii="Calibri" w:eastAsia="Calibri" w:hAnsi="Calibri" w:cs="Calibri"/>
                <w:color w:val="000000"/>
              </w:rPr>
              <w:t> </w:t>
            </w:r>
          </w:p>
        </w:tc>
        <w:tc>
          <w:tcPr>
            <w:tcW w:w="951" w:type="dxa"/>
            <w:tcBorders>
              <w:top w:val="nil"/>
              <w:left w:val="nil"/>
              <w:bottom w:val="single" w:sz="4" w:space="0" w:color="000000"/>
              <w:right w:val="single" w:sz="4" w:space="0" w:color="000000"/>
            </w:tcBorders>
            <w:shd w:val="clear" w:color="auto" w:fill="auto"/>
            <w:vAlign w:val="bottom"/>
          </w:tcPr>
          <w:p w14:paraId="7502583C" w14:textId="77777777" w:rsidR="003A3BCA" w:rsidRDefault="008276B6">
            <w:pPr>
              <w:rPr>
                <w:rFonts w:ascii="Calibri" w:eastAsia="Calibri" w:hAnsi="Calibri" w:cs="Calibri"/>
                <w:color w:val="000000"/>
              </w:rPr>
            </w:pPr>
            <w:r>
              <w:rPr>
                <w:rFonts w:ascii="Calibri" w:eastAsia="Calibri" w:hAnsi="Calibri" w:cs="Calibri"/>
                <w:color w:val="000000"/>
              </w:rPr>
              <w:t> </w:t>
            </w:r>
          </w:p>
        </w:tc>
        <w:tc>
          <w:tcPr>
            <w:tcW w:w="951" w:type="dxa"/>
            <w:tcBorders>
              <w:top w:val="nil"/>
              <w:left w:val="nil"/>
              <w:bottom w:val="single" w:sz="4" w:space="0" w:color="000000"/>
              <w:right w:val="single" w:sz="4" w:space="0" w:color="000000"/>
            </w:tcBorders>
            <w:shd w:val="clear" w:color="auto" w:fill="auto"/>
            <w:vAlign w:val="bottom"/>
          </w:tcPr>
          <w:p w14:paraId="75FFE30A" w14:textId="77777777" w:rsidR="003A3BCA" w:rsidRDefault="008276B6">
            <w:pPr>
              <w:rPr>
                <w:rFonts w:ascii="Calibri" w:eastAsia="Calibri" w:hAnsi="Calibri" w:cs="Calibri"/>
                <w:color w:val="000000"/>
              </w:rPr>
            </w:pPr>
            <w:r>
              <w:rPr>
                <w:rFonts w:ascii="Calibri" w:eastAsia="Calibri" w:hAnsi="Calibri" w:cs="Calibri"/>
                <w:color w:val="000000"/>
              </w:rPr>
              <w:t> </w:t>
            </w:r>
          </w:p>
        </w:tc>
      </w:tr>
      <w:tr w:rsidR="003A3BCA" w14:paraId="3FD54F07" w14:textId="77777777" w:rsidTr="006771A1">
        <w:trPr>
          <w:trHeight w:val="276"/>
        </w:trPr>
        <w:tc>
          <w:tcPr>
            <w:tcW w:w="1519" w:type="dxa"/>
            <w:tcBorders>
              <w:top w:val="nil"/>
              <w:left w:val="single" w:sz="4" w:space="0" w:color="000000"/>
              <w:bottom w:val="single" w:sz="4" w:space="0" w:color="000000"/>
              <w:right w:val="single" w:sz="4" w:space="0" w:color="000000"/>
            </w:tcBorders>
            <w:shd w:val="clear" w:color="auto" w:fill="auto"/>
            <w:vAlign w:val="bottom"/>
          </w:tcPr>
          <w:p w14:paraId="02D9CC5B" w14:textId="77777777" w:rsidR="003A3BCA" w:rsidRDefault="008276B6">
            <w:pPr>
              <w:rPr>
                <w:rFonts w:ascii="Calibri" w:eastAsia="Calibri" w:hAnsi="Calibri" w:cs="Calibri"/>
                <w:color w:val="000000"/>
              </w:rPr>
            </w:pPr>
            <w:r>
              <w:rPr>
                <w:rFonts w:ascii="Calibri" w:eastAsia="Calibri" w:hAnsi="Calibri" w:cs="Calibri"/>
                <w:color w:val="000000"/>
              </w:rPr>
              <w:t>Aaron Wan-</w:t>
            </w:r>
            <w:proofErr w:type="spellStart"/>
            <w:r>
              <w:rPr>
                <w:rFonts w:ascii="Calibri" w:eastAsia="Calibri" w:hAnsi="Calibri" w:cs="Calibri"/>
                <w:color w:val="000000"/>
              </w:rPr>
              <w:t>Bissaka</w:t>
            </w:r>
            <w:proofErr w:type="spellEnd"/>
          </w:p>
        </w:tc>
        <w:tc>
          <w:tcPr>
            <w:tcW w:w="1520" w:type="dxa"/>
            <w:tcBorders>
              <w:top w:val="nil"/>
              <w:left w:val="nil"/>
              <w:bottom w:val="single" w:sz="4" w:space="0" w:color="000000"/>
              <w:right w:val="single" w:sz="4" w:space="0" w:color="000000"/>
            </w:tcBorders>
            <w:shd w:val="clear" w:color="auto" w:fill="auto"/>
            <w:vAlign w:val="bottom"/>
          </w:tcPr>
          <w:p w14:paraId="78817A06" w14:textId="77777777" w:rsidR="003A3BCA" w:rsidRDefault="008276B6">
            <w:pPr>
              <w:rPr>
                <w:rFonts w:ascii="Calibri" w:eastAsia="Calibri" w:hAnsi="Calibri" w:cs="Calibri"/>
                <w:color w:val="000000"/>
              </w:rPr>
            </w:pPr>
            <w:r>
              <w:rPr>
                <w:rFonts w:ascii="Calibri" w:eastAsia="Calibri" w:hAnsi="Calibri" w:cs="Calibri"/>
                <w:color w:val="000000"/>
              </w:rPr>
              <w:t>2019/2020</w:t>
            </w:r>
          </w:p>
        </w:tc>
        <w:tc>
          <w:tcPr>
            <w:tcW w:w="1315" w:type="dxa"/>
            <w:tcBorders>
              <w:top w:val="nil"/>
              <w:left w:val="nil"/>
              <w:bottom w:val="single" w:sz="4" w:space="0" w:color="000000"/>
              <w:right w:val="single" w:sz="4" w:space="0" w:color="000000"/>
            </w:tcBorders>
            <w:shd w:val="clear" w:color="auto" w:fill="auto"/>
            <w:vAlign w:val="bottom"/>
          </w:tcPr>
          <w:p w14:paraId="1A333684" w14:textId="77777777" w:rsidR="003A3BCA" w:rsidRDefault="008276B6">
            <w:pPr>
              <w:rPr>
                <w:rFonts w:ascii="Calibri" w:eastAsia="Calibri" w:hAnsi="Calibri" w:cs="Calibri"/>
                <w:color w:val="000000"/>
              </w:rPr>
            </w:pPr>
            <w:r>
              <w:rPr>
                <w:rFonts w:ascii="Calibri" w:eastAsia="Calibri" w:hAnsi="Calibri" w:cs="Calibri"/>
                <w:color w:val="000000"/>
              </w:rPr>
              <w:t>Fullback</w:t>
            </w:r>
          </w:p>
        </w:tc>
        <w:tc>
          <w:tcPr>
            <w:tcW w:w="1681" w:type="dxa"/>
            <w:tcBorders>
              <w:top w:val="nil"/>
              <w:left w:val="nil"/>
              <w:bottom w:val="single" w:sz="4" w:space="0" w:color="000000"/>
              <w:right w:val="single" w:sz="4" w:space="0" w:color="000000"/>
            </w:tcBorders>
            <w:shd w:val="clear" w:color="auto" w:fill="auto"/>
            <w:vAlign w:val="bottom"/>
          </w:tcPr>
          <w:p w14:paraId="39BF1396" w14:textId="77777777" w:rsidR="003A3BCA" w:rsidRDefault="008276B6">
            <w:pPr>
              <w:rPr>
                <w:rFonts w:ascii="Calibri" w:eastAsia="Calibri" w:hAnsi="Calibri" w:cs="Calibri"/>
                <w:color w:val="000000"/>
              </w:rPr>
            </w:pPr>
            <w:r>
              <w:rPr>
                <w:rFonts w:ascii="Calibri" w:eastAsia="Calibri" w:hAnsi="Calibri" w:cs="Calibri"/>
                <w:color w:val="000000"/>
              </w:rPr>
              <w:t>Tackles</w:t>
            </w:r>
          </w:p>
        </w:tc>
        <w:tc>
          <w:tcPr>
            <w:tcW w:w="1215" w:type="dxa"/>
            <w:tcBorders>
              <w:top w:val="nil"/>
              <w:left w:val="nil"/>
              <w:bottom w:val="single" w:sz="4" w:space="0" w:color="000000"/>
              <w:right w:val="single" w:sz="4" w:space="0" w:color="000000"/>
            </w:tcBorders>
            <w:shd w:val="clear" w:color="auto" w:fill="auto"/>
            <w:vAlign w:val="bottom"/>
          </w:tcPr>
          <w:p w14:paraId="725F2CB8" w14:textId="77777777" w:rsidR="003A3BCA" w:rsidRDefault="008276B6">
            <w:pPr>
              <w:jc w:val="right"/>
              <w:rPr>
                <w:rFonts w:ascii="Calibri" w:eastAsia="Calibri" w:hAnsi="Calibri" w:cs="Calibri"/>
                <w:color w:val="000000"/>
              </w:rPr>
            </w:pPr>
            <w:r>
              <w:rPr>
                <w:rFonts w:ascii="Calibri" w:eastAsia="Calibri" w:hAnsi="Calibri" w:cs="Calibri"/>
                <w:color w:val="000000"/>
              </w:rPr>
              <w:t>96</w:t>
            </w:r>
          </w:p>
        </w:tc>
        <w:tc>
          <w:tcPr>
            <w:tcW w:w="951" w:type="dxa"/>
            <w:tcBorders>
              <w:top w:val="nil"/>
              <w:left w:val="nil"/>
              <w:bottom w:val="single" w:sz="4" w:space="0" w:color="000000"/>
              <w:right w:val="single" w:sz="4" w:space="0" w:color="000000"/>
            </w:tcBorders>
            <w:shd w:val="clear" w:color="auto" w:fill="auto"/>
            <w:vAlign w:val="bottom"/>
          </w:tcPr>
          <w:p w14:paraId="484376C5" w14:textId="77777777" w:rsidR="003A3BCA" w:rsidRDefault="008276B6">
            <w:pPr>
              <w:jc w:val="right"/>
              <w:rPr>
                <w:rFonts w:ascii="Calibri" w:eastAsia="Calibri" w:hAnsi="Calibri" w:cs="Calibri"/>
                <w:color w:val="000000"/>
              </w:rPr>
            </w:pPr>
            <w:r>
              <w:rPr>
                <w:rFonts w:ascii="Calibri" w:eastAsia="Calibri" w:hAnsi="Calibri" w:cs="Calibri"/>
                <w:color w:val="000000"/>
              </w:rPr>
              <w:t>68</w:t>
            </w:r>
          </w:p>
        </w:tc>
        <w:tc>
          <w:tcPr>
            <w:tcW w:w="951" w:type="dxa"/>
            <w:tcBorders>
              <w:top w:val="nil"/>
              <w:left w:val="nil"/>
              <w:bottom w:val="single" w:sz="4" w:space="0" w:color="000000"/>
              <w:right w:val="single" w:sz="4" w:space="0" w:color="000000"/>
            </w:tcBorders>
            <w:shd w:val="clear" w:color="auto" w:fill="auto"/>
            <w:vAlign w:val="bottom"/>
          </w:tcPr>
          <w:p w14:paraId="5F303B02" w14:textId="77777777" w:rsidR="003A3BCA" w:rsidRDefault="008276B6">
            <w:pPr>
              <w:jc w:val="right"/>
              <w:rPr>
                <w:rFonts w:ascii="Calibri" w:eastAsia="Calibri" w:hAnsi="Calibri" w:cs="Calibri"/>
                <w:color w:val="000000"/>
              </w:rPr>
            </w:pPr>
            <w:r>
              <w:rPr>
                <w:rFonts w:ascii="Calibri" w:eastAsia="Calibri" w:hAnsi="Calibri" w:cs="Calibri"/>
                <w:color w:val="000000"/>
              </w:rPr>
              <w:t>32</w:t>
            </w:r>
          </w:p>
        </w:tc>
        <w:tc>
          <w:tcPr>
            <w:tcW w:w="951" w:type="dxa"/>
            <w:tcBorders>
              <w:top w:val="nil"/>
              <w:left w:val="nil"/>
              <w:bottom w:val="single" w:sz="4" w:space="0" w:color="000000"/>
              <w:right w:val="single" w:sz="4" w:space="0" w:color="000000"/>
            </w:tcBorders>
            <w:shd w:val="clear" w:color="auto" w:fill="auto"/>
            <w:vAlign w:val="bottom"/>
          </w:tcPr>
          <w:p w14:paraId="58549497" w14:textId="77777777" w:rsidR="003A3BCA" w:rsidRDefault="008276B6">
            <w:pPr>
              <w:jc w:val="right"/>
              <w:rPr>
                <w:rFonts w:ascii="Calibri" w:eastAsia="Calibri" w:hAnsi="Calibri" w:cs="Calibri"/>
                <w:color w:val="000000"/>
              </w:rPr>
            </w:pPr>
            <w:r>
              <w:rPr>
                <w:rFonts w:ascii="Calibri" w:eastAsia="Calibri" w:hAnsi="Calibri" w:cs="Calibri"/>
                <w:color w:val="000000"/>
              </w:rPr>
              <w:t>4,28</w:t>
            </w:r>
          </w:p>
        </w:tc>
      </w:tr>
      <w:tr w:rsidR="003A3BCA" w14:paraId="36A91986" w14:textId="77777777" w:rsidTr="006771A1">
        <w:trPr>
          <w:trHeight w:val="276"/>
        </w:trPr>
        <w:tc>
          <w:tcPr>
            <w:tcW w:w="1519" w:type="dxa"/>
            <w:tcBorders>
              <w:top w:val="nil"/>
              <w:left w:val="single" w:sz="4" w:space="0" w:color="000000"/>
              <w:bottom w:val="single" w:sz="4" w:space="0" w:color="000000"/>
              <w:right w:val="single" w:sz="4" w:space="0" w:color="000000"/>
            </w:tcBorders>
            <w:shd w:val="clear" w:color="auto" w:fill="auto"/>
            <w:vAlign w:val="bottom"/>
          </w:tcPr>
          <w:p w14:paraId="7545A824" w14:textId="77777777" w:rsidR="003A3BCA" w:rsidRDefault="008276B6">
            <w:pPr>
              <w:rPr>
                <w:rFonts w:ascii="Calibri" w:eastAsia="Calibri" w:hAnsi="Calibri" w:cs="Calibri"/>
                <w:color w:val="000000"/>
              </w:rPr>
            </w:pPr>
            <w:r>
              <w:rPr>
                <w:rFonts w:ascii="Calibri" w:eastAsia="Calibri" w:hAnsi="Calibri" w:cs="Calibri"/>
                <w:color w:val="000000"/>
              </w:rPr>
              <w:t> </w:t>
            </w:r>
          </w:p>
        </w:tc>
        <w:tc>
          <w:tcPr>
            <w:tcW w:w="1520" w:type="dxa"/>
            <w:tcBorders>
              <w:top w:val="nil"/>
              <w:left w:val="nil"/>
              <w:bottom w:val="single" w:sz="4" w:space="0" w:color="000000"/>
              <w:right w:val="single" w:sz="4" w:space="0" w:color="000000"/>
            </w:tcBorders>
            <w:shd w:val="clear" w:color="auto" w:fill="auto"/>
            <w:vAlign w:val="bottom"/>
          </w:tcPr>
          <w:p w14:paraId="0C505CCD" w14:textId="77777777" w:rsidR="003A3BCA" w:rsidRDefault="008276B6">
            <w:pPr>
              <w:rPr>
                <w:rFonts w:ascii="Calibri" w:eastAsia="Calibri" w:hAnsi="Calibri" w:cs="Calibri"/>
                <w:color w:val="000000"/>
              </w:rPr>
            </w:pPr>
            <w:r>
              <w:rPr>
                <w:rFonts w:ascii="Calibri" w:eastAsia="Calibri" w:hAnsi="Calibri" w:cs="Calibri"/>
                <w:color w:val="000000"/>
              </w:rPr>
              <w:t>2020/2021</w:t>
            </w:r>
          </w:p>
        </w:tc>
        <w:tc>
          <w:tcPr>
            <w:tcW w:w="1315" w:type="dxa"/>
            <w:tcBorders>
              <w:top w:val="nil"/>
              <w:left w:val="nil"/>
              <w:bottom w:val="single" w:sz="4" w:space="0" w:color="000000"/>
              <w:right w:val="single" w:sz="4" w:space="0" w:color="000000"/>
            </w:tcBorders>
            <w:shd w:val="clear" w:color="auto" w:fill="auto"/>
            <w:vAlign w:val="bottom"/>
          </w:tcPr>
          <w:p w14:paraId="0204D15C" w14:textId="77777777" w:rsidR="003A3BCA" w:rsidRDefault="008276B6">
            <w:pPr>
              <w:rPr>
                <w:rFonts w:ascii="Calibri" w:eastAsia="Calibri" w:hAnsi="Calibri" w:cs="Calibri"/>
                <w:color w:val="000000"/>
              </w:rPr>
            </w:pPr>
            <w:r>
              <w:rPr>
                <w:rFonts w:ascii="Calibri" w:eastAsia="Calibri" w:hAnsi="Calibri" w:cs="Calibri"/>
                <w:color w:val="000000"/>
              </w:rPr>
              <w:t> </w:t>
            </w:r>
          </w:p>
        </w:tc>
        <w:tc>
          <w:tcPr>
            <w:tcW w:w="1681" w:type="dxa"/>
            <w:tcBorders>
              <w:top w:val="nil"/>
              <w:left w:val="nil"/>
              <w:bottom w:val="single" w:sz="4" w:space="0" w:color="000000"/>
              <w:right w:val="single" w:sz="4" w:space="0" w:color="000000"/>
            </w:tcBorders>
            <w:shd w:val="clear" w:color="auto" w:fill="auto"/>
            <w:vAlign w:val="bottom"/>
          </w:tcPr>
          <w:p w14:paraId="0DE06255" w14:textId="77777777" w:rsidR="003A3BCA" w:rsidRDefault="008276B6">
            <w:pPr>
              <w:rPr>
                <w:rFonts w:ascii="Calibri" w:eastAsia="Calibri" w:hAnsi="Calibri" w:cs="Calibri"/>
                <w:color w:val="000000"/>
              </w:rPr>
            </w:pPr>
            <w:r>
              <w:rPr>
                <w:rFonts w:ascii="Calibri" w:eastAsia="Calibri" w:hAnsi="Calibri" w:cs="Calibri"/>
                <w:color w:val="000000"/>
              </w:rPr>
              <w:t>Blocks</w:t>
            </w:r>
          </w:p>
        </w:tc>
        <w:tc>
          <w:tcPr>
            <w:tcW w:w="1215" w:type="dxa"/>
            <w:tcBorders>
              <w:top w:val="nil"/>
              <w:left w:val="nil"/>
              <w:bottom w:val="single" w:sz="4" w:space="0" w:color="000000"/>
              <w:right w:val="single" w:sz="4" w:space="0" w:color="000000"/>
            </w:tcBorders>
            <w:shd w:val="clear" w:color="auto" w:fill="auto"/>
            <w:vAlign w:val="bottom"/>
          </w:tcPr>
          <w:p w14:paraId="74291B4A" w14:textId="77777777" w:rsidR="003A3BCA" w:rsidRDefault="008276B6">
            <w:pPr>
              <w:jc w:val="right"/>
              <w:rPr>
                <w:rFonts w:ascii="Calibri" w:eastAsia="Calibri" w:hAnsi="Calibri" w:cs="Calibri"/>
                <w:color w:val="000000"/>
              </w:rPr>
            </w:pPr>
            <w:r>
              <w:rPr>
                <w:rFonts w:ascii="Calibri" w:eastAsia="Calibri" w:hAnsi="Calibri" w:cs="Calibri"/>
                <w:color w:val="000000"/>
              </w:rPr>
              <w:t>94</w:t>
            </w:r>
          </w:p>
        </w:tc>
        <w:tc>
          <w:tcPr>
            <w:tcW w:w="951" w:type="dxa"/>
            <w:tcBorders>
              <w:top w:val="nil"/>
              <w:left w:val="nil"/>
              <w:bottom w:val="single" w:sz="4" w:space="0" w:color="000000"/>
              <w:right w:val="single" w:sz="4" w:space="0" w:color="000000"/>
            </w:tcBorders>
            <w:shd w:val="clear" w:color="auto" w:fill="auto"/>
            <w:vAlign w:val="bottom"/>
          </w:tcPr>
          <w:p w14:paraId="6808D081" w14:textId="77777777" w:rsidR="003A3BCA" w:rsidRDefault="008276B6">
            <w:pPr>
              <w:jc w:val="right"/>
              <w:rPr>
                <w:rFonts w:ascii="Calibri" w:eastAsia="Calibri" w:hAnsi="Calibri" w:cs="Calibri"/>
                <w:color w:val="000000"/>
              </w:rPr>
            </w:pPr>
            <w:r>
              <w:rPr>
                <w:rFonts w:ascii="Calibri" w:eastAsia="Calibri" w:hAnsi="Calibri" w:cs="Calibri"/>
                <w:color w:val="000000"/>
              </w:rPr>
              <w:t>70</w:t>
            </w:r>
          </w:p>
        </w:tc>
        <w:tc>
          <w:tcPr>
            <w:tcW w:w="951" w:type="dxa"/>
            <w:tcBorders>
              <w:top w:val="nil"/>
              <w:left w:val="nil"/>
              <w:bottom w:val="single" w:sz="4" w:space="0" w:color="000000"/>
              <w:right w:val="single" w:sz="4" w:space="0" w:color="000000"/>
            </w:tcBorders>
            <w:shd w:val="clear" w:color="auto" w:fill="auto"/>
            <w:vAlign w:val="bottom"/>
          </w:tcPr>
          <w:p w14:paraId="3533D0FC" w14:textId="77777777" w:rsidR="003A3BCA" w:rsidRDefault="008276B6">
            <w:pPr>
              <w:jc w:val="right"/>
              <w:rPr>
                <w:rFonts w:ascii="Calibri" w:eastAsia="Calibri" w:hAnsi="Calibri" w:cs="Calibri"/>
                <w:color w:val="000000"/>
              </w:rPr>
            </w:pPr>
            <w:r>
              <w:rPr>
                <w:rFonts w:ascii="Calibri" w:eastAsia="Calibri" w:hAnsi="Calibri" w:cs="Calibri"/>
                <w:color w:val="000000"/>
              </w:rPr>
              <w:t>46</w:t>
            </w:r>
          </w:p>
        </w:tc>
        <w:tc>
          <w:tcPr>
            <w:tcW w:w="951" w:type="dxa"/>
            <w:tcBorders>
              <w:top w:val="nil"/>
              <w:left w:val="nil"/>
              <w:bottom w:val="single" w:sz="4" w:space="0" w:color="000000"/>
              <w:right w:val="single" w:sz="4" w:space="0" w:color="000000"/>
            </w:tcBorders>
            <w:shd w:val="clear" w:color="auto" w:fill="auto"/>
            <w:vAlign w:val="bottom"/>
          </w:tcPr>
          <w:p w14:paraId="1FE53182" w14:textId="77777777" w:rsidR="003A3BCA" w:rsidRDefault="008276B6">
            <w:pPr>
              <w:jc w:val="right"/>
              <w:rPr>
                <w:rFonts w:ascii="Calibri" w:eastAsia="Calibri" w:hAnsi="Calibri" w:cs="Calibri"/>
                <w:color w:val="000000"/>
              </w:rPr>
            </w:pPr>
            <w:r>
              <w:rPr>
                <w:rFonts w:ascii="Calibri" w:eastAsia="Calibri" w:hAnsi="Calibri" w:cs="Calibri"/>
                <w:color w:val="000000"/>
              </w:rPr>
              <w:t>4,50</w:t>
            </w:r>
          </w:p>
        </w:tc>
      </w:tr>
      <w:tr w:rsidR="003A3BCA" w14:paraId="2628D827" w14:textId="77777777" w:rsidTr="006771A1">
        <w:trPr>
          <w:trHeight w:val="276"/>
        </w:trPr>
        <w:tc>
          <w:tcPr>
            <w:tcW w:w="1519" w:type="dxa"/>
            <w:tcBorders>
              <w:top w:val="nil"/>
              <w:left w:val="single" w:sz="4" w:space="0" w:color="000000"/>
              <w:bottom w:val="single" w:sz="4" w:space="0" w:color="000000"/>
              <w:right w:val="single" w:sz="4" w:space="0" w:color="000000"/>
            </w:tcBorders>
            <w:shd w:val="clear" w:color="auto" w:fill="auto"/>
            <w:vAlign w:val="bottom"/>
          </w:tcPr>
          <w:p w14:paraId="10450698" w14:textId="77777777" w:rsidR="003A3BCA" w:rsidRDefault="008276B6">
            <w:pPr>
              <w:rPr>
                <w:rFonts w:ascii="Calibri" w:eastAsia="Calibri" w:hAnsi="Calibri" w:cs="Calibri"/>
                <w:color w:val="000000"/>
              </w:rPr>
            </w:pPr>
            <w:r>
              <w:rPr>
                <w:rFonts w:ascii="Calibri" w:eastAsia="Calibri" w:hAnsi="Calibri" w:cs="Calibri"/>
                <w:color w:val="000000"/>
              </w:rPr>
              <w:t> </w:t>
            </w:r>
          </w:p>
        </w:tc>
        <w:tc>
          <w:tcPr>
            <w:tcW w:w="1520" w:type="dxa"/>
            <w:tcBorders>
              <w:top w:val="nil"/>
              <w:left w:val="nil"/>
              <w:bottom w:val="single" w:sz="4" w:space="0" w:color="000000"/>
              <w:right w:val="single" w:sz="4" w:space="0" w:color="000000"/>
            </w:tcBorders>
            <w:shd w:val="clear" w:color="auto" w:fill="auto"/>
            <w:vAlign w:val="bottom"/>
          </w:tcPr>
          <w:p w14:paraId="431AB1B0" w14:textId="77777777" w:rsidR="003A3BCA" w:rsidRDefault="008276B6">
            <w:pPr>
              <w:rPr>
                <w:rFonts w:ascii="Calibri" w:eastAsia="Calibri" w:hAnsi="Calibri" w:cs="Calibri"/>
                <w:color w:val="000000"/>
              </w:rPr>
            </w:pPr>
            <w:r>
              <w:rPr>
                <w:rFonts w:ascii="Calibri" w:eastAsia="Calibri" w:hAnsi="Calibri" w:cs="Calibri"/>
                <w:color w:val="000000"/>
              </w:rPr>
              <w:t>2021/2022</w:t>
            </w:r>
          </w:p>
        </w:tc>
        <w:tc>
          <w:tcPr>
            <w:tcW w:w="1315" w:type="dxa"/>
            <w:tcBorders>
              <w:top w:val="nil"/>
              <w:left w:val="nil"/>
              <w:bottom w:val="single" w:sz="4" w:space="0" w:color="000000"/>
              <w:right w:val="single" w:sz="4" w:space="0" w:color="000000"/>
            </w:tcBorders>
            <w:shd w:val="clear" w:color="auto" w:fill="auto"/>
            <w:vAlign w:val="bottom"/>
          </w:tcPr>
          <w:p w14:paraId="721F76D0" w14:textId="77777777" w:rsidR="003A3BCA" w:rsidRDefault="008276B6">
            <w:pPr>
              <w:rPr>
                <w:rFonts w:ascii="Calibri" w:eastAsia="Calibri" w:hAnsi="Calibri" w:cs="Calibri"/>
                <w:color w:val="000000"/>
              </w:rPr>
            </w:pPr>
            <w:r>
              <w:rPr>
                <w:rFonts w:ascii="Calibri" w:eastAsia="Calibri" w:hAnsi="Calibri" w:cs="Calibri"/>
                <w:color w:val="000000"/>
              </w:rPr>
              <w:t> </w:t>
            </w:r>
          </w:p>
        </w:tc>
        <w:tc>
          <w:tcPr>
            <w:tcW w:w="1681" w:type="dxa"/>
            <w:tcBorders>
              <w:top w:val="nil"/>
              <w:left w:val="nil"/>
              <w:bottom w:val="single" w:sz="4" w:space="0" w:color="000000"/>
              <w:right w:val="single" w:sz="4" w:space="0" w:color="000000"/>
            </w:tcBorders>
            <w:shd w:val="clear" w:color="auto" w:fill="auto"/>
            <w:vAlign w:val="bottom"/>
          </w:tcPr>
          <w:p w14:paraId="3C1E0D83" w14:textId="77777777" w:rsidR="003A3BCA" w:rsidRDefault="008276B6">
            <w:pPr>
              <w:rPr>
                <w:rFonts w:ascii="Calibri" w:eastAsia="Calibri" w:hAnsi="Calibri" w:cs="Calibri"/>
                <w:color w:val="000000"/>
              </w:rPr>
            </w:pPr>
            <w:r>
              <w:rPr>
                <w:rFonts w:ascii="Calibri" w:eastAsia="Calibri" w:hAnsi="Calibri" w:cs="Calibri"/>
                <w:color w:val="000000"/>
              </w:rPr>
              <w:t>Interceptions</w:t>
            </w:r>
          </w:p>
        </w:tc>
        <w:tc>
          <w:tcPr>
            <w:tcW w:w="1215" w:type="dxa"/>
            <w:tcBorders>
              <w:top w:val="nil"/>
              <w:left w:val="nil"/>
              <w:bottom w:val="single" w:sz="4" w:space="0" w:color="000000"/>
              <w:right w:val="single" w:sz="4" w:space="0" w:color="000000"/>
            </w:tcBorders>
            <w:shd w:val="clear" w:color="auto" w:fill="auto"/>
            <w:vAlign w:val="bottom"/>
          </w:tcPr>
          <w:p w14:paraId="67F92F7B" w14:textId="77777777" w:rsidR="003A3BCA" w:rsidRDefault="008276B6">
            <w:pPr>
              <w:jc w:val="right"/>
              <w:rPr>
                <w:rFonts w:ascii="Calibri" w:eastAsia="Calibri" w:hAnsi="Calibri" w:cs="Calibri"/>
                <w:color w:val="000000"/>
              </w:rPr>
            </w:pPr>
            <w:r>
              <w:rPr>
                <w:rFonts w:ascii="Calibri" w:eastAsia="Calibri" w:hAnsi="Calibri" w:cs="Calibri"/>
                <w:color w:val="000000"/>
              </w:rPr>
              <w:t>85</w:t>
            </w:r>
          </w:p>
        </w:tc>
        <w:tc>
          <w:tcPr>
            <w:tcW w:w="951" w:type="dxa"/>
            <w:tcBorders>
              <w:top w:val="nil"/>
              <w:left w:val="nil"/>
              <w:bottom w:val="single" w:sz="4" w:space="0" w:color="000000"/>
              <w:right w:val="single" w:sz="4" w:space="0" w:color="000000"/>
            </w:tcBorders>
            <w:shd w:val="clear" w:color="auto" w:fill="auto"/>
            <w:vAlign w:val="bottom"/>
          </w:tcPr>
          <w:p w14:paraId="5D9F7A2B" w14:textId="77777777" w:rsidR="003A3BCA" w:rsidRDefault="008276B6">
            <w:pPr>
              <w:jc w:val="right"/>
              <w:rPr>
                <w:rFonts w:ascii="Calibri" w:eastAsia="Calibri" w:hAnsi="Calibri" w:cs="Calibri"/>
                <w:color w:val="000000"/>
              </w:rPr>
            </w:pPr>
            <w:r>
              <w:rPr>
                <w:rFonts w:ascii="Calibri" w:eastAsia="Calibri" w:hAnsi="Calibri" w:cs="Calibri"/>
                <w:color w:val="000000"/>
              </w:rPr>
              <w:t>69</w:t>
            </w:r>
          </w:p>
        </w:tc>
        <w:tc>
          <w:tcPr>
            <w:tcW w:w="951" w:type="dxa"/>
            <w:tcBorders>
              <w:top w:val="nil"/>
              <w:left w:val="nil"/>
              <w:bottom w:val="single" w:sz="4" w:space="0" w:color="000000"/>
              <w:right w:val="single" w:sz="4" w:space="0" w:color="000000"/>
            </w:tcBorders>
            <w:shd w:val="clear" w:color="auto" w:fill="auto"/>
            <w:vAlign w:val="bottom"/>
          </w:tcPr>
          <w:p w14:paraId="4A1EA075" w14:textId="77777777" w:rsidR="003A3BCA" w:rsidRDefault="008276B6">
            <w:pPr>
              <w:jc w:val="right"/>
              <w:rPr>
                <w:rFonts w:ascii="Calibri" w:eastAsia="Calibri" w:hAnsi="Calibri" w:cs="Calibri"/>
                <w:color w:val="000000"/>
              </w:rPr>
            </w:pPr>
            <w:r>
              <w:rPr>
                <w:rFonts w:ascii="Calibri" w:eastAsia="Calibri" w:hAnsi="Calibri" w:cs="Calibri"/>
                <w:color w:val="000000"/>
              </w:rPr>
              <w:t>18</w:t>
            </w:r>
          </w:p>
        </w:tc>
        <w:tc>
          <w:tcPr>
            <w:tcW w:w="951" w:type="dxa"/>
            <w:tcBorders>
              <w:top w:val="nil"/>
              <w:left w:val="nil"/>
              <w:bottom w:val="single" w:sz="4" w:space="0" w:color="000000"/>
              <w:right w:val="single" w:sz="4" w:space="0" w:color="000000"/>
            </w:tcBorders>
            <w:shd w:val="clear" w:color="auto" w:fill="auto"/>
            <w:vAlign w:val="bottom"/>
          </w:tcPr>
          <w:p w14:paraId="13FE845E" w14:textId="77777777" w:rsidR="003A3BCA" w:rsidRDefault="008276B6">
            <w:pPr>
              <w:jc w:val="right"/>
              <w:rPr>
                <w:rFonts w:ascii="Calibri" w:eastAsia="Calibri" w:hAnsi="Calibri" w:cs="Calibri"/>
                <w:color w:val="000000"/>
              </w:rPr>
            </w:pPr>
            <w:r>
              <w:rPr>
                <w:rFonts w:ascii="Calibri" w:eastAsia="Calibri" w:hAnsi="Calibri" w:cs="Calibri"/>
                <w:color w:val="000000"/>
              </w:rPr>
              <w:t>3,98</w:t>
            </w:r>
          </w:p>
        </w:tc>
      </w:tr>
      <w:tr w:rsidR="003A3BCA" w14:paraId="253731E9" w14:textId="77777777" w:rsidTr="006771A1">
        <w:trPr>
          <w:trHeight w:val="276"/>
        </w:trPr>
        <w:tc>
          <w:tcPr>
            <w:tcW w:w="1519" w:type="dxa"/>
            <w:tcBorders>
              <w:top w:val="nil"/>
              <w:left w:val="single" w:sz="4" w:space="0" w:color="000000"/>
              <w:bottom w:val="single" w:sz="4" w:space="0" w:color="000000"/>
              <w:right w:val="single" w:sz="4" w:space="0" w:color="000000"/>
            </w:tcBorders>
            <w:shd w:val="clear" w:color="auto" w:fill="auto"/>
            <w:vAlign w:val="bottom"/>
          </w:tcPr>
          <w:p w14:paraId="07F90705" w14:textId="77777777" w:rsidR="003A3BCA" w:rsidRDefault="008276B6">
            <w:pPr>
              <w:rPr>
                <w:rFonts w:ascii="Calibri" w:eastAsia="Calibri" w:hAnsi="Calibri" w:cs="Calibri"/>
                <w:color w:val="000000"/>
              </w:rPr>
            </w:pPr>
            <w:r>
              <w:rPr>
                <w:rFonts w:ascii="Calibri" w:eastAsia="Calibri" w:hAnsi="Calibri" w:cs="Calibri"/>
                <w:color w:val="000000"/>
              </w:rPr>
              <w:t> </w:t>
            </w:r>
          </w:p>
        </w:tc>
        <w:tc>
          <w:tcPr>
            <w:tcW w:w="1520" w:type="dxa"/>
            <w:tcBorders>
              <w:top w:val="nil"/>
              <w:left w:val="nil"/>
              <w:bottom w:val="single" w:sz="4" w:space="0" w:color="000000"/>
              <w:right w:val="single" w:sz="4" w:space="0" w:color="000000"/>
            </w:tcBorders>
            <w:shd w:val="clear" w:color="auto" w:fill="auto"/>
            <w:vAlign w:val="bottom"/>
          </w:tcPr>
          <w:p w14:paraId="778EFCCA" w14:textId="77777777" w:rsidR="003A3BCA" w:rsidRDefault="008276B6">
            <w:pPr>
              <w:rPr>
                <w:rFonts w:ascii="Calibri" w:eastAsia="Calibri" w:hAnsi="Calibri" w:cs="Calibri"/>
                <w:color w:val="000000"/>
              </w:rPr>
            </w:pPr>
            <w:r>
              <w:rPr>
                <w:rFonts w:ascii="Calibri" w:eastAsia="Calibri" w:hAnsi="Calibri" w:cs="Calibri"/>
                <w:color w:val="000000"/>
              </w:rPr>
              <w:t> </w:t>
            </w:r>
          </w:p>
        </w:tc>
        <w:tc>
          <w:tcPr>
            <w:tcW w:w="1315" w:type="dxa"/>
            <w:tcBorders>
              <w:top w:val="nil"/>
              <w:left w:val="nil"/>
              <w:bottom w:val="single" w:sz="4" w:space="0" w:color="000000"/>
              <w:right w:val="single" w:sz="4" w:space="0" w:color="000000"/>
            </w:tcBorders>
            <w:shd w:val="clear" w:color="auto" w:fill="auto"/>
            <w:vAlign w:val="bottom"/>
          </w:tcPr>
          <w:p w14:paraId="4384D781" w14:textId="77777777" w:rsidR="003A3BCA" w:rsidRDefault="008276B6">
            <w:pPr>
              <w:rPr>
                <w:rFonts w:ascii="Calibri" w:eastAsia="Calibri" w:hAnsi="Calibri" w:cs="Calibri"/>
                <w:color w:val="000000"/>
              </w:rPr>
            </w:pPr>
            <w:r>
              <w:rPr>
                <w:rFonts w:ascii="Calibri" w:eastAsia="Calibri" w:hAnsi="Calibri" w:cs="Calibri"/>
                <w:color w:val="000000"/>
              </w:rPr>
              <w:t> </w:t>
            </w:r>
          </w:p>
        </w:tc>
        <w:tc>
          <w:tcPr>
            <w:tcW w:w="1681" w:type="dxa"/>
            <w:tcBorders>
              <w:top w:val="nil"/>
              <w:left w:val="nil"/>
              <w:bottom w:val="single" w:sz="4" w:space="0" w:color="000000"/>
              <w:right w:val="single" w:sz="4" w:space="0" w:color="000000"/>
            </w:tcBorders>
            <w:shd w:val="clear" w:color="auto" w:fill="auto"/>
            <w:vAlign w:val="bottom"/>
          </w:tcPr>
          <w:p w14:paraId="5A4C4F19" w14:textId="77777777" w:rsidR="003A3BCA" w:rsidRDefault="008276B6">
            <w:pPr>
              <w:rPr>
                <w:rFonts w:ascii="Calibri" w:eastAsia="Calibri" w:hAnsi="Calibri" w:cs="Calibri"/>
                <w:color w:val="000000"/>
              </w:rPr>
            </w:pPr>
            <w:r>
              <w:rPr>
                <w:rFonts w:ascii="Calibri" w:eastAsia="Calibri" w:hAnsi="Calibri" w:cs="Calibri"/>
                <w:color w:val="000000"/>
              </w:rPr>
              <w:t> </w:t>
            </w:r>
          </w:p>
        </w:tc>
        <w:tc>
          <w:tcPr>
            <w:tcW w:w="1215" w:type="dxa"/>
            <w:tcBorders>
              <w:top w:val="nil"/>
              <w:left w:val="nil"/>
              <w:bottom w:val="single" w:sz="4" w:space="0" w:color="000000"/>
              <w:right w:val="single" w:sz="4" w:space="0" w:color="000000"/>
            </w:tcBorders>
            <w:shd w:val="clear" w:color="auto" w:fill="auto"/>
            <w:vAlign w:val="bottom"/>
          </w:tcPr>
          <w:p w14:paraId="3C8346C0" w14:textId="77777777" w:rsidR="003A3BCA" w:rsidRDefault="008276B6">
            <w:pPr>
              <w:rPr>
                <w:rFonts w:ascii="Calibri" w:eastAsia="Calibri" w:hAnsi="Calibri" w:cs="Calibri"/>
                <w:color w:val="000000"/>
              </w:rPr>
            </w:pPr>
            <w:r>
              <w:rPr>
                <w:rFonts w:ascii="Calibri" w:eastAsia="Calibri" w:hAnsi="Calibri" w:cs="Calibri"/>
                <w:color w:val="000000"/>
              </w:rPr>
              <w:t> </w:t>
            </w:r>
          </w:p>
        </w:tc>
        <w:tc>
          <w:tcPr>
            <w:tcW w:w="951" w:type="dxa"/>
            <w:tcBorders>
              <w:top w:val="nil"/>
              <w:left w:val="nil"/>
              <w:bottom w:val="single" w:sz="4" w:space="0" w:color="000000"/>
              <w:right w:val="single" w:sz="4" w:space="0" w:color="000000"/>
            </w:tcBorders>
            <w:shd w:val="clear" w:color="auto" w:fill="auto"/>
            <w:vAlign w:val="bottom"/>
          </w:tcPr>
          <w:p w14:paraId="133E1755" w14:textId="77777777" w:rsidR="003A3BCA" w:rsidRDefault="008276B6">
            <w:pPr>
              <w:rPr>
                <w:rFonts w:ascii="Calibri" w:eastAsia="Calibri" w:hAnsi="Calibri" w:cs="Calibri"/>
                <w:color w:val="000000"/>
              </w:rPr>
            </w:pPr>
            <w:r>
              <w:rPr>
                <w:rFonts w:ascii="Calibri" w:eastAsia="Calibri" w:hAnsi="Calibri" w:cs="Calibri"/>
                <w:color w:val="000000"/>
              </w:rPr>
              <w:t> </w:t>
            </w:r>
          </w:p>
        </w:tc>
        <w:tc>
          <w:tcPr>
            <w:tcW w:w="951" w:type="dxa"/>
            <w:tcBorders>
              <w:top w:val="nil"/>
              <w:left w:val="nil"/>
              <w:bottom w:val="single" w:sz="4" w:space="0" w:color="000000"/>
              <w:right w:val="single" w:sz="4" w:space="0" w:color="000000"/>
            </w:tcBorders>
            <w:shd w:val="clear" w:color="auto" w:fill="auto"/>
            <w:vAlign w:val="bottom"/>
          </w:tcPr>
          <w:p w14:paraId="5011DAB7" w14:textId="77777777" w:rsidR="003A3BCA" w:rsidRDefault="008276B6">
            <w:pPr>
              <w:rPr>
                <w:rFonts w:ascii="Calibri" w:eastAsia="Calibri" w:hAnsi="Calibri" w:cs="Calibri"/>
                <w:color w:val="000000"/>
              </w:rPr>
            </w:pPr>
            <w:r>
              <w:rPr>
                <w:rFonts w:ascii="Calibri" w:eastAsia="Calibri" w:hAnsi="Calibri" w:cs="Calibri"/>
                <w:color w:val="000000"/>
              </w:rPr>
              <w:t> </w:t>
            </w:r>
          </w:p>
        </w:tc>
        <w:tc>
          <w:tcPr>
            <w:tcW w:w="951" w:type="dxa"/>
            <w:tcBorders>
              <w:top w:val="nil"/>
              <w:left w:val="nil"/>
              <w:bottom w:val="single" w:sz="4" w:space="0" w:color="000000"/>
              <w:right w:val="single" w:sz="4" w:space="0" w:color="000000"/>
            </w:tcBorders>
            <w:shd w:val="clear" w:color="auto" w:fill="auto"/>
            <w:vAlign w:val="bottom"/>
          </w:tcPr>
          <w:p w14:paraId="58007938" w14:textId="77777777" w:rsidR="003A3BCA" w:rsidRDefault="008276B6">
            <w:pPr>
              <w:rPr>
                <w:rFonts w:ascii="Calibri" w:eastAsia="Calibri" w:hAnsi="Calibri" w:cs="Calibri"/>
                <w:color w:val="000000"/>
              </w:rPr>
            </w:pPr>
            <w:r>
              <w:rPr>
                <w:rFonts w:ascii="Calibri" w:eastAsia="Calibri" w:hAnsi="Calibri" w:cs="Calibri"/>
                <w:color w:val="000000"/>
              </w:rPr>
              <w:t> </w:t>
            </w:r>
          </w:p>
        </w:tc>
      </w:tr>
      <w:tr w:rsidR="003A3BCA" w14:paraId="4C22A68B" w14:textId="77777777" w:rsidTr="006771A1">
        <w:trPr>
          <w:trHeight w:val="276"/>
        </w:trPr>
        <w:tc>
          <w:tcPr>
            <w:tcW w:w="1519" w:type="dxa"/>
            <w:tcBorders>
              <w:top w:val="nil"/>
              <w:left w:val="single" w:sz="4" w:space="0" w:color="000000"/>
              <w:bottom w:val="single" w:sz="4" w:space="0" w:color="000000"/>
              <w:right w:val="single" w:sz="4" w:space="0" w:color="000000"/>
            </w:tcBorders>
            <w:shd w:val="clear" w:color="auto" w:fill="auto"/>
            <w:vAlign w:val="bottom"/>
          </w:tcPr>
          <w:p w14:paraId="518285F2" w14:textId="77777777" w:rsidR="003A3BCA" w:rsidRDefault="008276B6">
            <w:pPr>
              <w:rPr>
                <w:rFonts w:ascii="Calibri" w:eastAsia="Calibri" w:hAnsi="Calibri" w:cs="Calibri"/>
                <w:color w:val="000000"/>
              </w:rPr>
            </w:pPr>
            <w:r>
              <w:rPr>
                <w:rFonts w:ascii="Calibri" w:eastAsia="Calibri" w:hAnsi="Calibri" w:cs="Calibri"/>
                <w:color w:val="000000"/>
              </w:rPr>
              <w:t>Raphael Varane</w:t>
            </w:r>
          </w:p>
        </w:tc>
        <w:tc>
          <w:tcPr>
            <w:tcW w:w="1520" w:type="dxa"/>
            <w:tcBorders>
              <w:top w:val="nil"/>
              <w:left w:val="nil"/>
              <w:bottom w:val="single" w:sz="4" w:space="0" w:color="000000"/>
              <w:right w:val="single" w:sz="4" w:space="0" w:color="000000"/>
            </w:tcBorders>
            <w:shd w:val="clear" w:color="auto" w:fill="auto"/>
            <w:vAlign w:val="bottom"/>
          </w:tcPr>
          <w:p w14:paraId="175967A3" w14:textId="77777777" w:rsidR="003A3BCA" w:rsidRDefault="008276B6">
            <w:pPr>
              <w:rPr>
                <w:rFonts w:ascii="Calibri" w:eastAsia="Calibri" w:hAnsi="Calibri" w:cs="Calibri"/>
                <w:color w:val="000000"/>
              </w:rPr>
            </w:pPr>
            <w:r>
              <w:rPr>
                <w:rFonts w:ascii="Calibri" w:eastAsia="Calibri" w:hAnsi="Calibri" w:cs="Calibri"/>
                <w:color w:val="000000"/>
              </w:rPr>
              <w:t>2021/2022</w:t>
            </w:r>
          </w:p>
        </w:tc>
        <w:tc>
          <w:tcPr>
            <w:tcW w:w="1315" w:type="dxa"/>
            <w:tcBorders>
              <w:top w:val="nil"/>
              <w:left w:val="nil"/>
              <w:bottom w:val="single" w:sz="4" w:space="0" w:color="000000"/>
              <w:right w:val="single" w:sz="4" w:space="0" w:color="000000"/>
            </w:tcBorders>
            <w:shd w:val="clear" w:color="auto" w:fill="auto"/>
            <w:vAlign w:val="bottom"/>
          </w:tcPr>
          <w:p w14:paraId="5BE9A012" w14:textId="77777777" w:rsidR="003A3BCA" w:rsidRDefault="008276B6">
            <w:pPr>
              <w:rPr>
                <w:rFonts w:ascii="Calibri" w:eastAsia="Calibri" w:hAnsi="Calibri" w:cs="Calibri"/>
                <w:color w:val="000000"/>
              </w:rPr>
            </w:pPr>
            <w:r>
              <w:rPr>
                <w:rFonts w:ascii="Calibri" w:eastAsia="Calibri" w:hAnsi="Calibri" w:cs="Calibri"/>
                <w:color w:val="000000"/>
              </w:rPr>
              <w:t>Central Defender</w:t>
            </w:r>
          </w:p>
        </w:tc>
        <w:tc>
          <w:tcPr>
            <w:tcW w:w="1681" w:type="dxa"/>
            <w:tcBorders>
              <w:top w:val="nil"/>
              <w:left w:val="nil"/>
              <w:bottom w:val="single" w:sz="4" w:space="0" w:color="000000"/>
              <w:right w:val="single" w:sz="4" w:space="0" w:color="000000"/>
            </w:tcBorders>
            <w:shd w:val="clear" w:color="auto" w:fill="auto"/>
            <w:vAlign w:val="bottom"/>
          </w:tcPr>
          <w:p w14:paraId="2CAEB3CC" w14:textId="77777777" w:rsidR="003A3BCA" w:rsidRDefault="008276B6">
            <w:pPr>
              <w:rPr>
                <w:rFonts w:ascii="Calibri" w:eastAsia="Calibri" w:hAnsi="Calibri" w:cs="Calibri"/>
                <w:color w:val="000000"/>
              </w:rPr>
            </w:pPr>
            <w:r>
              <w:rPr>
                <w:rFonts w:ascii="Calibri" w:eastAsia="Calibri" w:hAnsi="Calibri" w:cs="Calibri"/>
                <w:color w:val="000000"/>
              </w:rPr>
              <w:t xml:space="preserve">% </w:t>
            </w:r>
            <w:proofErr w:type="gramStart"/>
            <w:r>
              <w:rPr>
                <w:rFonts w:ascii="Calibri" w:eastAsia="Calibri" w:hAnsi="Calibri" w:cs="Calibri"/>
                <w:color w:val="000000"/>
              </w:rPr>
              <w:t>of</w:t>
            </w:r>
            <w:proofErr w:type="gramEnd"/>
            <w:r>
              <w:rPr>
                <w:rFonts w:ascii="Calibri" w:eastAsia="Calibri" w:hAnsi="Calibri" w:cs="Calibri"/>
                <w:color w:val="000000"/>
              </w:rPr>
              <w:t xml:space="preserve"> Aerials Won</w:t>
            </w:r>
          </w:p>
        </w:tc>
        <w:tc>
          <w:tcPr>
            <w:tcW w:w="1215" w:type="dxa"/>
            <w:tcBorders>
              <w:top w:val="nil"/>
              <w:left w:val="nil"/>
              <w:bottom w:val="single" w:sz="4" w:space="0" w:color="000000"/>
              <w:right w:val="single" w:sz="4" w:space="0" w:color="000000"/>
            </w:tcBorders>
            <w:shd w:val="clear" w:color="auto" w:fill="auto"/>
            <w:vAlign w:val="bottom"/>
          </w:tcPr>
          <w:p w14:paraId="45346A1B" w14:textId="77777777" w:rsidR="003A3BCA" w:rsidRDefault="008276B6">
            <w:pPr>
              <w:jc w:val="right"/>
              <w:rPr>
                <w:rFonts w:ascii="Calibri" w:eastAsia="Calibri" w:hAnsi="Calibri" w:cs="Calibri"/>
                <w:color w:val="000000"/>
              </w:rPr>
            </w:pPr>
            <w:r>
              <w:rPr>
                <w:rFonts w:ascii="Calibri" w:eastAsia="Calibri" w:hAnsi="Calibri" w:cs="Calibri"/>
                <w:color w:val="000000"/>
              </w:rPr>
              <w:t>88</w:t>
            </w:r>
          </w:p>
        </w:tc>
        <w:tc>
          <w:tcPr>
            <w:tcW w:w="951" w:type="dxa"/>
            <w:tcBorders>
              <w:top w:val="nil"/>
              <w:left w:val="nil"/>
              <w:bottom w:val="single" w:sz="4" w:space="0" w:color="000000"/>
              <w:right w:val="single" w:sz="4" w:space="0" w:color="000000"/>
            </w:tcBorders>
            <w:shd w:val="clear" w:color="auto" w:fill="auto"/>
            <w:vAlign w:val="bottom"/>
          </w:tcPr>
          <w:p w14:paraId="06D77537" w14:textId="77777777" w:rsidR="003A3BCA" w:rsidRDefault="008276B6">
            <w:pPr>
              <w:jc w:val="right"/>
              <w:rPr>
                <w:rFonts w:ascii="Calibri" w:eastAsia="Calibri" w:hAnsi="Calibri" w:cs="Calibri"/>
                <w:color w:val="000000"/>
              </w:rPr>
            </w:pPr>
            <w:r>
              <w:rPr>
                <w:rFonts w:ascii="Calibri" w:eastAsia="Calibri" w:hAnsi="Calibri" w:cs="Calibri"/>
                <w:color w:val="000000"/>
              </w:rPr>
              <w:t>44</w:t>
            </w:r>
          </w:p>
        </w:tc>
        <w:tc>
          <w:tcPr>
            <w:tcW w:w="951" w:type="dxa"/>
            <w:tcBorders>
              <w:top w:val="nil"/>
              <w:left w:val="nil"/>
              <w:bottom w:val="single" w:sz="4" w:space="0" w:color="000000"/>
              <w:right w:val="single" w:sz="4" w:space="0" w:color="000000"/>
            </w:tcBorders>
            <w:shd w:val="clear" w:color="auto" w:fill="auto"/>
            <w:vAlign w:val="bottom"/>
          </w:tcPr>
          <w:p w14:paraId="12B86592" w14:textId="77777777" w:rsidR="003A3BCA" w:rsidRDefault="008276B6">
            <w:pPr>
              <w:rPr>
                <w:rFonts w:ascii="Calibri" w:eastAsia="Calibri" w:hAnsi="Calibri" w:cs="Calibri"/>
                <w:color w:val="000000"/>
              </w:rPr>
            </w:pPr>
            <w:r>
              <w:rPr>
                <w:rFonts w:ascii="Calibri" w:eastAsia="Calibri" w:hAnsi="Calibri" w:cs="Calibri"/>
                <w:color w:val="000000"/>
              </w:rPr>
              <w:t> </w:t>
            </w:r>
          </w:p>
        </w:tc>
        <w:tc>
          <w:tcPr>
            <w:tcW w:w="951" w:type="dxa"/>
            <w:tcBorders>
              <w:top w:val="nil"/>
              <w:left w:val="nil"/>
              <w:bottom w:val="single" w:sz="4" w:space="0" w:color="000000"/>
              <w:right w:val="single" w:sz="4" w:space="0" w:color="000000"/>
            </w:tcBorders>
            <w:shd w:val="clear" w:color="auto" w:fill="auto"/>
            <w:vAlign w:val="bottom"/>
          </w:tcPr>
          <w:p w14:paraId="471D5A6B" w14:textId="77777777" w:rsidR="003A3BCA" w:rsidRDefault="008276B6">
            <w:pPr>
              <w:jc w:val="right"/>
              <w:rPr>
                <w:rFonts w:ascii="Calibri" w:eastAsia="Calibri" w:hAnsi="Calibri" w:cs="Calibri"/>
                <w:color w:val="000000"/>
              </w:rPr>
            </w:pPr>
            <w:r>
              <w:rPr>
                <w:rFonts w:ascii="Calibri" w:eastAsia="Calibri" w:hAnsi="Calibri" w:cs="Calibri"/>
                <w:color w:val="000000"/>
              </w:rPr>
              <w:t>4,13</w:t>
            </w:r>
          </w:p>
        </w:tc>
      </w:tr>
    </w:tbl>
    <w:p w14:paraId="0D2225D5" w14:textId="1B9FAEEC" w:rsidR="00E64692" w:rsidRPr="00E64692" w:rsidRDefault="00E64692" w:rsidP="00E64692">
      <w:pPr>
        <w:pBdr>
          <w:top w:val="nil"/>
          <w:left w:val="nil"/>
          <w:bottom w:val="nil"/>
          <w:right w:val="nil"/>
          <w:between w:val="nil"/>
        </w:pBdr>
        <w:spacing w:after="200"/>
        <w:rPr>
          <w:rFonts w:ascii="Calibri" w:eastAsia="Calibri" w:hAnsi="Calibri" w:cs="Calibri"/>
          <w:i/>
          <w:color w:val="44546A"/>
          <w:sz w:val="18"/>
          <w:szCs w:val="18"/>
        </w:rPr>
      </w:pPr>
      <w:r>
        <w:rPr>
          <w:rFonts w:ascii="Calibri" w:eastAsia="Calibri" w:hAnsi="Calibri" w:cs="Calibri"/>
          <w:i/>
          <w:color w:val="44546A"/>
          <w:sz w:val="18"/>
          <w:szCs w:val="18"/>
        </w:rPr>
        <w:t>Table 10. Breakdown of Manchester United's defensive signings grading process</w:t>
      </w:r>
    </w:p>
    <w:p w14:paraId="685BFD02" w14:textId="123EC542" w:rsidR="003A3BCA" w:rsidRDefault="008276B6" w:rsidP="00E64692">
      <w:pPr>
        <w:spacing w:line="360" w:lineRule="auto"/>
        <w:ind w:firstLine="720"/>
        <w:jc w:val="both"/>
      </w:pPr>
      <w:r>
        <w:t>So, beginning the breakdown for the defensive players (Harry Maguire, Aaron Wan-</w:t>
      </w:r>
      <w:proofErr w:type="spellStart"/>
      <w:r>
        <w:t>Bissaka</w:t>
      </w:r>
      <w:proofErr w:type="spellEnd"/>
      <w:r>
        <w:t xml:space="preserve">, and Raphael </w:t>
      </w:r>
      <w:proofErr w:type="spellStart"/>
      <w:r>
        <w:t>Varane</w:t>
      </w:r>
      <w:proofErr w:type="spellEnd"/>
      <w:r>
        <w:t xml:space="preserve">) as their grading criteria differs a bit from the rest of the players, as grading defenders is simply a much harder task than rating other outfield players. </w:t>
      </w:r>
    </w:p>
    <w:p w14:paraId="01FCE36B" w14:textId="77777777" w:rsidR="003A3BCA" w:rsidRDefault="008276B6">
      <w:pPr>
        <w:spacing w:line="360" w:lineRule="auto"/>
        <w:jc w:val="both"/>
      </w:pPr>
      <w:r>
        <w:tab/>
        <w:t xml:space="preserve">Harry Maguire’s leading defensive attribute for two of the three seasons was his percentage of aerial duels won, and from what could be seen, he was very consistent in that department, although it is notable that his third season at Manchester United </w:t>
      </w:r>
      <w:proofErr w:type="gramStart"/>
      <w:r>
        <w:t>definitely took</w:t>
      </w:r>
      <w:proofErr w:type="gramEnd"/>
      <w:r>
        <w:t xml:space="preserve"> a hit and he regressed a bit, but his average grade for his Man United spell is 4,5 out of 5, as per the Player Evaluation Model (PEM). The formula used for him and the other two players who play in defense is the following: 0,85*leading DEF attribute + 0,15*AVG MID percentiles. Each season his defensive attributes have gotten Maguire a grade of 4,5 or higher on the defensive end + the high midfield percentiles, implying his involvement in the possession phase </w:t>
      </w:r>
      <w:r>
        <w:lastRenderedPageBreak/>
        <w:t xml:space="preserve">of the game of United. This overall grade makes Harry Maguire the highest-rated signing by Manchester United during the period of interest. </w:t>
      </w:r>
    </w:p>
    <w:p w14:paraId="5DAD2B1A" w14:textId="77777777" w:rsidR="003A3BCA" w:rsidRDefault="008276B6">
      <w:pPr>
        <w:spacing w:line="360" w:lineRule="auto"/>
        <w:jc w:val="both"/>
      </w:pPr>
      <w:r>
        <w:tab/>
        <w:t>Aaron Wan-</w:t>
      </w:r>
      <w:proofErr w:type="spellStart"/>
      <w:r>
        <w:t>Bissaka</w:t>
      </w:r>
      <w:proofErr w:type="spellEnd"/>
      <w:r>
        <w:t xml:space="preserve">, on the other hand, is a fullback bought from Crystal Palace in 2019 for 55 million EUR, making him one of the “cheapest” signings that United has made recently. What is interesting about his game is that each season his leading defensive attribute was different, but he excelled in each of them, making him a very solid defender for the club, no matter the role he needed to fulfill. And although his grade is also one of the highest received by a United player, his offensive output drags his grade down, as it still plays a role in the grade calculation for his position, he was unable to successfully produce going forward, making his overall score suffer. A very solid transfer for United, as per the PEM, who needs to improve his offensive output to boost his game even more. </w:t>
      </w:r>
    </w:p>
    <w:p w14:paraId="575B7D3B" w14:textId="77777777" w:rsidR="003A3BCA" w:rsidRDefault="008276B6">
      <w:pPr>
        <w:spacing w:line="360" w:lineRule="auto"/>
        <w:jc w:val="both"/>
      </w:pPr>
      <w:r>
        <w:tab/>
        <w:t xml:space="preserve">Raphael Varane is a center-back, bought from Real Madrid in 2021 for approximately 40 million EUR. Unlike other players who’ve had multiple seasons to analyze, Varane only has 1. Varane’s leading defensive statistic for last season was his % of aerial duels won, which participated greatly in his overall grade of 4,1 for the season. It could be seen that an area of improvement for the French defender could be his involvement in the second phase of the game (midfield), as his defensive peers in the Premier League were mostly better than him, given his average percentile score. </w:t>
      </w:r>
    </w:p>
    <w:p w14:paraId="6BE029C8" w14:textId="77777777" w:rsidR="003A3BCA" w:rsidRDefault="008276B6">
      <w:pPr>
        <w:spacing w:line="360" w:lineRule="auto"/>
        <w:jc w:val="both"/>
      </w:pPr>
      <w:r>
        <w:tab/>
        <w:t xml:space="preserve">Overall, one could argue that United’s defensive players have been playing very consistently, given their high grades, and that United’s best bit of recruitment business has been done exactly in the defensive area of the game. This, however, strongly contradicts with the defensive efficiency rank of Manchester United of the last 5 seasons, shown in Table 4. Perhaps the bad defensive rating of the club could be attributed to all players, not only to the defenders. It all depends on the point of view, as well as on a deeper analysis on Manchester United’s defensive performance from 2017 to 2022, with the latter, however, falling outside the scope of this research. And although deeper analytical research on United’s defensive troubles is outside the scope of research, it </w:t>
      </w:r>
      <w:proofErr w:type="gramStart"/>
      <w:r>
        <w:t>definitely appears</w:t>
      </w:r>
      <w:proofErr w:type="gramEnd"/>
      <w:r>
        <w:t xml:space="preserve"> as an interesting research question. It also must be said that the limitations of the Player Evaluation Model (PEM) are mostly felt by defensive players, as the overall game of said players is difficult to be monitored by statistics alone, an opinion shared by Derby County FC’s leading scout back in 2017</w:t>
      </w:r>
      <w:r>
        <w:rPr>
          <w:vertAlign w:val="superscript"/>
        </w:rPr>
        <w:footnoteReference w:id="26"/>
      </w:r>
      <w:r>
        <w:t xml:space="preserve">. Yes, the model </w:t>
      </w:r>
      <w:r>
        <w:lastRenderedPageBreak/>
        <w:t xml:space="preserve">accounts for some of the concerns shared by McClaren by considering the different roles that defensive players might play, but the limitations are still there and must be acknowledged. </w:t>
      </w:r>
    </w:p>
    <w:tbl>
      <w:tblPr>
        <w:tblStyle w:val="a9"/>
        <w:tblW w:w="9689" w:type="dxa"/>
        <w:tblInd w:w="-185" w:type="dxa"/>
        <w:tblLayout w:type="fixed"/>
        <w:tblLook w:val="0400" w:firstRow="0" w:lastRow="0" w:firstColumn="0" w:lastColumn="0" w:noHBand="0" w:noVBand="1"/>
      </w:tblPr>
      <w:tblGrid>
        <w:gridCol w:w="1937"/>
        <w:gridCol w:w="1325"/>
        <w:gridCol w:w="1583"/>
        <w:gridCol w:w="1211"/>
        <w:gridCol w:w="1211"/>
        <w:gridCol w:w="1211"/>
        <w:gridCol w:w="1211"/>
      </w:tblGrid>
      <w:tr w:rsidR="003A3BCA" w14:paraId="26B1CAA0" w14:textId="77777777">
        <w:trPr>
          <w:trHeight w:val="320"/>
        </w:trPr>
        <w:tc>
          <w:tcPr>
            <w:tcW w:w="193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1AFC656" w14:textId="77777777" w:rsidR="003A3BCA" w:rsidRDefault="008276B6">
            <w:pPr>
              <w:rPr>
                <w:rFonts w:ascii="Calibri" w:eastAsia="Calibri" w:hAnsi="Calibri" w:cs="Calibri"/>
                <w:color w:val="000000"/>
              </w:rPr>
            </w:pPr>
            <w:r>
              <w:rPr>
                <w:rFonts w:ascii="Calibri" w:eastAsia="Calibri" w:hAnsi="Calibri" w:cs="Calibri"/>
                <w:color w:val="000000"/>
              </w:rPr>
              <w:t>Player</w:t>
            </w:r>
          </w:p>
        </w:tc>
        <w:tc>
          <w:tcPr>
            <w:tcW w:w="1325" w:type="dxa"/>
            <w:tcBorders>
              <w:top w:val="single" w:sz="4" w:space="0" w:color="000000"/>
              <w:left w:val="nil"/>
              <w:bottom w:val="single" w:sz="4" w:space="0" w:color="000000"/>
              <w:right w:val="single" w:sz="4" w:space="0" w:color="000000"/>
            </w:tcBorders>
            <w:shd w:val="clear" w:color="auto" w:fill="auto"/>
            <w:vAlign w:val="bottom"/>
          </w:tcPr>
          <w:p w14:paraId="1F587B47" w14:textId="77777777" w:rsidR="003A3BCA" w:rsidRDefault="008276B6">
            <w:pPr>
              <w:rPr>
                <w:rFonts w:ascii="Calibri" w:eastAsia="Calibri" w:hAnsi="Calibri" w:cs="Calibri"/>
                <w:color w:val="000000"/>
              </w:rPr>
            </w:pPr>
            <w:r>
              <w:rPr>
                <w:rFonts w:ascii="Calibri" w:eastAsia="Calibri" w:hAnsi="Calibri" w:cs="Calibri"/>
                <w:color w:val="000000"/>
              </w:rPr>
              <w:t>Season</w:t>
            </w:r>
          </w:p>
        </w:tc>
        <w:tc>
          <w:tcPr>
            <w:tcW w:w="1583" w:type="dxa"/>
            <w:tcBorders>
              <w:top w:val="single" w:sz="4" w:space="0" w:color="000000"/>
              <w:left w:val="nil"/>
              <w:bottom w:val="single" w:sz="4" w:space="0" w:color="000000"/>
              <w:right w:val="single" w:sz="4" w:space="0" w:color="000000"/>
            </w:tcBorders>
            <w:shd w:val="clear" w:color="auto" w:fill="auto"/>
            <w:vAlign w:val="bottom"/>
          </w:tcPr>
          <w:p w14:paraId="207E28D0" w14:textId="77777777" w:rsidR="003A3BCA" w:rsidRDefault="008276B6">
            <w:pPr>
              <w:rPr>
                <w:rFonts w:ascii="Calibri" w:eastAsia="Calibri" w:hAnsi="Calibri" w:cs="Calibri"/>
                <w:color w:val="000000"/>
              </w:rPr>
            </w:pPr>
            <w:r>
              <w:rPr>
                <w:rFonts w:ascii="Calibri" w:eastAsia="Calibri" w:hAnsi="Calibri" w:cs="Calibri"/>
                <w:color w:val="000000"/>
              </w:rPr>
              <w:t>Position</w:t>
            </w:r>
          </w:p>
        </w:tc>
        <w:tc>
          <w:tcPr>
            <w:tcW w:w="1211" w:type="dxa"/>
            <w:tcBorders>
              <w:top w:val="single" w:sz="4" w:space="0" w:color="000000"/>
              <w:left w:val="nil"/>
              <w:bottom w:val="single" w:sz="4" w:space="0" w:color="000000"/>
              <w:right w:val="single" w:sz="4" w:space="0" w:color="000000"/>
            </w:tcBorders>
            <w:shd w:val="clear" w:color="auto" w:fill="auto"/>
            <w:vAlign w:val="bottom"/>
          </w:tcPr>
          <w:p w14:paraId="22F07B1F" w14:textId="77777777" w:rsidR="003A3BCA" w:rsidRDefault="008276B6">
            <w:pPr>
              <w:rPr>
                <w:rFonts w:ascii="Calibri" w:eastAsia="Calibri" w:hAnsi="Calibri" w:cs="Calibri"/>
                <w:color w:val="000000"/>
              </w:rPr>
            </w:pPr>
            <w:r>
              <w:rPr>
                <w:rFonts w:ascii="Calibri" w:eastAsia="Calibri" w:hAnsi="Calibri" w:cs="Calibri"/>
                <w:color w:val="000000"/>
              </w:rPr>
              <w:t>AVG DEF</w:t>
            </w:r>
          </w:p>
        </w:tc>
        <w:tc>
          <w:tcPr>
            <w:tcW w:w="1211" w:type="dxa"/>
            <w:tcBorders>
              <w:top w:val="single" w:sz="4" w:space="0" w:color="000000"/>
              <w:left w:val="nil"/>
              <w:bottom w:val="single" w:sz="4" w:space="0" w:color="000000"/>
              <w:right w:val="single" w:sz="4" w:space="0" w:color="000000"/>
            </w:tcBorders>
            <w:shd w:val="clear" w:color="auto" w:fill="auto"/>
            <w:vAlign w:val="bottom"/>
          </w:tcPr>
          <w:p w14:paraId="7EB019A4" w14:textId="77777777" w:rsidR="003A3BCA" w:rsidRDefault="008276B6">
            <w:pPr>
              <w:rPr>
                <w:rFonts w:ascii="Calibri" w:eastAsia="Calibri" w:hAnsi="Calibri" w:cs="Calibri"/>
                <w:color w:val="000000"/>
              </w:rPr>
            </w:pPr>
            <w:r>
              <w:rPr>
                <w:rFonts w:ascii="Calibri" w:eastAsia="Calibri" w:hAnsi="Calibri" w:cs="Calibri"/>
                <w:color w:val="000000"/>
              </w:rPr>
              <w:t>AVG MID</w:t>
            </w:r>
          </w:p>
        </w:tc>
        <w:tc>
          <w:tcPr>
            <w:tcW w:w="1211" w:type="dxa"/>
            <w:tcBorders>
              <w:top w:val="single" w:sz="4" w:space="0" w:color="000000"/>
              <w:left w:val="nil"/>
              <w:bottom w:val="single" w:sz="4" w:space="0" w:color="000000"/>
              <w:right w:val="single" w:sz="4" w:space="0" w:color="000000"/>
            </w:tcBorders>
            <w:shd w:val="clear" w:color="auto" w:fill="auto"/>
            <w:vAlign w:val="bottom"/>
          </w:tcPr>
          <w:p w14:paraId="44D4B06C" w14:textId="77777777" w:rsidR="003A3BCA" w:rsidRDefault="008276B6">
            <w:pPr>
              <w:rPr>
                <w:rFonts w:ascii="Calibri" w:eastAsia="Calibri" w:hAnsi="Calibri" w:cs="Calibri"/>
                <w:color w:val="000000"/>
              </w:rPr>
            </w:pPr>
            <w:r>
              <w:rPr>
                <w:rFonts w:ascii="Calibri" w:eastAsia="Calibri" w:hAnsi="Calibri" w:cs="Calibri"/>
                <w:color w:val="000000"/>
              </w:rPr>
              <w:t>AVG ATT</w:t>
            </w:r>
          </w:p>
        </w:tc>
        <w:tc>
          <w:tcPr>
            <w:tcW w:w="1211" w:type="dxa"/>
            <w:tcBorders>
              <w:top w:val="single" w:sz="4" w:space="0" w:color="000000"/>
              <w:left w:val="nil"/>
              <w:bottom w:val="single" w:sz="4" w:space="0" w:color="000000"/>
              <w:right w:val="single" w:sz="4" w:space="0" w:color="000000"/>
            </w:tcBorders>
            <w:shd w:val="clear" w:color="auto" w:fill="auto"/>
            <w:vAlign w:val="bottom"/>
          </w:tcPr>
          <w:p w14:paraId="2E810537" w14:textId="77777777" w:rsidR="003A3BCA" w:rsidRDefault="008276B6">
            <w:pPr>
              <w:rPr>
                <w:rFonts w:ascii="Calibri" w:eastAsia="Calibri" w:hAnsi="Calibri" w:cs="Calibri"/>
                <w:color w:val="000000"/>
              </w:rPr>
            </w:pPr>
            <w:r>
              <w:rPr>
                <w:rFonts w:ascii="Calibri" w:eastAsia="Calibri" w:hAnsi="Calibri" w:cs="Calibri"/>
                <w:color w:val="000000"/>
              </w:rPr>
              <w:t>Grade</w:t>
            </w:r>
          </w:p>
        </w:tc>
      </w:tr>
      <w:tr w:rsidR="003A3BCA" w14:paraId="65295FB6" w14:textId="77777777">
        <w:trPr>
          <w:trHeight w:val="320"/>
        </w:trPr>
        <w:tc>
          <w:tcPr>
            <w:tcW w:w="1937" w:type="dxa"/>
            <w:tcBorders>
              <w:top w:val="nil"/>
              <w:left w:val="single" w:sz="4" w:space="0" w:color="000000"/>
              <w:bottom w:val="single" w:sz="4" w:space="0" w:color="000000"/>
              <w:right w:val="single" w:sz="4" w:space="0" w:color="000000"/>
            </w:tcBorders>
            <w:shd w:val="clear" w:color="auto" w:fill="auto"/>
            <w:vAlign w:val="bottom"/>
          </w:tcPr>
          <w:p w14:paraId="0DB72615" w14:textId="77777777" w:rsidR="003A3BCA" w:rsidRDefault="008276B6">
            <w:pPr>
              <w:rPr>
                <w:rFonts w:ascii="Calibri" w:eastAsia="Calibri" w:hAnsi="Calibri" w:cs="Calibri"/>
                <w:color w:val="000000"/>
              </w:rPr>
            </w:pPr>
            <w:r>
              <w:rPr>
                <w:rFonts w:ascii="Calibri" w:eastAsia="Calibri" w:hAnsi="Calibri" w:cs="Calibri"/>
                <w:color w:val="000000"/>
              </w:rPr>
              <w:t>Jadon Sancho</w:t>
            </w:r>
          </w:p>
        </w:tc>
        <w:tc>
          <w:tcPr>
            <w:tcW w:w="1325" w:type="dxa"/>
            <w:tcBorders>
              <w:top w:val="nil"/>
              <w:left w:val="nil"/>
              <w:bottom w:val="single" w:sz="4" w:space="0" w:color="000000"/>
              <w:right w:val="single" w:sz="4" w:space="0" w:color="000000"/>
            </w:tcBorders>
            <w:shd w:val="clear" w:color="auto" w:fill="auto"/>
            <w:vAlign w:val="bottom"/>
          </w:tcPr>
          <w:p w14:paraId="463CB1D2" w14:textId="77777777" w:rsidR="003A3BCA" w:rsidRDefault="008276B6">
            <w:pPr>
              <w:rPr>
                <w:rFonts w:ascii="Calibri" w:eastAsia="Calibri" w:hAnsi="Calibri" w:cs="Calibri"/>
                <w:color w:val="000000"/>
              </w:rPr>
            </w:pPr>
            <w:r>
              <w:rPr>
                <w:rFonts w:ascii="Calibri" w:eastAsia="Calibri" w:hAnsi="Calibri" w:cs="Calibri"/>
                <w:color w:val="000000"/>
              </w:rPr>
              <w:t>2021/2022</w:t>
            </w:r>
          </w:p>
        </w:tc>
        <w:tc>
          <w:tcPr>
            <w:tcW w:w="1583" w:type="dxa"/>
            <w:tcBorders>
              <w:top w:val="nil"/>
              <w:left w:val="nil"/>
              <w:bottom w:val="single" w:sz="4" w:space="0" w:color="000000"/>
              <w:right w:val="single" w:sz="4" w:space="0" w:color="000000"/>
            </w:tcBorders>
            <w:shd w:val="clear" w:color="auto" w:fill="auto"/>
            <w:vAlign w:val="bottom"/>
          </w:tcPr>
          <w:p w14:paraId="217E95FD" w14:textId="77777777" w:rsidR="003A3BCA" w:rsidRDefault="008276B6">
            <w:pPr>
              <w:rPr>
                <w:rFonts w:ascii="Calibri" w:eastAsia="Calibri" w:hAnsi="Calibri" w:cs="Calibri"/>
                <w:color w:val="000000"/>
              </w:rPr>
            </w:pPr>
            <w:r>
              <w:rPr>
                <w:rFonts w:ascii="Calibri" w:eastAsia="Calibri" w:hAnsi="Calibri" w:cs="Calibri"/>
                <w:color w:val="000000"/>
              </w:rPr>
              <w:t>Winger</w:t>
            </w:r>
          </w:p>
        </w:tc>
        <w:tc>
          <w:tcPr>
            <w:tcW w:w="1211" w:type="dxa"/>
            <w:tcBorders>
              <w:top w:val="nil"/>
              <w:left w:val="nil"/>
              <w:bottom w:val="single" w:sz="4" w:space="0" w:color="000000"/>
              <w:right w:val="single" w:sz="4" w:space="0" w:color="000000"/>
            </w:tcBorders>
            <w:shd w:val="clear" w:color="auto" w:fill="auto"/>
            <w:vAlign w:val="bottom"/>
          </w:tcPr>
          <w:p w14:paraId="104CD671" w14:textId="77777777" w:rsidR="003A3BCA" w:rsidRDefault="008276B6">
            <w:pPr>
              <w:jc w:val="right"/>
              <w:rPr>
                <w:rFonts w:ascii="Calibri" w:eastAsia="Calibri" w:hAnsi="Calibri" w:cs="Calibri"/>
                <w:color w:val="000000"/>
              </w:rPr>
            </w:pPr>
            <w:r>
              <w:rPr>
                <w:rFonts w:ascii="Calibri" w:eastAsia="Calibri" w:hAnsi="Calibri" w:cs="Calibri"/>
                <w:color w:val="000000"/>
              </w:rPr>
              <w:t>31</w:t>
            </w:r>
          </w:p>
        </w:tc>
        <w:tc>
          <w:tcPr>
            <w:tcW w:w="1211" w:type="dxa"/>
            <w:tcBorders>
              <w:top w:val="nil"/>
              <w:left w:val="nil"/>
              <w:bottom w:val="single" w:sz="4" w:space="0" w:color="000000"/>
              <w:right w:val="single" w:sz="4" w:space="0" w:color="000000"/>
            </w:tcBorders>
            <w:shd w:val="clear" w:color="auto" w:fill="auto"/>
            <w:vAlign w:val="bottom"/>
          </w:tcPr>
          <w:p w14:paraId="6ECB641F" w14:textId="77777777" w:rsidR="003A3BCA" w:rsidRDefault="008276B6">
            <w:pPr>
              <w:jc w:val="right"/>
              <w:rPr>
                <w:rFonts w:ascii="Calibri" w:eastAsia="Calibri" w:hAnsi="Calibri" w:cs="Calibri"/>
                <w:color w:val="000000"/>
              </w:rPr>
            </w:pPr>
            <w:r>
              <w:rPr>
                <w:rFonts w:ascii="Calibri" w:eastAsia="Calibri" w:hAnsi="Calibri" w:cs="Calibri"/>
                <w:color w:val="000000"/>
              </w:rPr>
              <w:t>83</w:t>
            </w:r>
          </w:p>
        </w:tc>
        <w:tc>
          <w:tcPr>
            <w:tcW w:w="1211" w:type="dxa"/>
            <w:tcBorders>
              <w:top w:val="nil"/>
              <w:left w:val="nil"/>
              <w:bottom w:val="single" w:sz="4" w:space="0" w:color="000000"/>
              <w:right w:val="single" w:sz="4" w:space="0" w:color="000000"/>
            </w:tcBorders>
            <w:shd w:val="clear" w:color="auto" w:fill="auto"/>
            <w:vAlign w:val="bottom"/>
          </w:tcPr>
          <w:p w14:paraId="0BCCE683" w14:textId="77777777" w:rsidR="003A3BCA" w:rsidRDefault="008276B6">
            <w:pPr>
              <w:jc w:val="right"/>
              <w:rPr>
                <w:rFonts w:ascii="Calibri" w:eastAsia="Calibri" w:hAnsi="Calibri" w:cs="Calibri"/>
                <w:color w:val="000000"/>
              </w:rPr>
            </w:pPr>
            <w:r>
              <w:rPr>
                <w:rFonts w:ascii="Calibri" w:eastAsia="Calibri" w:hAnsi="Calibri" w:cs="Calibri"/>
                <w:color w:val="000000"/>
              </w:rPr>
              <w:t>44</w:t>
            </w:r>
          </w:p>
        </w:tc>
        <w:tc>
          <w:tcPr>
            <w:tcW w:w="1211" w:type="dxa"/>
            <w:tcBorders>
              <w:top w:val="nil"/>
              <w:left w:val="nil"/>
              <w:bottom w:val="single" w:sz="4" w:space="0" w:color="000000"/>
              <w:right w:val="single" w:sz="4" w:space="0" w:color="000000"/>
            </w:tcBorders>
            <w:shd w:val="clear" w:color="auto" w:fill="auto"/>
            <w:vAlign w:val="bottom"/>
          </w:tcPr>
          <w:p w14:paraId="4EB3DCC5" w14:textId="77777777" w:rsidR="003A3BCA" w:rsidRDefault="008276B6">
            <w:pPr>
              <w:jc w:val="right"/>
              <w:rPr>
                <w:rFonts w:ascii="Calibri" w:eastAsia="Calibri" w:hAnsi="Calibri" w:cs="Calibri"/>
                <w:color w:val="000000"/>
              </w:rPr>
            </w:pPr>
            <w:r>
              <w:rPr>
                <w:rFonts w:ascii="Calibri" w:eastAsia="Calibri" w:hAnsi="Calibri" w:cs="Calibri"/>
                <w:color w:val="000000"/>
              </w:rPr>
              <w:t>2,7</w:t>
            </w:r>
          </w:p>
        </w:tc>
      </w:tr>
      <w:tr w:rsidR="003A3BCA" w14:paraId="7E22341D" w14:textId="77777777">
        <w:trPr>
          <w:trHeight w:val="320"/>
        </w:trPr>
        <w:tc>
          <w:tcPr>
            <w:tcW w:w="1937" w:type="dxa"/>
            <w:tcBorders>
              <w:top w:val="nil"/>
              <w:left w:val="single" w:sz="4" w:space="0" w:color="000000"/>
              <w:bottom w:val="single" w:sz="4" w:space="0" w:color="000000"/>
              <w:right w:val="single" w:sz="4" w:space="0" w:color="000000"/>
            </w:tcBorders>
            <w:shd w:val="clear" w:color="auto" w:fill="auto"/>
            <w:vAlign w:val="bottom"/>
          </w:tcPr>
          <w:p w14:paraId="7F49A367" w14:textId="77777777" w:rsidR="003A3BCA" w:rsidRDefault="008276B6">
            <w:pPr>
              <w:rPr>
                <w:rFonts w:ascii="Calibri" w:eastAsia="Calibri" w:hAnsi="Calibri" w:cs="Calibri"/>
                <w:color w:val="000000"/>
              </w:rPr>
            </w:pPr>
            <w:r>
              <w:rPr>
                <w:rFonts w:ascii="Calibri" w:eastAsia="Calibri" w:hAnsi="Calibri" w:cs="Calibri"/>
                <w:color w:val="000000"/>
              </w:rPr>
              <w:t> </w:t>
            </w:r>
          </w:p>
        </w:tc>
        <w:tc>
          <w:tcPr>
            <w:tcW w:w="1325" w:type="dxa"/>
            <w:tcBorders>
              <w:top w:val="nil"/>
              <w:left w:val="nil"/>
              <w:bottom w:val="single" w:sz="4" w:space="0" w:color="000000"/>
              <w:right w:val="single" w:sz="4" w:space="0" w:color="000000"/>
            </w:tcBorders>
            <w:shd w:val="clear" w:color="auto" w:fill="auto"/>
            <w:vAlign w:val="bottom"/>
          </w:tcPr>
          <w:p w14:paraId="470EA1E6" w14:textId="77777777" w:rsidR="003A3BCA" w:rsidRDefault="008276B6">
            <w:pPr>
              <w:rPr>
                <w:rFonts w:ascii="Calibri" w:eastAsia="Calibri" w:hAnsi="Calibri" w:cs="Calibri"/>
                <w:color w:val="000000"/>
              </w:rPr>
            </w:pPr>
            <w:r>
              <w:rPr>
                <w:rFonts w:ascii="Calibri" w:eastAsia="Calibri" w:hAnsi="Calibri" w:cs="Calibri"/>
                <w:color w:val="000000"/>
              </w:rPr>
              <w:t> </w:t>
            </w:r>
          </w:p>
        </w:tc>
        <w:tc>
          <w:tcPr>
            <w:tcW w:w="1583" w:type="dxa"/>
            <w:tcBorders>
              <w:top w:val="nil"/>
              <w:left w:val="nil"/>
              <w:bottom w:val="single" w:sz="4" w:space="0" w:color="000000"/>
              <w:right w:val="single" w:sz="4" w:space="0" w:color="000000"/>
            </w:tcBorders>
            <w:shd w:val="clear" w:color="auto" w:fill="auto"/>
            <w:vAlign w:val="bottom"/>
          </w:tcPr>
          <w:p w14:paraId="1765DB95" w14:textId="77777777" w:rsidR="003A3BCA" w:rsidRDefault="008276B6">
            <w:pPr>
              <w:rPr>
                <w:rFonts w:ascii="Calibri" w:eastAsia="Calibri" w:hAnsi="Calibri" w:cs="Calibri"/>
                <w:color w:val="000000"/>
              </w:rPr>
            </w:pPr>
            <w:r>
              <w:rPr>
                <w:rFonts w:ascii="Calibri" w:eastAsia="Calibri" w:hAnsi="Calibri" w:cs="Calibri"/>
                <w:color w:val="000000"/>
              </w:rPr>
              <w:t> </w:t>
            </w:r>
          </w:p>
        </w:tc>
        <w:tc>
          <w:tcPr>
            <w:tcW w:w="1211" w:type="dxa"/>
            <w:tcBorders>
              <w:top w:val="nil"/>
              <w:left w:val="nil"/>
              <w:bottom w:val="single" w:sz="4" w:space="0" w:color="000000"/>
              <w:right w:val="single" w:sz="4" w:space="0" w:color="000000"/>
            </w:tcBorders>
            <w:shd w:val="clear" w:color="auto" w:fill="auto"/>
            <w:vAlign w:val="bottom"/>
          </w:tcPr>
          <w:p w14:paraId="39A5B39A" w14:textId="77777777" w:rsidR="003A3BCA" w:rsidRDefault="008276B6">
            <w:pPr>
              <w:rPr>
                <w:rFonts w:ascii="Calibri" w:eastAsia="Calibri" w:hAnsi="Calibri" w:cs="Calibri"/>
                <w:color w:val="000000"/>
              </w:rPr>
            </w:pPr>
            <w:r>
              <w:rPr>
                <w:rFonts w:ascii="Calibri" w:eastAsia="Calibri" w:hAnsi="Calibri" w:cs="Calibri"/>
                <w:color w:val="000000"/>
              </w:rPr>
              <w:t> </w:t>
            </w:r>
          </w:p>
        </w:tc>
        <w:tc>
          <w:tcPr>
            <w:tcW w:w="1211" w:type="dxa"/>
            <w:tcBorders>
              <w:top w:val="nil"/>
              <w:left w:val="nil"/>
              <w:bottom w:val="single" w:sz="4" w:space="0" w:color="000000"/>
              <w:right w:val="single" w:sz="4" w:space="0" w:color="000000"/>
            </w:tcBorders>
            <w:shd w:val="clear" w:color="auto" w:fill="auto"/>
            <w:vAlign w:val="bottom"/>
          </w:tcPr>
          <w:p w14:paraId="24E7F7EF" w14:textId="77777777" w:rsidR="003A3BCA" w:rsidRDefault="008276B6">
            <w:pPr>
              <w:rPr>
                <w:rFonts w:ascii="Calibri" w:eastAsia="Calibri" w:hAnsi="Calibri" w:cs="Calibri"/>
                <w:color w:val="000000"/>
              </w:rPr>
            </w:pPr>
            <w:r>
              <w:rPr>
                <w:rFonts w:ascii="Calibri" w:eastAsia="Calibri" w:hAnsi="Calibri" w:cs="Calibri"/>
                <w:color w:val="000000"/>
              </w:rPr>
              <w:t> </w:t>
            </w:r>
          </w:p>
        </w:tc>
        <w:tc>
          <w:tcPr>
            <w:tcW w:w="1211" w:type="dxa"/>
            <w:tcBorders>
              <w:top w:val="nil"/>
              <w:left w:val="nil"/>
              <w:bottom w:val="single" w:sz="4" w:space="0" w:color="000000"/>
              <w:right w:val="single" w:sz="4" w:space="0" w:color="000000"/>
            </w:tcBorders>
            <w:shd w:val="clear" w:color="auto" w:fill="auto"/>
            <w:vAlign w:val="bottom"/>
          </w:tcPr>
          <w:p w14:paraId="721F4F42" w14:textId="77777777" w:rsidR="003A3BCA" w:rsidRDefault="008276B6">
            <w:pPr>
              <w:rPr>
                <w:rFonts w:ascii="Calibri" w:eastAsia="Calibri" w:hAnsi="Calibri" w:cs="Calibri"/>
                <w:color w:val="000000"/>
              </w:rPr>
            </w:pPr>
            <w:r>
              <w:rPr>
                <w:rFonts w:ascii="Calibri" w:eastAsia="Calibri" w:hAnsi="Calibri" w:cs="Calibri"/>
                <w:color w:val="000000"/>
              </w:rPr>
              <w:t> </w:t>
            </w:r>
          </w:p>
        </w:tc>
        <w:tc>
          <w:tcPr>
            <w:tcW w:w="1211" w:type="dxa"/>
            <w:tcBorders>
              <w:top w:val="nil"/>
              <w:left w:val="nil"/>
              <w:bottom w:val="single" w:sz="4" w:space="0" w:color="000000"/>
              <w:right w:val="single" w:sz="4" w:space="0" w:color="000000"/>
            </w:tcBorders>
            <w:shd w:val="clear" w:color="auto" w:fill="auto"/>
            <w:vAlign w:val="bottom"/>
          </w:tcPr>
          <w:p w14:paraId="36308319" w14:textId="77777777" w:rsidR="003A3BCA" w:rsidRDefault="008276B6">
            <w:pPr>
              <w:rPr>
                <w:rFonts w:ascii="Calibri" w:eastAsia="Calibri" w:hAnsi="Calibri" w:cs="Calibri"/>
                <w:color w:val="000000"/>
              </w:rPr>
            </w:pPr>
            <w:r>
              <w:rPr>
                <w:rFonts w:ascii="Calibri" w:eastAsia="Calibri" w:hAnsi="Calibri" w:cs="Calibri"/>
                <w:color w:val="000000"/>
              </w:rPr>
              <w:t> </w:t>
            </w:r>
          </w:p>
        </w:tc>
      </w:tr>
      <w:tr w:rsidR="003A3BCA" w14:paraId="5C991813" w14:textId="77777777">
        <w:trPr>
          <w:trHeight w:val="320"/>
        </w:trPr>
        <w:tc>
          <w:tcPr>
            <w:tcW w:w="1937" w:type="dxa"/>
            <w:tcBorders>
              <w:top w:val="nil"/>
              <w:left w:val="single" w:sz="4" w:space="0" w:color="000000"/>
              <w:bottom w:val="single" w:sz="4" w:space="0" w:color="000000"/>
              <w:right w:val="single" w:sz="4" w:space="0" w:color="000000"/>
            </w:tcBorders>
            <w:shd w:val="clear" w:color="auto" w:fill="auto"/>
            <w:vAlign w:val="bottom"/>
          </w:tcPr>
          <w:p w14:paraId="01363B2B" w14:textId="77777777" w:rsidR="003A3BCA" w:rsidRDefault="008276B6">
            <w:pPr>
              <w:rPr>
                <w:rFonts w:ascii="Calibri" w:eastAsia="Calibri" w:hAnsi="Calibri" w:cs="Calibri"/>
                <w:color w:val="000000"/>
              </w:rPr>
            </w:pPr>
            <w:r>
              <w:rPr>
                <w:rFonts w:ascii="Calibri" w:eastAsia="Calibri" w:hAnsi="Calibri" w:cs="Calibri"/>
                <w:color w:val="000000"/>
              </w:rPr>
              <w:t>Romelu Lukaku</w:t>
            </w:r>
          </w:p>
        </w:tc>
        <w:tc>
          <w:tcPr>
            <w:tcW w:w="1325" w:type="dxa"/>
            <w:tcBorders>
              <w:top w:val="nil"/>
              <w:left w:val="nil"/>
              <w:bottom w:val="single" w:sz="4" w:space="0" w:color="000000"/>
              <w:right w:val="single" w:sz="4" w:space="0" w:color="000000"/>
            </w:tcBorders>
            <w:shd w:val="clear" w:color="auto" w:fill="auto"/>
            <w:vAlign w:val="bottom"/>
          </w:tcPr>
          <w:p w14:paraId="18889333" w14:textId="77777777" w:rsidR="003A3BCA" w:rsidRDefault="008276B6">
            <w:pPr>
              <w:rPr>
                <w:rFonts w:ascii="Calibri" w:eastAsia="Calibri" w:hAnsi="Calibri" w:cs="Calibri"/>
                <w:color w:val="000000"/>
              </w:rPr>
            </w:pPr>
            <w:r>
              <w:rPr>
                <w:rFonts w:ascii="Calibri" w:eastAsia="Calibri" w:hAnsi="Calibri" w:cs="Calibri"/>
                <w:color w:val="000000"/>
              </w:rPr>
              <w:t>2017/2018</w:t>
            </w:r>
          </w:p>
        </w:tc>
        <w:tc>
          <w:tcPr>
            <w:tcW w:w="1583" w:type="dxa"/>
            <w:tcBorders>
              <w:top w:val="nil"/>
              <w:left w:val="nil"/>
              <w:bottom w:val="single" w:sz="4" w:space="0" w:color="000000"/>
              <w:right w:val="single" w:sz="4" w:space="0" w:color="000000"/>
            </w:tcBorders>
            <w:shd w:val="clear" w:color="auto" w:fill="auto"/>
            <w:vAlign w:val="bottom"/>
          </w:tcPr>
          <w:p w14:paraId="4A83D64E" w14:textId="77777777" w:rsidR="003A3BCA" w:rsidRDefault="008276B6">
            <w:pPr>
              <w:rPr>
                <w:rFonts w:ascii="Calibri" w:eastAsia="Calibri" w:hAnsi="Calibri" w:cs="Calibri"/>
                <w:color w:val="000000"/>
              </w:rPr>
            </w:pPr>
            <w:r>
              <w:rPr>
                <w:rFonts w:ascii="Calibri" w:eastAsia="Calibri" w:hAnsi="Calibri" w:cs="Calibri"/>
                <w:color w:val="000000"/>
              </w:rPr>
              <w:t>Forward</w:t>
            </w:r>
          </w:p>
        </w:tc>
        <w:tc>
          <w:tcPr>
            <w:tcW w:w="1211" w:type="dxa"/>
            <w:tcBorders>
              <w:top w:val="nil"/>
              <w:left w:val="nil"/>
              <w:bottom w:val="single" w:sz="4" w:space="0" w:color="000000"/>
              <w:right w:val="single" w:sz="4" w:space="0" w:color="000000"/>
            </w:tcBorders>
            <w:shd w:val="clear" w:color="auto" w:fill="auto"/>
            <w:vAlign w:val="bottom"/>
          </w:tcPr>
          <w:p w14:paraId="3EC15E51" w14:textId="77777777" w:rsidR="003A3BCA" w:rsidRDefault="008276B6">
            <w:pPr>
              <w:rPr>
                <w:rFonts w:ascii="Calibri" w:eastAsia="Calibri" w:hAnsi="Calibri" w:cs="Calibri"/>
                <w:color w:val="000000"/>
              </w:rPr>
            </w:pPr>
            <w:r>
              <w:rPr>
                <w:rFonts w:ascii="Calibri" w:eastAsia="Calibri" w:hAnsi="Calibri" w:cs="Calibri"/>
                <w:color w:val="000000"/>
              </w:rPr>
              <w:t> </w:t>
            </w:r>
          </w:p>
        </w:tc>
        <w:tc>
          <w:tcPr>
            <w:tcW w:w="1211" w:type="dxa"/>
            <w:tcBorders>
              <w:top w:val="nil"/>
              <w:left w:val="nil"/>
              <w:bottom w:val="single" w:sz="4" w:space="0" w:color="000000"/>
              <w:right w:val="single" w:sz="4" w:space="0" w:color="000000"/>
            </w:tcBorders>
            <w:shd w:val="clear" w:color="auto" w:fill="auto"/>
            <w:vAlign w:val="bottom"/>
          </w:tcPr>
          <w:p w14:paraId="1B4C21D8" w14:textId="77777777" w:rsidR="003A3BCA" w:rsidRDefault="008276B6">
            <w:pPr>
              <w:jc w:val="right"/>
              <w:rPr>
                <w:rFonts w:ascii="Calibri" w:eastAsia="Calibri" w:hAnsi="Calibri" w:cs="Calibri"/>
                <w:color w:val="000000"/>
              </w:rPr>
            </w:pPr>
            <w:r>
              <w:rPr>
                <w:rFonts w:ascii="Calibri" w:eastAsia="Calibri" w:hAnsi="Calibri" w:cs="Calibri"/>
                <w:color w:val="000000"/>
              </w:rPr>
              <w:t>51</w:t>
            </w:r>
          </w:p>
        </w:tc>
        <w:tc>
          <w:tcPr>
            <w:tcW w:w="1211" w:type="dxa"/>
            <w:tcBorders>
              <w:top w:val="nil"/>
              <w:left w:val="nil"/>
              <w:bottom w:val="single" w:sz="4" w:space="0" w:color="000000"/>
              <w:right w:val="single" w:sz="4" w:space="0" w:color="000000"/>
            </w:tcBorders>
            <w:shd w:val="clear" w:color="auto" w:fill="auto"/>
            <w:vAlign w:val="bottom"/>
          </w:tcPr>
          <w:p w14:paraId="52BB1BD5" w14:textId="77777777" w:rsidR="003A3BCA" w:rsidRDefault="008276B6">
            <w:pPr>
              <w:jc w:val="right"/>
              <w:rPr>
                <w:rFonts w:ascii="Calibri" w:eastAsia="Calibri" w:hAnsi="Calibri" w:cs="Calibri"/>
                <w:color w:val="000000"/>
              </w:rPr>
            </w:pPr>
            <w:r>
              <w:rPr>
                <w:rFonts w:ascii="Calibri" w:eastAsia="Calibri" w:hAnsi="Calibri" w:cs="Calibri"/>
                <w:color w:val="000000"/>
              </w:rPr>
              <w:t>73</w:t>
            </w:r>
          </w:p>
        </w:tc>
        <w:tc>
          <w:tcPr>
            <w:tcW w:w="1211" w:type="dxa"/>
            <w:tcBorders>
              <w:top w:val="nil"/>
              <w:left w:val="nil"/>
              <w:bottom w:val="single" w:sz="4" w:space="0" w:color="000000"/>
              <w:right w:val="single" w:sz="4" w:space="0" w:color="000000"/>
            </w:tcBorders>
            <w:shd w:val="clear" w:color="auto" w:fill="auto"/>
            <w:vAlign w:val="bottom"/>
          </w:tcPr>
          <w:p w14:paraId="6F279557" w14:textId="77777777" w:rsidR="003A3BCA" w:rsidRDefault="008276B6">
            <w:pPr>
              <w:jc w:val="right"/>
              <w:rPr>
                <w:rFonts w:ascii="Calibri" w:eastAsia="Calibri" w:hAnsi="Calibri" w:cs="Calibri"/>
                <w:color w:val="000000"/>
              </w:rPr>
            </w:pPr>
            <w:r>
              <w:rPr>
                <w:rFonts w:ascii="Calibri" w:eastAsia="Calibri" w:hAnsi="Calibri" w:cs="Calibri"/>
                <w:color w:val="000000"/>
              </w:rPr>
              <w:t>3,9</w:t>
            </w:r>
          </w:p>
        </w:tc>
      </w:tr>
      <w:tr w:rsidR="003A3BCA" w14:paraId="79041A66" w14:textId="77777777">
        <w:trPr>
          <w:trHeight w:val="320"/>
        </w:trPr>
        <w:tc>
          <w:tcPr>
            <w:tcW w:w="1937" w:type="dxa"/>
            <w:tcBorders>
              <w:top w:val="nil"/>
              <w:left w:val="single" w:sz="4" w:space="0" w:color="000000"/>
              <w:bottom w:val="single" w:sz="4" w:space="0" w:color="000000"/>
              <w:right w:val="single" w:sz="4" w:space="0" w:color="000000"/>
            </w:tcBorders>
            <w:shd w:val="clear" w:color="auto" w:fill="auto"/>
            <w:vAlign w:val="bottom"/>
          </w:tcPr>
          <w:p w14:paraId="783D7946" w14:textId="77777777" w:rsidR="003A3BCA" w:rsidRDefault="008276B6">
            <w:pPr>
              <w:rPr>
                <w:rFonts w:ascii="Calibri" w:eastAsia="Calibri" w:hAnsi="Calibri" w:cs="Calibri"/>
                <w:color w:val="000000"/>
              </w:rPr>
            </w:pPr>
            <w:r>
              <w:rPr>
                <w:rFonts w:ascii="Calibri" w:eastAsia="Calibri" w:hAnsi="Calibri" w:cs="Calibri"/>
                <w:color w:val="000000"/>
              </w:rPr>
              <w:t> </w:t>
            </w:r>
          </w:p>
        </w:tc>
        <w:tc>
          <w:tcPr>
            <w:tcW w:w="1325" w:type="dxa"/>
            <w:tcBorders>
              <w:top w:val="nil"/>
              <w:left w:val="nil"/>
              <w:bottom w:val="single" w:sz="4" w:space="0" w:color="000000"/>
              <w:right w:val="single" w:sz="4" w:space="0" w:color="000000"/>
            </w:tcBorders>
            <w:shd w:val="clear" w:color="auto" w:fill="auto"/>
            <w:vAlign w:val="bottom"/>
          </w:tcPr>
          <w:p w14:paraId="6962739B" w14:textId="77777777" w:rsidR="003A3BCA" w:rsidRDefault="008276B6">
            <w:pPr>
              <w:rPr>
                <w:rFonts w:ascii="Calibri" w:eastAsia="Calibri" w:hAnsi="Calibri" w:cs="Calibri"/>
                <w:color w:val="000000"/>
              </w:rPr>
            </w:pPr>
            <w:r>
              <w:rPr>
                <w:rFonts w:ascii="Calibri" w:eastAsia="Calibri" w:hAnsi="Calibri" w:cs="Calibri"/>
                <w:color w:val="000000"/>
              </w:rPr>
              <w:t>2018/2019</w:t>
            </w:r>
          </w:p>
        </w:tc>
        <w:tc>
          <w:tcPr>
            <w:tcW w:w="1583" w:type="dxa"/>
            <w:tcBorders>
              <w:top w:val="nil"/>
              <w:left w:val="nil"/>
              <w:bottom w:val="single" w:sz="4" w:space="0" w:color="000000"/>
              <w:right w:val="single" w:sz="4" w:space="0" w:color="000000"/>
            </w:tcBorders>
            <w:shd w:val="clear" w:color="auto" w:fill="auto"/>
            <w:vAlign w:val="bottom"/>
          </w:tcPr>
          <w:p w14:paraId="00F9E0D9" w14:textId="77777777" w:rsidR="003A3BCA" w:rsidRDefault="008276B6">
            <w:pPr>
              <w:rPr>
                <w:rFonts w:ascii="Calibri" w:eastAsia="Calibri" w:hAnsi="Calibri" w:cs="Calibri"/>
                <w:color w:val="000000"/>
              </w:rPr>
            </w:pPr>
            <w:r>
              <w:rPr>
                <w:rFonts w:ascii="Calibri" w:eastAsia="Calibri" w:hAnsi="Calibri" w:cs="Calibri"/>
                <w:color w:val="000000"/>
              </w:rPr>
              <w:t> </w:t>
            </w:r>
          </w:p>
        </w:tc>
        <w:tc>
          <w:tcPr>
            <w:tcW w:w="1211" w:type="dxa"/>
            <w:tcBorders>
              <w:top w:val="nil"/>
              <w:left w:val="nil"/>
              <w:bottom w:val="single" w:sz="4" w:space="0" w:color="000000"/>
              <w:right w:val="single" w:sz="4" w:space="0" w:color="000000"/>
            </w:tcBorders>
            <w:shd w:val="clear" w:color="auto" w:fill="auto"/>
            <w:vAlign w:val="bottom"/>
          </w:tcPr>
          <w:p w14:paraId="0D3388A7" w14:textId="77777777" w:rsidR="003A3BCA" w:rsidRDefault="008276B6">
            <w:pPr>
              <w:rPr>
                <w:rFonts w:ascii="Calibri" w:eastAsia="Calibri" w:hAnsi="Calibri" w:cs="Calibri"/>
                <w:color w:val="000000"/>
              </w:rPr>
            </w:pPr>
            <w:r>
              <w:rPr>
                <w:rFonts w:ascii="Calibri" w:eastAsia="Calibri" w:hAnsi="Calibri" w:cs="Calibri"/>
                <w:color w:val="000000"/>
              </w:rPr>
              <w:t> </w:t>
            </w:r>
          </w:p>
        </w:tc>
        <w:tc>
          <w:tcPr>
            <w:tcW w:w="1211" w:type="dxa"/>
            <w:tcBorders>
              <w:top w:val="nil"/>
              <w:left w:val="nil"/>
              <w:bottom w:val="single" w:sz="4" w:space="0" w:color="000000"/>
              <w:right w:val="single" w:sz="4" w:space="0" w:color="000000"/>
            </w:tcBorders>
            <w:shd w:val="clear" w:color="auto" w:fill="auto"/>
            <w:vAlign w:val="bottom"/>
          </w:tcPr>
          <w:p w14:paraId="0D0E1B68" w14:textId="77777777" w:rsidR="003A3BCA" w:rsidRDefault="008276B6">
            <w:pPr>
              <w:jc w:val="right"/>
              <w:rPr>
                <w:rFonts w:ascii="Calibri" w:eastAsia="Calibri" w:hAnsi="Calibri" w:cs="Calibri"/>
                <w:color w:val="000000"/>
              </w:rPr>
            </w:pPr>
            <w:r>
              <w:rPr>
                <w:rFonts w:ascii="Calibri" w:eastAsia="Calibri" w:hAnsi="Calibri" w:cs="Calibri"/>
                <w:color w:val="000000"/>
              </w:rPr>
              <w:t>53</w:t>
            </w:r>
          </w:p>
        </w:tc>
        <w:tc>
          <w:tcPr>
            <w:tcW w:w="1211" w:type="dxa"/>
            <w:tcBorders>
              <w:top w:val="nil"/>
              <w:left w:val="nil"/>
              <w:bottom w:val="single" w:sz="4" w:space="0" w:color="000000"/>
              <w:right w:val="single" w:sz="4" w:space="0" w:color="000000"/>
            </w:tcBorders>
            <w:shd w:val="clear" w:color="auto" w:fill="auto"/>
            <w:vAlign w:val="bottom"/>
          </w:tcPr>
          <w:p w14:paraId="713E0E40" w14:textId="77777777" w:rsidR="003A3BCA" w:rsidRDefault="008276B6">
            <w:pPr>
              <w:jc w:val="right"/>
              <w:rPr>
                <w:rFonts w:ascii="Calibri" w:eastAsia="Calibri" w:hAnsi="Calibri" w:cs="Calibri"/>
                <w:color w:val="000000"/>
              </w:rPr>
            </w:pPr>
            <w:r>
              <w:rPr>
                <w:rFonts w:ascii="Calibri" w:eastAsia="Calibri" w:hAnsi="Calibri" w:cs="Calibri"/>
                <w:color w:val="000000"/>
              </w:rPr>
              <w:t>53</w:t>
            </w:r>
          </w:p>
        </w:tc>
        <w:tc>
          <w:tcPr>
            <w:tcW w:w="1211" w:type="dxa"/>
            <w:tcBorders>
              <w:top w:val="nil"/>
              <w:left w:val="nil"/>
              <w:bottom w:val="single" w:sz="4" w:space="0" w:color="000000"/>
              <w:right w:val="single" w:sz="4" w:space="0" w:color="000000"/>
            </w:tcBorders>
            <w:shd w:val="clear" w:color="auto" w:fill="auto"/>
            <w:vAlign w:val="bottom"/>
          </w:tcPr>
          <w:p w14:paraId="74B5AEE9" w14:textId="77777777" w:rsidR="003A3BCA" w:rsidRDefault="008276B6">
            <w:pPr>
              <w:jc w:val="right"/>
              <w:rPr>
                <w:rFonts w:ascii="Calibri" w:eastAsia="Calibri" w:hAnsi="Calibri" w:cs="Calibri"/>
                <w:color w:val="000000"/>
              </w:rPr>
            </w:pPr>
            <w:r>
              <w:rPr>
                <w:rFonts w:ascii="Calibri" w:eastAsia="Calibri" w:hAnsi="Calibri" w:cs="Calibri"/>
                <w:color w:val="000000"/>
              </w:rPr>
              <w:t>3</w:t>
            </w:r>
          </w:p>
        </w:tc>
      </w:tr>
      <w:tr w:rsidR="003A3BCA" w14:paraId="52070F90" w14:textId="77777777">
        <w:trPr>
          <w:trHeight w:val="320"/>
        </w:trPr>
        <w:tc>
          <w:tcPr>
            <w:tcW w:w="1937" w:type="dxa"/>
            <w:tcBorders>
              <w:top w:val="nil"/>
              <w:left w:val="single" w:sz="4" w:space="0" w:color="000000"/>
              <w:bottom w:val="single" w:sz="4" w:space="0" w:color="000000"/>
              <w:right w:val="single" w:sz="4" w:space="0" w:color="000000"/>
            </w:tcBorders>
            <w:shd w:val="clear" w:color="auto" w:fill="auto"/>
            <w:vAlign w:val="bottom"/>
          </w:tcPr>
          <w:p w14:paraId="2D75C1B4" w14:textId="77777777" w:rsidR="003A3BCA" w:rsidRDefault="008276B6">
            <w:pPr>
              <w:rPr>
                <w:rFonts w:ascii="Calibri" w:eastAsia="Calibri" w:hAnsi="Calibri" w:cs="Calibri"/>
                <w:color w:val="000000"/>
              </w:rPr>
            </w:pPr>
            <w:r>
              <w:rPr>
                <w:rFonts w:ascii="Calibri" w:eastAsia="Calibri" w:hAnsi="Calibri" w:cs="Calibri"/>
                <w:color w:val="000000"/>
              </w:rPr>
              <w:t> </w:t>
            </w:r>
          </w:p>
        </w:tc>
        <w:tc>
          <w:tcPr>
            <w:tcW w:w="1325" w:type="dxa"/>
            <w:tcBorders>
              <w:top w:val="nil"/>
              <w:left w:val="nil"/>
              <w:bottom w:val="single" w:sz="4" w:space="0" w:color="000000"/>
              <w:right w:val="single" w:sz="4" w:space="0" w:color="000000"/>
            </w:tcBorders>
            <w:shd w:val="clear" w:color="auto" w:fill="auto"/>
            <w:vAlign w:val="bottom"/>
          </w:tcPr>
          <w:p w14:paraId="1994D99B" w14:textId="77777777" w:rsidR="003A3BCA" w:rsidRDefault="008276B6">
            <w:pPr>
              <w:rPr>
                <w:rFonts w:ascii="Calibri" w:eastAsia="Calibri" w:hAnsi="Calibri" w:cs="Calibri"/>
                <w:color w:val="000000"/>
              </w:rPr>
            </w:pPr>
            <w:r>
              <w:rPr>
                <w:rFonts w:ascii="Calibri" w:eastAsia="Calibri" w:hAnsi="Calibri" w:cs="Calibri"/>
                <w:color w:val="000000"/>
              </w:rPr>
              <w:t> </w:t>
            </w:r>
          </w:p>
        </w:tc>
        <w:tc>
          <w:tcPr>
            <w:tcW w:w="1583" w:type="dxa"/>
            <w:tcBorders>
              <w:top w:val="nil"/>
              <w:left w:val="nil"/>
              <w:bottom w:val="single" w:sz="4" w:space="0" w:color="000000"/>
              <w:right w:val="single" w:sz="4" w:space="0" w:color="000000"/>
            </w:tcBorders>
            <w:shd w:val="clear" w:color="auto" w:fill="auto"/>
            <w:vAlign w:val="bottom"/>
          </w:tcPr>
          <w:p w14:paraId="7E6CC029" w14:textId="77777777" w:rsidR="003A3BCA" w:rsidRDefault="008276B6">
            <w:pPr>
              <w:rPr>
                <w:rFonts w:ascii="Calibri" w:eastAsia="Calibri" w:hAnsi="Calibri" w:cs="Calibri"/>
                <w:color w:val="000000"/>
              </w:rPr>
            </w:pPr>
            <w:r>
              <w:rPr>
                <w:rFonts w:ascii="Calibri" w:eastAsia="Calibri" w:hAnsi="Calibri" w:cs="Calibri"/>
                <w:color w:val="000000"/>
              </w:rPr>
              <w:t> </w:t>
            </w:r>
          </w:p>
        </w:tc>
        <w:tc>
          <w:tcPr>
            <w:tcW w:w="1211" w:type="dxa"/>
            <w:tcBorders>
              <w:top w:val="nil"/>
              <w:left w:val="nil"/>
              <w:bottom w:val="single" w:sz="4" w:space="0" w:color="000000"/>
              <w:right w:val="single" w:sz="4" w:space="0" w:color="000000"/>
            </w:tcBorders>
            <w:shd w:val="clear" w:color="auto" w:fill="auto"/>
            <w:vAlign w:val="bottom"/>
          </w:tcPr>
          <w:p w14:paraId="2D14CF38" w14:textId="77777777" w:rsidR="003A3BCA" w:rsidRDefault="008276B6">
            <w:pPr>
              <w:rPr>
                <w:rFonts w:ascii="Calibri" w:eastAsia="Calibri" w:hAnsi="Calibri" w:cs="Calibri"/>
                <w:color w:val="000000"/>
              </w:rPr>
            </w:pPr>
            <w:r>
              <w:rPr>
                <w:rFonts w:ascii="Calibri" w:eastAsia="Calibri" w:hAnsi="Calibri" w:cs="Calibri"/>
                <w:color w:val="000000"/>
              </w:rPr>
              <w:t> </w:t>
            </w:r>
          </w:p>
        </w:tc>
        <w:tc>
          <w:tcPr>
            <w:tcW w:w="1211" w:type="dxa"/>
            <w:tcBorders>
              <w:top w:val="nil"/>
              <w:left w:val="nil"/>
              <w:bottom w:val="single" w:sz="4" w:space="0" w:color="000000"/>
              <w:right w:val="single" w:sz="4" w:space="0" w:color="000000"/>
            </w:tcBorders>
            <w:shd w:val="clear" w:color="auto" w:fill="auto"/>
            <w:vAlign w:val="bottom"/>
          </w:tcPr>
          <w:p w14:paraId="125E6798" w14:textId="77777777" w:rsidR="003A3BCA" w:rsidRDefault="008276B6">
            <w:pPr>
              <w:rPr>
                <w:rFonts w:ascii="Calibri" w:eastAsia="Calibri" w:hAnsi="Calibri" w:cs="Calibri"/>
                <w:color w:val="000000"/>
              </w:rPr>
            </w:pPr>
            <w:r>
              <w:rPr>
                <w:rFonts w:ascii="Calibri" w:eastAsia="Calibri" w:hAnsi="Calibri" w:cs="Calibri"/>
                <w:color w:val="000000"/>
              </w:rPr>
              <w:t> </w:t>
            </w:r>
          </w:p>
        </w:tc>
        <w:tc>
          <w:tcPr>
            <w:tcW w:w="1211" w:type="dxa"/>
            <w:tcBorders>
              <w:top w:val="nil"/>
              <w:left w:val="nil"/>
              <w:bottom w:val="single" w:sz="4" w:space="0" w:color="000000"/>
              <w:right w:val="single" w:sz="4" w:space="0" w:color="000000"/>
            </w:tcBorders>
            <w:shd w:val="clear" w:color="auto" w:fill="auto"/>
            <w:vAlign w:val="bottom"/>
          </w:tcPr>
          <w:p w14:paraId="4AB8FA4D" w14:textId="77777777" w:rsidR="003A3BCA" w:rsidRDefault="008276B6">
            <w:pPr>
              <w:rPr>
                <w:rFonts w:ascii="Calibri" w:eastAsia="Calibri" w:hAnsi="Calibri" w:cs="Calibri"/>
                <w:color w:val="000000"/>
              </w:rPr>
            </w:pPr>
            <w:r>
              <w:rPr>
                <w:rFonts w:ascii="Calibri" w:eastAsia="Calibri" w:hAnsi="Calibri" w:cs="Calibri"/>
                <w:color w:val="000000"/>
              </w:rPr>
              <w:t> </w:t>
            </w:r>
          </w:p>
        </w:tc>
        <w:tc>
          <w:tcPr>
            <w:tcW w:w="1211" w:type="dxa"/>
            <w:tcBorders>
              <w:top w:val="nil"/>
              <w:left w:val="nil"/>
              <w:bottom w:val="single" w:sz="4" w:space="0" w:color="000000"/>
              <w:right w:val="single" w:sz="4" w:space="0" w:color="000000"/>
            </w:tcBorders>
            <w:shd w:val="clear" w:color="auto" w:fill="auto"/>
            <w:vAlign w:val="bottom"/>
          </w:tcPr>
          <w:p w14:paraId="35672BC6" w14:textId="77777777" w:rsidR="003A3BCA" w:rsidRDefault="008276B6">
            <w:pPr>
              <w:rPr>
                <w:rFonts w:ascii="Calibri" w:eastAsia="Calibri" w:hAnsi="Calibri" w:cs="Calibri"/>
                <w:color w:val="000000"/>
              </w:rPr>
            </w:pPr>
            <w:r>
              <w:rPr>
                <w:rFonts w:ascii="Calibri" w:eastAsia="Calibri" w:hAnsi="Calibri" w:cs="Calibri"/>
                <w:color w:val="000000"/>
              </w:rPr>
              <w:t> </w:t>
            </w:r>
          </w:p>
        </w:tc>
      </w:tr>
      <w:tr w:rsidR="003A3BCA" w14:paraId="51269958" w14:textId="77777777">
        <w:trPr>
          <w:trHeight w:val="320"/>
        </w:trPr>
        <w:tc>
          <w:tcPr>
            <w:tcW w:w="1937" w:type="dxa"/>
            <w:tcBorders>
              <w:top w:val="nil"/>
              <w:left w:val="single" w:sz="4" w:space="0" w:color="000000"/>
              <w:bottom w:val="single" w:sz="4" w:space="0" w:color="000000"/>
              <w:right w:val="single" w:sz="4" w:space="0" w:color="000000"/>
            </w:tcBorders>
            <w:shd w:val="clear" w:color="auto" w:fill="auto"/>
            <w:vAlign w:val="bottom"/>
          </w:tcPr>
          <w:p w14:paraId="73ECEFD6" w14:textId="77777777" w:rsidR="003A3BCA" w:rsidRDefault="008276B6">
            <w:pPr>
              <w:rPr>
                <w:rFonts w:ascii="Calibri" w:eastAsia="Calibri" w:hAnsi="Calibri" w:cs="Calibri"/>
                <w:color w:val="000000"/>
              </w:rPr>
            </w:pPr>
            <w:r>
              <w:rPr>
                <w:rFonts w:ascii="Calibri" w:eastAsia="Calibri" w:hAnsi="Calibri" w:cs="Calibri"/>
                <w:color w:val="000000"/>
              </w:rPr>
              <w:t>Bruno Fernandes</w:t>
            </w:r>
          </w:p>
        </w:tc>
        <w:tc>
          <w:tcPr>
            <w:tcW w:w="1325" w:type="dxa"/>
            <w:tcBorders>
              <w:top w:val="nil"/>
              <w:left w:val="nil"/>
              <w:bottom w:val="single" w:sz="4" w:space="0" w:color="000000"/>
              <w:right w:val="single" w:sz="4" w:space="0" w:color="000000"/>
            </w:tcBorders>
            <w:shd w:val="clear" w:color="auto" w:fill="auto"/>
            <w:vAlign w:val="bottom"/>
          </w:tcPr>
          <w:p w14:paraId="63B9CD7D" w14:textId="77777777" w:rsidR="003A3BCA" w:rsidRDefault="008276B6">
            <w:pPr>
              <w:rPr>
                <w:rFonts w:ascii="Calibri" w:eastAsia="Calibri" w:hAnsi="Calibri" w:cs="Calibri"/>
                <w:color w:val="000000"/>
              </w:rPr>
            </w:pPr>
            <w:r>
              <w:rPr>
                <w:rFonts w:ascii="Calibri" w:eastAsia="Calibri" w:hAnsi="Calibri" w:cs="Calibri"/>
                <w:color w:val="000000"/>
              </w:rPr>
              <w:t>2019/2020</w:t>
            </w:r>
          </w:p>
        </w:tc>
        <w:tc>
          <w:tcPr>
            <w:tcW w:w="1583" w:type="dxa"/>
            <w:tcBorders>
              <w:top w:val="nil"/>
              <w:left w:val="nil"/>
              <w:bottom w:val="single" w:sz="4" w:space="0" w:color="000000"/>
              <w:right w:val="single" w:sz="4" w:space="0" w:color="000000"/>
            </w:tcBorders>
            <w:shd w:val="clear" w:color="auto" w:fill="auto"/>
            <w:vAlign w:val="bottom"/>
          </w:tcPr>
          <w:p w14:paraId="6A0D3236" w14:textId="50AC77CB" w:rsidR="003A3BCA" w:rsidRDefault="008276B6">
            <w:pPr>
              <w:rPr>
                <w:rFonts w:ascii="Calibri" w:eastAsia="Calibri" w:hAnsi="Calibri" w:cs="Calibri"/>
                <w:color w:val="000000"/>
              </w:rPr>
            </w:pPr>
            <w:r>
              <w:rPr>
                <w:rFonts w:ascii="Calibri" w:eastAsia="Calibri" w:hAnsi="Calibri" w:cs="Calibri"/>
                <w:color w:val="000000"/>
              </w:rPr>
              <w:t>Att</w:t>
            </w:r>
            <w:r w:rsidR="00F04DDA">
              <w:rPr>
                <w:rFonts w:ascii="Calibri" w:eastAsia="Calibri" w:hAnsi="Calibri" w:cs="Calibri"/>
                <w:color w:val="000000"/>
              </w:rPr>
              <w:t xml:space="preserve">acking </w:t>
            </w:r>
            <w:r>
              <w:rPr>
                <w:rFonts w:ascii="Calibri" w:eastAsia="Calibri" w:hAnsi="Calibri" w:cs="Calibri"/>
                <w:color w:val="000000"/>
              </w:rPr>
              <w:t>Mid/Winger</w:t>
            </w:r>
          </w:p>
        </w:tc>
        <w:tc>
          <w:tcPr>
            <w:tcW w:w="1211" w:type="dxa"/>
            <w:tcBorders>
              <w:top w:val="nil"/>
              <w:left w:val="nil"/>
              <w:bottom w:val="single" w:sz="4" w:space="0" w:color="000000"/>
              <w:right w:val="single" w:sz="4" w:space="0" w:color="000000"/>
            </w:tcBorders>
            <w:shd w:val="clear" w:color="auto" w:fill="auto"/>
            <w:vAlign w:val="bottom"/>
          </w:tcPr>
          <w:p w14:paraId="174C40D9" w14:textId="77777777" w:rsidR="003A3BCA" w:rsidRDefault="008276B6">
            <w:pPr>
              <w:jc w:val="right"/>
              <w:rPr>
                <w:rFonts w:ascii="Calibri" w:eastAsia="Calibri" w:hAnsi="Calibri" w:cs="Calibri"/>
                <w:color w:val="000000"/>
              </w:rPr>
            </w:pPr>
            <w:r>
              <w:rPr>
                <w:rFonts w:ascii="Calibri" w:eastAsia="Calibri" w:hAnsi="Calibri" w:cs="Calibri"/>
                <w:color w:val="000000"/>
              </w:rPr>
              <w:t>55</w:t>
            </w:r>
          </w:p>
        </w:tc>
        <w:tc>
          <w:tcPr>
            <w:tcW w:w="1211" w:type="dxa"/>
            <w:tcBorders>
              <w:top w:val="nil"/>
              <w:left w:val="nil"/>
              <w:bottom w:val="single" w:sz="4" w:space="0" w:color="000000"/>
              <w:right w:val="single" w:sz="4" w:space="0" w:color="000000"/>
            </w:tcBorders>
            <w:shd w:val="clear" w:color="auto" w:fill="auto"/>
            <w:vAlign w:val="bottom"/>
          </w:tcPr>
          <w:p w14:paraId="636088A4" w14:textId="77777777" w:rsidR="003A3BCA" w:rsidRDefault="008276B6">
            <w:pPr>
              <w:jc w:val="right"/>
              <w:rPr>
                <w:rFonts w:ascii="Calibri" w:eastAsia="Calibri" w:hAnsi="Calibri" w:cs="Calibri"/>
                <w:color w:val="000000"/>
              </w:rPr>
            </w:pPr>
            <w:r>
              <w:rPr>
                <w:rFonts w:ascii="Calibri" w:eastAsia="Calibri" w:hAnsi="Calibri" w:cs="Calibri"/>
                <w:color w:val="000000"/>
              </w:rPr>
              <w:t>48</w:t>
            </w:r>
          </w:p>
        </w:tc>
        <w:tc>
          <w:tcPr>
            <w:tcW w:w="1211" w:type="dxa"/>
            <w:tcBorders>
              <w:top w:val="nil"/>
              <w:left w:val="nil"/>
              <w:bottom w:val="single" w:sz="4" w:space="0" w:color="000000"/>
              <w:right w:val="single" w:sz="4" w:space="0" w:color="000000"/>
            </w:tcBorders>
            <w:shd w:val="clear" w:color="auto" w:fill="auto"/>
            <w:vAlign w:val="bottom"/>
          </w:tcPr>
          <w:p w14:paraId="0966E42F" w14:textId="77777777" w:rsidR="003A3BCA" w:rsidRDefault="008276B6">
            <w:pPr>
              <w:jc w:val="right"/>
              <w:rPr>
                <w:rFonts w:ascii="Calibri" w:eastAsia="Calibri" w:hAnsi="Calibri" w:cs="Calibri"/>
                <w:color w:val="000000"/>
              </w:rPr>
            </w:pPr>
            <w:r>
              <w:rPr>
                <w:rFonts w:ascii="Calibri" w:eastAsia="Calibri" w:hAnsi="Calibri" w:cs="Calibri"/>
                <w:color w:val="000000"/>
              </w:rPr>
              <w:t>78</w:t>
            </w:r>
          </w:p>
        </w:tc>
        <w:tc>
          <w:tcPr>
            <w:tcW w:w="1211" w:type="dxa"/>
            <w:tcBorders>
              <w:top w:val="nil"/>
              <w:left w:val="nil"/>
              <w:bottom w:val="single" w:sz="4" w:space="0" w:color="000000"/>
              <w:right w:val="single" w:sz="4" w:space="0" w:color="000000"/>
            </w:tcBorders>
            <w:shd w:val="clear" w:color="auto" w:fill="auto"/>
            <w:vAlign w:val="bottom"/>
          </w:tcPr>
          <w:p w14:paraId="4B4C8211" w14:textId="77777777" w:rsidR="003A3BCA" w:rsidRDefault="008276B6">
            <w:pPr>
              <w:jc w:val="right"/>
              <w:rPr>
                <w:rFonts w:ascii="Calibri" w:eastAsia="Calibri" w:hAnsi="Calibri" w:cs="Calibri"/>
                <w:color w:val="000000"/>
              </w:rPr>
            </w:pPr>
            <w:r>
              <w:rPr>
                <w:rFonts w:ascii="Calibri" w:eastAsia="Calibri" w:hAnsi="Calibri" w:cs="Calibri"/>
                <w:color w:val="000000"/>
              </w:rPr>
              <w:t>3,4</w:t>
            </w:r>
          </w:p>
        </w:tc>
      </w:tr>
      <w:tr w:rsidR="003A3BCA" w14:paraId="21BA2CB3" w14:textId="77777777">
        <w:trPr>
          <w:trHeight w:val="320"/>
        </w:trPr>
        <w:tc>
          <w:tcPr>
            <w:tcW w:w="1937" w:type="dxa"/>
            <w:tcBorders>
              <w:top w:val="nil"/>
              <w:left w:val="single" w:sz="4" w:space="0" w:color="000000"/>
              <w:bottom w:val="single" w:sz="4" w:space="0" w:color="000000"/>
              <w:right w:val="single" w:sz="4" w:space="0" w:color="000000"/>
            </w:tcBorders>
            <w:shd w:val="clear" w:color="auto" w:fill="auto"/>
            <w:vAlign w:val="bottom"/>
          </w:tcPr>
          <w:p w14:paraId="50D5B6A2" w14:textId="77777777" w:rsidR="003A3BCA" w:rsidRDefault="008276B6">
            <w:pPr>
              <w:rPr>
                <w:rFonts w:ascii="Calibri" w:eastAsia="Calibri" w:hAnsi="Calibri" w:cs="Calibri"/>
                <w:color w:val="000000"/>
              </w:rPr>
            </w:pPr>
            <w:r>
              <w:rPr>
                <w:rFonts w:ascii="Calibri" w:eastAsia="Calibri" w:hAnsi="Calibri" w:cs="Calibri"/>
                <w:color w:val="000000"/>
              </w:rPr>
              <w:t> </w:t>
            </w:r>
          </w:p>
        </w:tc>
        <w:tc>
          <w:tcPr>
            <w:tcW w:w="1325" w:type="dxa"/>
            <w:tcBorders>
              <w:top w:val="nil"/>
              <w:left w:val="nil"/>
              <w:bottom w:val="single" w:sz="4" w:space="0" w:color="000000"/>
              <w:right w:val="single" w:sz="4" w:space="0" w:color="000000"/>
            </w:tcBorders>
            <w:shd w:val="clear" w:color="auto" w:fill="auto"/>
            <w:vAlign w:val="bottom"/>
          </w:tcPr>
          <w:p w14:paraId="31CC53BF" w14:textId="77777777" w:rsidR="003A3BCA" w:rsidRDefault="008276B6">
            <w:pPr>
              <w:rPr>
                <w:rFonts w:ascii="Calibri" w:eastAsia="Calibri" w:hAnsi="Calibri" w:cs="Calibri"/>
                <w:color w:val="000000"/>
              </w:rPr>
            </w:pPr>
            <w:r>
              <w:rPr>
                <w:rFonts w:ascii="Calibri" w:eastAsia="Calibri" w:hAnsi="Calibri" w:cs="Calibri"/>
                <w:color w:val="000000"/>
              </w:rPr>
              <w:t>2020/2021</w:t>
            </w:r>
          </w:p>
        </w:tc>
        <w:tc>
          <w:tcPr>
            <w:tcW w:w="1583" w:type="dxa"/>
            <w:tcBorders>
              <w:top w:val="nil"/>
              <w:left w:val="nil"/>
              <w:bottom w:val="single" w:sz="4" w:space="0" w:color="000000"/>
              <w:right w:val="single" w:sz="4" w:space="0" w:color="000000"/>
            </w:tcBorders>
            <w:shd w:val="clear" w:color="auto" w:fill="auto"/>
            <w:vAlign w:val="bottom"/>
          </w:tcPr>
          <w:p w14:paraId="06B599A3" w14:textId="77777777" w:rsidR="003A3BCA" w:rsidRDefault="008276B6">
            <w:pPr>
              <w:rPr>
                <w:rFonts w:ascii="Calibri" w:eastAsia="Calibri" w:hAnsi="Calibri" w:cs="Calibri"/>
                <w:color w:val="000000"/>
              </w:rPr>
            </w:pPr>
            <w:r>
              <w:rPr>
                <w:rFonts w:ascii="Calibri" w:eastAsia="Calibri" w:hAnsi="Calibri" w:cs="Calibri"/>
                <w:color w:val="000000"/>
              </w:rPr>
              <w:t> </w:t>
            </w:r>
          </w:p>
        </w:tc>
        <w:tc>
          <w:tcPr>
            <w:tcW w:w="1211" w:type="dxa"/>
            <w:tcBorders>
              <w:top w:val="nil"/>
              <w:left w:val="nil"/>
              <w:bottom w:val="single" w:sz="4" w:space="0" w:color="000000"/>
              <w:right w:val="single" w:sz="4" w:space="0" w:color="000000"/>
            </w:tcBorders>
            <w:shd w:val="clear" w:color="auto" w:fill="auto"/>
            <w:vAlign w:val="bottom"/>
          </w:tcPr>
          <w:p w14:paraId="7FD3AE1F" w14:textId="77777777" w:rsidR="003A3BCA" w:rsidRDefault="008276B6">
            <w:pPr>
              <w:jc w:val="right"/>
              <w:rPr>
                <w:rFonts w:ascii="Calibri" w:eastAsia="Calibri" w:hAnsi="Calibri" w:cs="Calibri"/>
                <w:color w:val="000000"/>
              </w:rPr>
            </w:pPr>
            <w:r>
              <w:rPr>
                <w:rFonts w:ascii="Calibri" w:eastAsia="Calibri" w:hAnsi="Calibri" w:cs="Calibri"/>
                <w:color w:val="000000"/>
              </w:rPr>
              <w:t>67</w:t>
            </w:r>
          </w:p>
        </w:tc>
        <w:tc>
          <w:tcPr>
            <w:tcW w:w="1211" w:type="dxa"/>
            <w:tcBorders>
              <w:top w:val="nil"/>
              <w:left w:val="nil"/>
              <w:bottom w:val="single" w:sz="4" w:space="0" w:color="000000"/>
              <w:right w:val="single" w:sz="4" w:space="0" w:color="000000"/>
            </w:tcBorders>
            <w:shd w:val="clear" w:color="auto" w:fill="auto"/>
            <w:vAlign w:val="bottom"/>
          </w:tcPr>
          <w:p w14:paraId="76CBC608" w14:textId="77777777" w:rsidR="003A3BCA" w:rsidRDefault="008276B6">
            <w:pPr>
              <w:jc w:val="right"/>
              <w:rPr>
                <w:rFonts w:ascii="Calibri" w:eastAsia="Calibri" w:hAnsi="Calibri" w:cs="Calibri"/>
                <w:color w:val="000000"/>
              </w:rPr>
            </w:pPr>
            <w:r>
              <w:rPr>
                <w:rFonts w:ascii="Calibri" w:eastAsia="Calibri" w:hAnsi="Calibri" w:cs="Calibri"/>
                <w:color w:val="000000"/>
              </w:rPr>
              <w:t>51</w:t>
            </w:r>
          </w:p>
        </w:tc>
        <w:tc>
          <w:tcPr>
            <w:tcW w:w="1211" w:type="dxa"/>
            <w:tcBorders>
              <w:top w:val="nil"/>
              <w:left w:val="nil"/>
              <w:bottom w:val="single" w:sz="4" w:space="0" w:color="000000"/>
              <w:right w:val="single" w:sz="4" w:space="0" w:color="000000"/>
            </w:tcBorders>
            <w:shd w:val="clear" w:color="auto" w:fill="auto"/>
            <w:vAlign w:val="bottom"/>
          </w:tcPr>
          <w:p w14:paraId="02791AF8" w14:textId="77777777" w:rsidR="003A3BCA" w:rsidRDefault="008276B6">
            <w:pPr>
              <w:jc w:val="right"/>
              <w:rPr>
                <w:rFonts w:ascii="Calibri" w:eastAsia="Calibri" w:hAnsi="Calibri" w:cs="Calibri"/>
                <w:color w:val="000000"/>
              </w:rPr>
            </w:pPr>
            <w:r>
              <w:rPr>
                <w:rFonts w:ascii="Calibri" w:eastAsia="Calibri" w:hAnsi="Calibri" w:cs="Calibri"/>
                <w:color w:val="000000"/>
              </w:rPr>
              <w:t>84</w:t>
            </w:r>
          </w:p>
        </w:tc>
        <w:tc>
          <w:tcPr>
            <w:tcW w:w="1211" w:type="dxa"/>
            <w:tcBorders>
              <w:top w:val="nil"/>
              <w:left w:val="nil"/>
              <w:bottom w:val="single" w:sz="4" w:space="0" w:color="000000"/>
              <w:right w:val="single" w:sz="4" w:space="0" w:color="000000"/>
            </w:tcBorders>
            <w:shd w:val="clear" w:color="auto" w:fill="auto"/>
            <w:vAlign w:val="bottom"/>
          </w:tcPr>
          <w:p w14:paraId="7B0C4B85" w14:textId="77777777" w:rsidR="003A3BCA" w:rsidRDefault="008276B6">
            <w:pPr>
              <w:jc w:val="right"/>
              <w:rPr>
                <w:rFonts w:ascii="Calibri" w:eastAsia="Calibri" w:hAnsi="Calibri" w:cs="Calibri"/>
                <w:color w:val="000000"/>
              </w:rPr>
            </w:pPr>
            <w:r>
              <w:rPr>
                <w:rFonts w:ascii="Calibri" w:eastAsia="Calibri" w:hAnsi="Calibri" w:cs="Calibri"/>
                <w:color w:val="000000"/>
              </w:rPr>
              <w:t>4,0</w:t>
            </w:r>
          </w:p>
        </w:tc>
      </w:tr>
      <w:tr w:rsidR="003A3BCA" w14:paraId="7C714F6B" w14:textId="77777777">
        <w:trPr>
          <w:trHeight w:val="320"/>
        </w:trPr>
        <w:tc>
          <w:tcPr>
            <w:tcW w:w="1937" w:type="dxa"/>
            <w:tcBorders>
              <w:top w:val="nil"/>
              <w:left w:val="single" w:sz="4" w:space="0" w:color="000000"/>
              <w:bottom w:val="single" w:sz="4" w:space="0" w:color="000000"/>
              <w:right w:val="single" w:sz="4" w:space="0" w:color="000000"/>
            </w:tcBorders>
            <w:shd w:val="clear" w:color="auto" w:fill="auto"/>
            <w:vAlign w:val="bottom"/>
          </w:tcPr>
          <w:p w14:paraId="7E51917C" w14:textId="77777777" w:rsidR="003A3BCA" w:rsidRDefault="008276B6">
            <w:pPr>
              <w:rPr>
                <w:rFonts w:ascii="Calibri" w:eastAsia="Calibri" w:hAnsi="Calibri" w:cs="Calibri"/>
                <w:color w:val="000000"/>
              </w:rPr>
            </w:pPr>
            <w:r>
              <w:rPr>
                <w:rFonts w:ascii="Calibri" w:eastAsia="Calibri" w:hAnsi="Calibri" w:cs="Calibri"/>
                <w:color w:val="000000"/>
              </w:rPr>
              <w:t> </w:t>
            </w:r>
          </w:p>
        </w:tc>
        <w:tc>
          <w:tcPr>
            <w:tcW w:w="1325" w:type="dxa"/>
            <w:tcBorders>
              <w:top w:val="nil"/>
              <w:left w:val="nil"/>
              <w:bottom w:val="single" w:sz="4" w:space="0" w:color="000000"/>
              <w:right w:val="single" w:sz="4" w:space="0" w:color="000000"/>
            </w:tcBorders>
            <w:shd w:val="clear" w:color="auto" w:fill="auto"/>
            <w:vAlign w:val="bottom"/>
          </w:tcPr>
          <w:p w14:paraId="1A4746AC" w14:textId="77777777" w:rsidR="003A3BCA" w:rsidRDefault="008276B6">
            <w:pPr>
              <w:rPr>
                <w:rFonts w:ascii="Calibri" w:eastAsia="Calibri" w:hAnsi="Calibri" w:cs="Calibri"/>
                <w:color w:val="000000"/>
              </w:rPr>
            </w:pPr>
            <w:r>
              <w:rPr>
                <w:rFonts w:ascii="Calibri" w:eastAsia="Calibri" w:hAnsi="Calibri" w:cs="Calibri"/>
                <w:color w:val="000000"/>
              </w:rPr>
              <w:t>2021/2022</w:t>
            </w:r>
          </w:p>
        </w:tc>
        <w:tc>
          <w:tcPr>
            <w:tcW w:w="1583" w:type="dxa"/>
            <w:tcBorders>
              <w:top w:val="nil"/>
              <w:left w:val="nil"/>
              <w:bottom w:val="single" w:sz="4" w:space="0" w:color="000000"/>
              <w:right w:val="single" w:sz="4" w:space="0" w:color="000000"/>
            </w:tcBorders>
            <w:shd w:val="clear" w:color="auto" w:fill="auto"/>
            <w:vAlign w:val="bottom"/>
          </w:tcPr>
          <w:p w14:paraId="3B6EFB71" w14:textId="77777777" w:rsidR="003A3BCA" w:rsidRDefault="008276B6">
            <w:pPr>
              <w:rPr>
                <w:rFonts w:ascii="Calibri" w:eastAsia="Calibri" w:hAnsi="Calibri" w:cs="Calibri"/>
                <w:color w:val="000000"/>
              </w:rPr>
            </w:pPr>
            <w:r>
              <w:rPr>
                <w:rFonts w:ascii="Calibri" w:eastAsia="Calibri" w:hAnsi="Calibri" w:cs="Calibri"/>
                <w:color w:val="000000"/>
              </w:rPr>
              <w:t> </w:t>
            </w:r>
          </w:p>
        </w:tc>
        <w:tc>
          <w:tcPr>
            <w:tcW w:w="1211" w:type="dxa"/>
            <w:tcBorders>
              <w:top w:val="nil"/>
              <w:left w:val="nil"/>
              <w:bottom w:val="single" w:sz="4" w:space="0" w:color="000000"/>
              <w:right w:val="single" w:sz="4" w:space="0" w:color="000000"/>
            </w:tcBorders>
            <w:shd w:val="clear" w:color="auto" w:fill="auto"/>
            <w:vAlign w:val="bottom"/>
          </w:tcPr>
          <w:p w14:paraId="2BB0F86A" w14:textId="77777777" w:rsidR="003A3BCA" w:rsidRDefault="008276B6">
            <w:pPr>
              <w:jc w:val="right"/>
              <w:rPr>
                <w:rFonts w:ascii="Calibri" w:eastAsia="Calibri" w:hAnsi="Calibri" w:cs="Calibri"/>
                <w:color w:val="000000"/>
              </w:rPr>
            </w:pPr>
            <w:r>
              <w:rPr>
                <w:rFonts w:ascii="Calibri" w:eastAsia="Calibri" w:hAnsi="Calibri" w:cs="Calibri"/>
                <w:color w:val="000000"/>
              </w:rPr>
              <w:t>63</w:t>
            </w:r>
          </w:p>
        </w:tc>
        <w:tc>
          <w:tcPr>
            <w:tcW w:w="1211" w:type="dxa"/>
            <w:tcBorders>
              <w:top w:val="nil"/>
              <w:left w:val="nil"/>
              <w:bottom w:val="single" w:sz="4" w:space="0" w:color="000000"/>
              <w:right w:val="single" w:sz="4" w:space="0" w:color="000000"/>
            </w:tcBorders>
            <w:shd w:val="clear" w:color="auto" w:fill="auto"/>
            <w:vAlign w:val="bottom"/>
          </w:tcPr>
          <w:p w14:paraId="3F36D698" w14:textId="77777777" w:rsidR="003A3BCA" w:rsidRDefault="008276B6">
            <w:pPr>
              <w:jc w:val="right"/>
              <w:rPr>
                <w:rFonts w:ascii="Calibri" w:eastAsia="Calibri" w:hAnsi="Calibri" w:cs="Calibri"/>
                <w:color w:val="000000"/>
              </w:rPr>
            </w:pPr>
            <w:r>
              <w:rPr>
                <w:rFonts w:ascii="Calibri" w:eastAsia="Calibri" w:hAnsi="Calibri" w:cs="Calibri"/>
                <w:color w:val="000000"/>
              </w:rPr>
              <w:t>46</w:t>
            </w:r>
          </w:p>
        </w:tc>
        <w:tc>
          <w:tcPr>
            <w:tcW w:w="1211" w:type="dxa"/>
            <w:tcBorders>
              <w:top w:val="nil"/>
              <w:left w:val="nil"/>
              <w:bottom w:val="single" w:sz="4" w:space="0" w:color="000000"/>
              <w:right w:val="single" w:sz="4" w:space="0" w:color="000000"/>
            </w:tcBorders>
            <w:shd w:val="clear" w:color="auto" w:fill="auto"/>
            <w:vAlign w:val="bottom"/>
          </w:tcPr>
          <w:p w14:paraId="35D36820" w14:textId="77777777" w:rsidR="003A3BCA" w:rsidRDefault="008276B6">
            <w:pPr>
              <w:jc w:val="right"/>
              <w:rPr>
                <w:rFonts w:ascii="Calibri" w:eastAsia="Calibri" w:hAnsi="Calibri" w:cs="Calibri"/>
                <w:color w:val="000000"/>
              </w:rPr>
            </w:pPr>
            <w:r>
              <w:rPr>
                <w:rFonts w:ascii="Calibri" w:eastAsia="Calibri" w:hAnsi="Calibri" w:cs="Calibri"/>
                <w:color w:val="000000"/>
              </w:rPr>
              <w:t>73</w:t>
            </w:r>
          </w:p>
        </w:tc>
        <w:tc>
          <w:tcPr>
            <w:tcW w:w="1211" w:type="dxa"/>
            <w:tcBorders>
              <w:top w:val="nil"/>
              <w:left w:val="nil"/>
              <w:bottom w:val="single" w:sz="4" w:space="0" w:color="000000"/>
              <w:right w:val="single" w:sz="4" w:space="0" w:color="000000"/>
            </w:tcBorders>
            <w:shd w:val="clear" w:color="auto" w:fill="auto"/>
            <w:vAlign w:val="bottom"/>
          </w:tcPr>
          <w:p w14:paraId="0A4E647A" w14:textId="77777777" w:rsidR="003A3BCA" w:rsidRDefault="008276B6">
            <w:pPr>
              <w:jc w:val="right"/>
              <w:rPr>
                <w:rFonts w:ascii="Calibri" w:eastAsia="Calibri" w:hAnsi="Calibri" w:cs="Calibri"/>
                <w:color w:val="000000"/>
              </w:rPr>
            </w:pPr>
            <w:r>
              <w:rPr>
                <w:rFonts w:ascii="Calibri" w:eastAsia="Calibri" w:hAnsi="Calibri" w:cs="Calibri"/>
                <w:color w:val="000000"/>
              </w:rPr>
              <w:t>3,4</w:t>
            </w:r>
          </w:p>
        </w:tc>
      </w:tr>
      <w:tr w:rsidR="003A3BCA" w14:paraId="3FD536C2" w14:textId="77777777">
        <w:trPr>
          <w:trHeight w:val="320"/>
        </w:trPr>
        <w:tc>
          <w:tcPr>
            <w:tcW w:w="1937" w:type="dxa"/>
            <w:tcBorders>
              <w:top w:val="nil"/>
              <w:left w:val="single" w:sz="4" w:space="0" w:color="000000"/>
              <w:bottom w:val="single" w:sz="4" w:space="0" w:color="000000"/>
              <w:right w:val="single" w:sz="4" w:space="0" w:color="000000"/>
            </w:tcBorders>
            <w:shd w:val="clear" w:color="auto" w:fill="auto"/>
            <w:vAlign w:val="bottom"/>
          </w:tcPr>
          <w:p w14:paraId="2200B76E" w14:textId="77777777" w:rsidR="003A3BCA" w:rsidRDefault="008276B6">
            <w:pPr>
              <w:rPr>
                <w:rFonts w:ascii="Calibri" w:eastAsia="Calibri" w:hAnsi="Calibri" w:cs="Calibri"/>
                <w:color w:val="000000"/>
              </w:rPr>
            </w:pPr>
            <w:r>
              <w:rPr>
                <w:rFonts w:ascii="Calibri" w:eastAsia="Calibri" w:hAnsi="Calibri" w:cs="Calibri"/>
                <w:color w:val="000000"/>
              </w:rPr>
              <w:t> </w:t>
            </w:r>
          </w:p>
        </w:tc>
        <w:tc>
          <w:tcPr>
            <w:tcW w:w="1325" w:type="dxa"/>
            <w:tcBorders>
              <w:top w:val="nil"/>
              <w:left w:val="nil"/>
              <w:bottom w:val="single" w:sz="4" w:space="0" w:color="000000"/>
              <w:right w:val="single" w:sz="4" w:space="0" w:color="000000"/>
            </w:tcBorders>
            <w:shd w:val="clear" w:color="auto" w:fill="auto"/>
            <w:vAlign w:val="bottom"/>
          </w:tcPr>
          <w:p w14:paraId="1089BEAC" w14:textId="77777777" w:rsidR="003A3BCA" w:rsidRDefault="008276B6">
            <w:pPr>
              <w:rPr>
                <w:rFonts w:ascii="Calibri" w:eastAsia="Calibri" w:hAnsi="Calibri" w:cs="Calibri"/>
                <w:color w:val="000000"/>
              </w:rPr>
            </w:pPr>
            <w:r>
              <w:rPr>
                <w:rFonts w:ascii="Calibri" w:eastAsia="Calibri" w:hAnsi="Calibri" w:cs="Calibri"/>
                <w:color w:val="000000"/>
              </w:rPr>
              <w:t> </w:t>
            </w:r>
          </w:p>
        </w:tc>
        <w:tc>
          <w:tcPr>
            <w:tcW w:w="1583" w:type="dxa"/>
            <w:tcBorders>
              <w:top w:val="nil"/>
              <w:left w:val="nil"/>
              <w:bottom w:val="single" w:sz="4" w:space="0" w:color="000000"/>
              <w:right w:val="single" w:sz="4" w:space="0" w:color="000000"/>
            </w:tcBorders>
            <w:shd w:val="clear" w:color="auto" w:fill="auto"/>
            <w:vAlign w:val="bottom"/>
          </w:tcPr>
          <w:p w14:paraId="0F647972" w14:textId="77777777" w:rsidR="003A3BCA" w:rsidRDefault="008276B6">
            <w:pPr>
              <w:rPr>
                <w:rFonts w:ascii="Calibri" w:eastAsia="Calibri" w:hAnsi="Calibri" w:cs="Calibri"/>
                <w:color w:val="000000"/>
              </w:rPr>
            </w:pPr>
            <w:r>
              <w:rPr>
                <w:rFonts w:ascii="Calibri" w:eastAsia="Calibri" w:hAnsi="Calibri" w:cs="Calibri"/>
                <w:color w:val="000000"/>
              </w:rPr>
              <w:t> </w:t>
            </w:r>
          </w:p>
        </w:tc>
        <w:tc>
          <w:tcPr>
            <w:tcW w:w="1211" w:type="dxa"/>
            <w:tcBorders>
              <w:top w:val="nil"/>
              <w:left w:val="nil"/>
              <w:bottom w:val="single" w:sz="4" w:space="0" w:color="000000"/>
              <w:right w:val="single" w:sz="4" w:space="0" w:color="000000"/>
            </w:tcBorders>
            <w:shd w:val="clear" w:color="auto" w:fill="auto"/>
            <w:vAlign w:val="bottom"/>
          </w:tcPr>
          <w:p w14:paraId="1C93BD4B" w14:textId="77777777" w:rsidR="003A3BCA" w:rsidRDefault="008276B6">
            <w:pPr>
              <w:rPr>
                <w:rFonts w:ascii="Calibri" w:eastAsia="Calibri" w:hAnsi="Calibri" w:cs="Calibri"/>
                <w:color w:val="000000"/>
              </w:rPr>
            </w:pPr>
            <w:r>
              <w:rPr>
                <w:rFonts w:ascii="Calibri" w:eastAsia="Calibri" w:hAnsi="Calibri" w:cs="Calibri"/>
                <w:color w:val="000000"/>
              </w:rPr>
              <w:t> </w:t>
            </w:r>
          </w:p>
        </w:tc>
        <w:tc>
          <w:tcPr>
            <w:tcW w:w="1211" w:type="dxa"/>
            <w:tcBorders>
              <w:top w:val="nil"/>
              <w:left w:val="nil"/>
              <w:bottom w:val="single" w:sz="4" w:space="0" w:color="000000"/>
              <w:right w:val="single" w:sz="4" w:space="0" w:color="000000"/>
            </w:tcBorders>
            <w:shd w:val="clear" w:color="auto" w:fill="auto"/>
            <w:vAlign w:val="bottom"/>
          </w:tcPr>
          <w:p w14:paraId="6AD1A688" w14:textId="77777777" w:rsidR="003A3BCA" w:rsidRDefault="008276B6">
            <w:pPr>
              <w:rPr>
                <w:rFonts w:ascii="Calibri" w:eastAsia="Calibri" w:hAnsi="Calibri" w:cs="Calibri"/>
                <w:color w:val="000000"/>
              </w:rPr>
            </w:pPr>
            <w:r>
              <w:rPr>
                <w:rFonts w:ascii="Calibri" w:eastAsia="Calibri" w:hAnsi="Calibri" w:cs="Calibri"/>
                <w:color w:val="000000"/>
              </w:rPr>
              <w:t> </w:t>
            </w:r>
          </w:p>
        </w:tc>
        <w:tc>
          <w:tcPr>
            <w:tcW w:w="1211" w:type="dxa"/>
            <w:tcBorders>
              <w:top w:val="nil"/>
              <w:left w:val="nil"/>
              <w:bottom w:val="single" w:sz="4" w:space="0" w:color="000000"/>
              <w:right w:val="single" w:sz="4" w:space="0" w:color="000000"/>
            </w:tcBorders>
            <w:shd w:val="clear" w:color="auto" w:fill="auto"/>
            <w:vAlign w:val="bottom"/>
          </w:tcPr>
          <w:p w14:paraId="07EEA9C5" w14:textId="77777777" w:rsidR="003A3BCA" w:rsidRDefault="008276B6">
            <w:pPr>
              <w:rPr>
                <w:rFonts w:ascii="Calibri" w:eastAsia="Calibri" w:hAnsi="Calibri" w:cs="Calibri"/>
                <w:color w:val="000000"/>
              </w:rPr>
            </w:pPr>
            <w:r>
              <w:rPr>
                <w:rFonts w:ascii="Calibri" w:eastAsia="Calibri" w:hAnsi="Calibri" w:cs="Calibri"/>
                <w:color w:val="000000"/>
              </w:rPr>
              <w:t> </w:t>
            </w:r>
          </w:p>
        </w:tc>
        <w:tc>
          <w:tcPr>
            <w:tcW w:w="1211" w:type="dxa"/>
            <w:tcBorders>
              <w:top w:val="nil"/>
              <w:left w:val="nil"/>
              <w:bottom w:val="single" w:sz="4" w:space="0" w:color="000000"/>
              <w:right w:val="single" w:sz="4" w:space="0" w:color="000000"/>
            </w:tcBorders>
            <w:shd w:val="clear" w:color="auto" w:fill="auto"/>
            <w:vAlign w:val="bottom"/>
          </w:tcPr>
          <w:p w14:paraId="69F38F81" w14:textId="77777777" w:rsidR="003A3BCA" w:rsidRDefault="008276B6">
            <w:pPr>
              <w:rPr>
                <w:rFonts w:ascii="Calibri" w:eastAsia="Calibri" w:hAnsi="Calibri" w:cs="Calibri"/>
                <w:color w:val="000000"/>
              </w:rPr>
            </w:pPr>
            <w:r>
              <w:rPr>
                <w:rFonts w:ascii="Calibri" w:eastAsia="Calibri" w:hAnsi="Calibri" w:cs="Calibri"/>
                <w:color w:val="000000"/>
              </w:rPr>
              <w:t> </w:t>
            </w:r>
          </w:p>
        </w:tc>
      </w:tr>
      <w:tr w:rsidR="003A3BCA" w14:paraId="31AE1815" w14:textId="77777777">
        <w:trPr>
          <w:trHeight w:val="320"/>
        </w:trPr>
        <w:tc>
          <w:tcPr>
            <w:tcW w:w="1937" w:type="dxa"/>
            <w:tcBorders>
              <w:top w:val="nil"/>
              <w:left w:val="single" w:sz="4" w:space="0" w:color="000000"/>
              <w:bottom w:val="single" w:sz="4" w:space="0" w:color="000000"/>
              <w:right w:val="single" w:sz="4" w:space="0" w:color="000000"/>
            </w:tcBorders>
            <w:shd w:val="clear" w:color="auto" w:fill="auto"/>
            <w:vAlign w:val="bottom"/>
          </w:tcPr>
          <w:p w14:paraId="71A283B8" w14:textId="77777777" w:rsidR="003A3BCA" w:rsidRDefault="008276B6">
            <w:pPr>
              <w:rPr>
                <w:rFonts w:ascii="Calibri" w:eastAsia="Calibri" w:hAnsi="Calibri" w:cs="Calibri"/>
                <w:color w:val="000000"/>
              </w:rPr>
            </w:pPr>
            <w:r>
              <w:rPr>
                <w:rFonts w:ascii="Calibri" w:eastAsia="Calibri" w:hAnsi="Calibri" w:cs="Calibri"/>
                <w:color w:val="000000"/>
              </w:rPr>
              <w:t>Fred</w:t>
            </w:r>
          </w:p>
        </w:tc>
        <w:tc>
          <w:tcPr>
            <w:tcW w:w="1325" w:type="dxa"/>
            <w:tcBorders>
              <w:top w:val="nil"/>
              <w:left w:val="nil"/>
              <w:bottom w:val="single" w:sz="4" w:space="0" w:color="000000"/>
              <w:right w:val="single" w:sz="4" w:space="0" w:color="000000"/>
            </w:tcBorders>
            <w:shd w:val="clear" w:color="auto" w:fill="auto"/>
            <w:vAlign w:val="bottom"/>
          </w:tcPr>
          <w:p w14:paraId="02A4227B" w14:textId="77777777" w:rsidR="003A3BCA" w:rsidRDefault="008276B6">
            <w:pPr>
              <w:rPr>
                <w:rFonts w:ascii="Calibri" w:eastAsia="Calibri" w:hAnsi="Calibri" w:cs="Calibri"/>
                <w:color w:val="000000"/>
              </w:rPr>
            </w:pPr>
            <w:r>
              <w:rPr>
                <w:rFonts w:ascii="Calibri" w:eastAsia="Calibri" w:hAnsi="Calibri" w:cs="Calibri"/>
                <w:color w:val="000000"/>
              </w:rPr>
              <w:t>2018/2019</w:t>
            </w:r>
          </w:p>
        </w:tc>
        <w:tc>
          <w:tcPr>
            <w:tcW w:w="1583" w:type="dxa"/>
            <w:tcBorders>
              <w:top w:val="nil"/>
              <w:left w:val="nil"/>
              <w:bottom w:val="single" w:sz="4" w:space="0" w:color="000000"/>
              <w:right w:val="single" w:sz="4" w:space="0" w:color="000000"/>
            </w:tcBorders>
            <w:shd w:val="clear" w:color="auto" w:fill="auto"/>
            <w:vAlign w:val="bottom"/>
          </w:tcPr>
          <w:p w14:paraId="6DCB8D3E" w14:textId="77777777" w:rsidR="003A3BCA" w:rsidRDefault="008276B6">
            <w:pPr>
              <w:rPr>
                <w:rFonts w:ascii="Calibri" w:eastAsia="Calibri" w:hAnsi="Calibri" w:cs="Calibri"/>
                <w:color w:val="000000"/>
              </w:rPr>
            </w:pPr>
            <w:r>
              <w:rPr>
                <w:rFonts w:ascii="Calibri" w:eastAsia="Calibri" w:hAnsi="Calibri" w:cs="Calibri"/>
                <w:color w:val="000000"/>
              </w:rPr>
              <w:t>Midfielder</w:t>
            </w:r>
          </w:p>
        </w:tc>
        <w:tc>
          <w:tcPr>
            <w:tcW w:w="1211" w:type="dxa"/>
            <w:tcBorders>
              <w:top w:val="nil"/>
              <w:left w:val="nil"/>
              <w:bottom w:val="single" w:sz="4" w:space="0" w:color="000000"/>
              <w:right w:val="single" w:sz="4" w:space="0" w:color="000000"/>
            </w:tcBorders>
            <w:shd w:val="clear" w:color="auto" w:fill="auto"/>
            <w:vAlign w:val="bottom"/>
          </w:tcPr>
          <w:p w14:paraId="34F66515" w14:textId="77777777" w:rsidR="003A3BCA" w:rsidRDefault="008276B6">
            <w:pPr>
              <w:jc w:val="right"/>
              <w:rPr>
                <w:rFonts w:ascii="Calibri" w:eastAsia="Calibri" w:hAnsi="Calibri" w:cs="Calibri"/>
                <w:color w:val="000000"/>
              </w:rPr>
            </w:pPr>
            <w:r>
              <w:rPr>
                <w:rFonts w:ascii="Calibri" w:eastAsia="Calibri" w:hAnsi="Calibri" w:cs="Calibri"/>
                <w:color w:val="000000"/>
              </w:rPr>
              <w:t>59</w:t>
            </w:r>
          </w:p>
        </w:tc>
        <w:tc>
          <w:tcPr>
            <w:tcW w:w="1211" w:type="dxa"/>
            <w:tcBorders>
              <w:top w:val="nil"/>
              <w:left w:val="nil"/>
              <w:bottom w:val="single" w:sz="4" w:space="0" w:color="000000"/>
              <w:right w:val="single" w:sz="4" w:space="0" w:color="000000"/>
            </w:tcBorders>
            <w:shd w:val="clear" w:color="auto" w:fill="auto"/>
            <w:vAlign w:val="bottom"/>
          </w:tcPr>
          <w:p w14:paraId="6B90B436" w14:textId="77777777" w:rsidR="003A3BCA" w:rsidRDefault="008276B6">
            <w:pPr>
              <w:jc w:val="right"/>
              <w:rPr>
                <w:rFonts w:ascii="Calibri" w:eastAsia="Calibri" w:hAnsi="Calibri" w:cs="Calibri"/>
                <w:color w:val="000000"/>
              </w:rPr>
            </w:pPr>
            <w:r>
              <w:rPr>
                <w:rFonts w:ascii="Calibri" w:eastAsia="Calibri" w:hAnsi="Calibri" w:cs="Calibri"/>
                <w:color w:val="000000"/>
              </w:rPr>
              <w:t>59</w:t>
            </w:r>
          </w:p>
        </w:tc>
        <w:tc>
          <w:tcPr>
            <w:tcW w:w="1211" w:type="dxa"/>
            <w:tcBorders>
              <w:top w:val="nil"/>
              <w:left w:val="nil"/>
              <w:bottom w:val="single" w:sz="4" w:space="0" w:color="000000"/>
              <w:right w:val="single" w:sz="4" w:space="0" w:color="000000"/>
            </w:tcBorders>
            <w:shd w:val="clear" w:color="auto" w:fill="auto"/>
            <w:vAlign w:val="bottom"/>
          </w:tcPr>
          <w:p w14:paraId="295E76CD" w14:textId="77777777" w:rsidR="003A3BCA" w:rsidRDefault="008276B6">
            <w:pPr>
              <w:jc w:val="right"/>
              <w:rPr>
                <w:rFonts w:ascii="Calibri" w:eastAsia="Calibri" w:hAnsi="Calibri" w:cs="Calibri"/>
                <w:color w:val="000000"/>
              </w:rPr>
            </w:pPr>
            <w:r>
              <w:rPr>
                <w:rFonts w:ascii="Calibri" w:eastAsia="Calibri" w:hAnsi="Calibri" w:cs="Calibri"/>
                <w:color w:val="000000"/>
              </w:rPr>
              <w:t>53</w:t>
            </w:r>
          </w:p>
        </w:tc>
        <w:tc>
          <w:tcPr>
            <w:tcW w:w="1211" w:type="dxa"/>
            <w:tcBorders>
              <w:top w:val="nil"/>
              <w:left w:val="nil"/>
              <w:bottom w:val="single" w:sz="4" w:space="0" w:color="000000"/>
              <w:right w:val="single" w:sz="4" w:space="0" w:color="000000"/>
            </w:tcBorders>
            <w:shd w:val="clear" w:color="auto" w:fill="auto"/>
            <w:vAlign w:val="bottom"/>
          </w:tcPr>
          <w:p w14:paraId="280061A1" w14:textId="77777777" w:rsidR="003A3BCA" w:rsidRDefault="008276B6">
            <w:pPr>
              <w:jc w:val="right"/>
              <w:rPr>
                <w:rFonts w:ascii="Calibri" w:eastAsia="Calibri" w:hAnsi="Calibri" w:cs="Calibri"/>
                <w:color w:val="000000"/>
              </w:rPr>
            </w:pPr>
            <w:r>
              <w:rPr>
                <w:rFonts w:ascii="Calibri" w:eastAsia="Calibri" w:hAnsi="Calibri" w:cs="Calibri"/>
                <w:color w:val="000000"/>
              </w:rPr>
              <w:t>3</w:t>
            </w:r>
          </w:p>
        </w:tc>
      </w:tr>
      <w:tr w:rsidR="003A3BCA" w14:paraId="52728873" w14:textId="77777777">
        <w:trPr>
          <w:trHeight w:val="320"/>
        </w:trPr>
        <w:tc>
          <w:tcPr>
            <w:tcW w:w="1937" w:type="dxa"/>
            <w:tcBorders>
              <w:top w:val="nil"/>
              <w:left w:val="single" w:sz="4" w:space="0" w:color="000000"/>
              <w:bottom w:val="single" w:sz="4" w:space="0" w:color="000000"/>
              <w:right w:val="single" w:sz="4" w:space="0" w:color="000000"/>
            </w:tcBorders>
            <w:shd w:val="clear" w:color="auto" w:fill="auto"/>
            <w:vAlign w:val="bottom"/>
          </w:tcPr>
          <w:p w14:paraId="7EDEB91D" w14:textId="77777777" w:rsidR="003A3BCA" w:rsidRDefault="008276B6">
            <w:pPr>
              <w:rPr>
                <w:rFonts w:ascii="Calibri" w:eastAsia="Calibri" w:hAnsi="Calibri" w:cs="Calibri"/>
                <w:color w:val="000000"/>
              </w:rPr>
            </w:pPr>
            <w:r>
              <w:rPr>
                <w:rFonts w:ascii="Calibri" w:eastAsia="Calibri" w:hAnsi="Calibri" w:cs="Calibri"/>
                <w:color w:val="000000"/>
              </w:rPr>
              <w:t> </w:t>
            </w:r>
          </w:p>
        </w:tc>
        <w:tc>
          <w:tcPr>
            <w:tcW w:w="1325" w:type="dxa"/>
            <w:tcBorders>
              <w:top w:val="nil"/>
              <w:left w:val="nil"/>
              <w:bottom w:val="single" w:sz="4" w:space="0" w:color="000000"/>
              <w:right w:val="single" w:sz="4" w:space="0" w:color="000000"/>
            </w:tcBorders>
            <w:shd w:val="clear" w:color="auto" w:fill="auto"/>
            <w:vAlign w:val="bottom"/>
          </w:tcPr>
          <w:p w14:paraId="4170856C" w14:textId="77777777" w:rsidR="003A3BCA" w:rsidRDefault="008276B6">
            <w:pPr>
              <w:rPr>
                <w:rFonts w:ascii="Calibri" w:eastAsia="Calibri" w:hAnsi="Calibri" w:cs="Calibri"/>
                <w:color w:val="000000"/>
              </w:rPr>
            </w:pPr>
            <w:r>
              <w:rPr>
                <w:rFonts w:ascii="Calibri" w:eastAsia="Calibri" w:hAnsi="Calibri" w:cs="Calibri"/>
                <w:color w:val="000000"/>
              </w:rPr>
              <w:t>2019/2020</w:t>
            </w:r>
          </w:p>
        </w:tc>
        <w:tc>
          <w:tcPr>
            <w:tcW w:w="1583" w:type="dxa"/>
            <w:tcBorders>
              <w:top w:val="nil"/>
              <w:left w:val="nil"/>
              <w:bottom w:val="single" w:sz="4" w:space="0" w:color="000000"/>
              <w:right w:val="single" w:sz="4" w:space="0" w:color="000000"/>
            </w:tcBorders>
            <w:shd w:val="clear" w:color="auto" w:fill="auto"/>
            <w:vAlign w:val="bottom"/>
          </w:tcPr>
          <w:p w14:paraId="14BB4BB1" w14:textId="77777777" w:rsidR="003A3BCA" w:rsidRDefault="008276B6">
            <w:pPr>
              <w:rPr>
                <w:rFonts w:ascii="Calibri" w:eastAsia="Calibri" w:hAnsi="Calibri" w:cs="Calibri"/>
                <w:color w:val="000000"/>
              </w:rPr>
            </w:pPr>
            <w:r>
              <w:rPr>
                <w:rFonts w:ascii="Calibri" w:eastAsia="Calibri" w:hAnsi="Calibri" w:cs="Calibri"/>
                <w:color w:val="000000"/>
              </w:rPr>
              <w:t> </w:t>
            </w:r>
          </w:p>
        </w:tc>
        <w:tc>
          <w:tcPr>
            <w:tcW w:w="1211" w:type="dxa"/>
            <w:tcBorders>
              <w:top w:val="nil"/>
              <w:left w:val="nil"/>
              <w:bottom w:val="single" w:sz="4" w:space="0" w:color="000000"/>
              <w:right w:val="single" w:sz="4" w:space="0" w:color="000000"/>
            </w:tcBorders>
            <w:shd w:val="clear" w:color="auto" w:fill="auto"/>
            <w:vAlign w:val="bottom"/>
          </w:tcPr>
          <w:p w14:paraId="70537567" w14:textId="77777777" w:rsidR="003A3BCA" w:rsidRDefault="008276B6">
            <w:pPr>
              <w:jc w:val="right"/>
              <w:rPr>
                <w:rFonts w:ascii="Calibri" w:eastAsia="Calibri" w:hAnsi="Calibri" w:cs="Calibri"/>
                <w:color w:val="000000"/>
              </w:rPr>
            </w:pPr>
            <w:r>
              <w:rPr>
                <w:rFonts w:ascii="Calibri" w:eastAsia="Calibri" w:hAnsi="Calibri" w:cs="Calibri"/>
                <w:color w:val="000000"/>
              </w:rPr>
              <w:t>65</w:t>
            </w:r>
          </w:p>
        </w:tc>
        <w:tc>
          <w:tcPr>
            <w:tcW w:w="1211" w:type="dxa"/>
            <w:tcBorders>
              <w:top w:val="nil"/>
              <w:left w:val="nil"/>
              <w:bottom w:val="single" w:sz="4" w:space="0" w:color="000000"/>
              <w:right w:val="single" w:sz="4" w:space="0" w:color="000000"/>
            </w:tcBorders>
            <w:shd w:val="clear" w:color="auto" w:fill="auto"/>
            <w:vAlign w:val="bottom"/>
          </w:tcPr>
          <w:p w14:paraId="4CCBE1C9" w14:textId="77777777" w:rsidR="003A3BCA" w:rsidRDefault="008276B6">
            <w:pPr>
              <w:jc w:val="right"/>
              <w:rPr>
                <w:rFonts w:ascii="Calibri" w:eastAsia="Calibri" w:hAnsi="Calibri" w:cs="Calibri"/>
                <w:color w:val="000000"/>
              </w:rPr>
            </w:pPr>
            <w:r>
              <w:rPr>
                <w:rFonts w:ascii="Calibri" w:eastAsia="Calibri" w:hAnsi="Calibri" w:cs="Calibri"/>
                <w:color w:val="000000"/>
              </w:rPr>
              <w:t>60</w:t>
            </w:r>
          </w:p>
        </w:tc>
        <w:tc>
          <w:tcPr>
            <w:tcW w:w="1211" w:type="dxa"/>
            <w:tcBorders>
              <w:top w:val="nil"/>
              <w:left w:val="nil"/>
              <w:bottom w:val="single" w:sz="4" w:space="0" w:color="000000"/>
              <w:right w:val="single" w:sz="4" w:space="0" w:color="000000"/>
            </w:tcBorders>
            <w:shd w:val="clear" w:color="auto" w:fill="auto"/>
            <w:vAlign w:val="bottom"/>
          </w:tcPr>
          <w:p w14:paraId="44A1AF1D" w14:textId="77777777" w:rsidR="003A3BCA" w:rsidRDefault="008276B6">
            <w:pPr>
              <w:jc w:val="right"/>
              <w:rPr>
                <w:rFonts w:ascii="Calibri" w:eastAsia="Calibri" w:hAnsi="Calibri" w:cs="Calibri"/>
                <w:color w:val="000000"/>
              </w:rPr>
            </w:pPr>
            <w:r>
              <w:rPr>
                <w:rFonts w:ascii="Calibri" w:eastAsia="Calibri" w:hAnsi="Calibri" w:cs="Calibri"/>
                <w:color w:val="000000"/>
              </w:rPr>
              <w:t>46</w:t>
            </w:r>
          </w:p>
        </w:tc>
        <w:tc>
          <w:tcPr>
            <w:tcW w:w="1211" w:type="dxa"/>
            <w:tcBorders>
              <w:top w:val="nil"/>
              <w:left w:val="nil"/>
              <w:bottom w:val="single" w:sz="4" w:space="0" w:color="000000"/>
              <w:right w:val="single" w:sz="4" w:space="0" w:color="000000"/>
            </w:tcBorders>
            <w:shd w:val="clear" w:color="auto" w:fill="auto"/>
            <w:vAlign w:val="bottom"/>
          </w:tcPr>
          <w:p w14:paraId="09C7D63D" w14:textId="77777777" w:rsidR="003A3BCA" w:rsidRDefault="008276B6">
            <w:pPr>
              <w:jc w:val="right"/>
              <w:rPr>
                <w:rFonts w:ascii="Calibri" w:eastAsia="Calibri" w:hAnsi="Calibri" w:cs="Calibri"/>
                <w:color w:val="000000"/>
              </w:rPr>
            </w:pPr>
            <w:r>
              <w:rPr>
                <w:rFonts w:ascii="Calibri" w:eastAsia="Calibri" w:hAnsi="Calibri" w:cs="Calibri"/>
                <w:color w:val="000000"/>
              </w:rPr>
              <w:t>3,1</w:t>
            </w:r>
          </w:p>
        </w:tc>
      </w:tr>
      <w:tr w:rsidR="003A3BCA" w14:paraId="79296B84" w14:textId="77777777">
        <w:trPr>
          <w:trHeight w:val="320"/>
        </w:trPr>
        <w:tc>
          <w:tcPr>
            <w:tcW w:w="1937" w:type="dxa"/>
            <w:tcBorders>
              <w:top w:val="nil"/>
              <w:left w:val="single" w:sz="4" w:space="0" w:color="000000"/>
              <w:bottom w:val="single" w:sz="4" w:space="0" w:color="000000"/>
              <w:right w:val="single" w:sz="4" w:space="0" w:color="000000"/>
            </w:tcBorders>
            <w:shd w:val="clear" w:color="auto" w:fill="auto"/>
            <w:vAlign w:val="bottom"/>
          </w:tcPr>
          <w:p w14:paraId="0EE976A7" w14:textId="77777777" w:rsidR="003A3BCA" w:rsidRDefault="008276B6">
            <w:pPr>
              <w:rPr>
                <w:rFonts w:ascii="Calibri" w:eastAsia="Calibri" w:hAnsi="Calibri" w:cs="Calibri"/>
                <w:color w:val="000000"/>
              </w:rPr>
            </w:pPr>
            <w:r>
              <w:rPr>
                <w:rFonts w:ascii="Calibri" w:eastAsia="Calibri" w:hAnsi="Calibri" w:cs="Calibri"/>
                <w:color w:val="000000"/>
              </w:rPr>
              <w:t> </w:t>
            </w:r>
          </w:p>
        </w:tc>
        <w:tc>
          <w:tcPr>
            <w:tcW w:w="1325" w:type="dxa"/>
            <w:tcBorders>
              <w:top w:val="nil"/>
              <w:left w:val="nil"/>
              <w:bottom w:val="single" w:sz="4" w:space="0" w:color="000000"/>
              <w:right w:val="single" w:sz="4" w:space="0" w:color="000000"/>
            </w:tcBorders>
            <w:shd w:val="clear" w:color="auto" w:fill="auto"/>
            <w:vAlign w:val="bottom"/>
          </w:tcPr>
          <w:p w14:paraId="2D799419" w14:textId="77777777" w:rsidR="003A3BCA" w:rsidRDefault="008276B6">
            <w:pPr>
              <w:rPr>
                <w:rFonts w:ascii="Calibri" w:eastAsia="Calibri" w:hAnsi="Calibri" w:cs="Calibri"/>
                <w:color w:val="000000"/>
              </w:rPr>
            </w:pPr>
            <w:r>
              <w:rPr>
                <w:rFonts w:ascii="Calibri" w:eastAsia="Calibri" w:hAnsi="Calibri" w:cs="Calibri"/>
                <w:color w:val="000000"/>
              </w:rPr>
              <w:t>2020/2021</w:t>
            </w:r>
          </w:p>
        </w:tc>
        <w:tc>
          <w:tcPr>
            <w:tcW w:w="1583" w:type="dxa"/>
            <w:tcBorders>
              <w:top w:val="nil"/>
              <w:left w:val="nil"/>
              <w:bottom w:val="single" w:sz="4" w:space="0" w:color="000000"/>
              <w:right w:val="single" w:sz="4" w:space="0" w:color="000000"/>
            </w:tcBorders>
            <w:shd w:val="clear" w:color="auto" w:fill="auto"/>
            <w:vAlign w:val="bottom"/>
          </w:tcPr>
          <w:p w14:paraId="2C335C19" w14:textId="77777777" w:rsidR="003A3BCA" w:rsidRDefault="008276B6">
            <w:pPr>
              <w:rPr>
                <w:rFonts w:ascii="Calibri" w:eastAsia="Calibri" w:hAnsi="Calibri" w:cs="Calibri"/>
                <w:color w:val="000000"/>
              </w:rPr>
            </w:pPr>
            <w:r>
              <w:rPr>
                <w:rFonts w:ascii="Calibri" w:eastAsia="Calibri" w:hAnsi="Calibri" w:cs="Calibri"/>
                <w:color w:val="000000"/>
              </w:rPr>
              <w:t> </w:t>
            </w:r>
          </w:p>
        </w:tc>
        <w:tc>
          <w:tcPr>
            <w:tcW w:w="1211" w:type="dxa"/>
            <w:tcBorders>
              <w:top w:val="nil"/>
              <w:left w:val="nil"/>
              <w:bottom w:val="single" w:sz="4" w:space="0" w:color="000000"/>
              <w:right w:val="single" w:sz="4" w:space="0" w:color="000000"/>
            </w:tcBorders>
            <w:shd w:val="clear" w:color="auto" w:fill="auto"/>
            <w:vAlign w:val="bottom"/>
          </w:tcPr>
          <w:p w14:paraId="4960FCD4" w14:textId="77777777" w:rsidR="003A3BCA" w:rsidRDefault="008276B6">
            <w:pPr>
              <w:jc w:val="right"/>
              <w:rPr>
                <w:rFonts w:ascii="Calibri" w:eastAsia="Calibri" w:hAnsi="Calibri" w:cs="Calibri"/>
                <w:color w:val="000000"/>
              </w:rPr>
            </w:pPr>
            <w:r>
              <w:rPr>
                <w:rFonts w:ascii="Calibri" w:eastAsia="Calibri" w:hAnsi="Calibri" w:cs="Calibri"/>
                <w:color w:val="000000"/>
              </w:rPr>
              <w:t>64</w:t>
            </w:r>
          </w:p>
        </w:tc>
        <w:tc>
          <w:tcPr>
            <w:tcW w:w="1211" w:type="dxa"/>
            <w:tcBorders>
              <w:top w:val="nil"/>
              <w:left w:val="nil"/>
              <w:bottom w:val="single" w:sz="4" w:space="0" w:color="000000"/>
              <w:right w:val="single" w:sz="4" w:space="0" w:color="000000"/>
            </w:tcBorders>
            <w:shd w:val="clear" w:color="auto" w:fill="auto"/>
            <w:vAlign w:val="bottom"/>
          </w:tcPr>
          <w:p w14:paraId="28D03160" w14:textId="77777777" w:rsidR="003A3BCA" w:rsidRDefault="008276B6">
            <w:pPr>
              <w:jc w:val="right"/>
              <w:rPr>
                <w:rFonts w:ascii="Calibri" w:eastAsia="Calibri" w:hAnsi="Calibri" w:cs="Calibri"/>
                <w:color w:val="000000"/>
              </w:rPr>
            </w:pPr>
            <w:r>
              <w:rPr>
                <w:rFonts w:ascii="Calibri" w:eastAsia="Calibri" w:hAnsi="Calibri" w:cs="Calibri"/>
                <w:color w:val="000000"/>
              </w:rPr>
              <w:t>55</w:t>
            </w:r>
          </w:p>
        </w:tc>
        <w:tc>
          <w:tcPr>
            <w:tcW w:w="1211" w:type="dxa"/>
            <w:tcBorders>
              <w:top w:val="nil"/>
              <w:left w:val="nil"/>
              <w:bottom w:val="single" w:sz="4" w:space="0" w:color="000000"/>
              <w:right w:val="single" w:sz="4" w:space="0" w:color="000000"/>
            </w:tcBorders>
            <w:shd w:val="clear" w:color="auto" w:fill="auto"/>
            <w:vAlign w:val="bottom"/>
          </w:tcPr>
          <w:p w14:paraId="5602F9FA" w14:textId="77777777" w:rsidR="003A3BCA" w:rsidRDefault="008276B6">
            <w:pPr>
              <w:jc w:val="right"/>
              <w:rPr>
                <w:rFonts w:ascii="Calibri" w:eastAsia="Calibri" w:hAnsi="Calibri" w:cs="Calibri"/>
                <w:color w:val="000000"/>
              </w:rPr>
            </w:pPr>
            <w:r>
              <w:rPr>
                <w:rFonts w:ascii="Calibri" w:eastAsia="Calibri" w:hAnsi="Calibri" w:cs="Calibri"/>
                <w:color w:val="000000"/>
              </w:rPr>
              <w:t>47</w:t>
            </w:r>
          </w:p>
        </w:tc>
        <w:tc>
          <w:tcPr>
            <w:tcW w:w="1211" w:type="dxa"/>
            <w:tcBorders>
              <w:top w:val="nil"/>
              <w:left w:val="nil"/>
              <w:bottom w:val="single" w:sz="4" w:space="0" w:color="000000"/>
              <w:right w:val="single" w:sz="4" w:space="0" w:color="000000"/>
            </w:tcBorders>
            <w:shd w:val="clear" w:color="auto" w:fill="auto"/>
            <w:vAlign w:val="bottom"/>
          </w:tcPr>
          <w:p w14:paraId="4B3CDE4F" w14:textId="77777777" w:rsidR="003A3BCA" w:rsidRDefault="008276B6">
            <w:pPr>
              <w:jc w:val="right"/>
              <w:rPr>
                <w:rFonts w:ascii="Calibri" w:eastAsia="Calibri" w:hAnsi="Calibri" w:cs="Calibri"/>
                <w:color w:val="000000"/>
              </w:rPr>
            </w:pPr>
            <w:r>
              <w:rPr>
                <w:rFonts w:ascii="Calibri" w:eastAsia="Calibri" w:hAnsi="Calibri" w:cs="Calibri"/>
                <w:color w:val="000000"/>
              </w:rPr>
              <w:t>2,9</w:t>
            </w:r>
          </w:p>
        </w:tc>
      </w:tr>
      <w:tr w:rsidR="003A3BCA" w14:paraId="69D058C8" w14:textId="77777777">
        <w:trPr>
          <w:trHeight w:val="320"/>
        </w:trPr>
        <w:tc>
          <w:tcPr>
            <w:tcW w:w="1937" w:type="dxa"/>
            <w:tcBorders>
              <w:top w:val="nil"/>
              <w:left w:val="single" w:sz="4" w:space="0" w:color="000000"/>
              <w:bottom w:val="single" w:sz="4" w:space="0" w:color="000000"/>
              <w:right w:val="single" w:sz="4" w:space="0" w:color="000000"/>
            </w:tcBorders>
            <w:shd w:val="clear" w:color="auto" w:fill="auto"/>
            <w:vAlign w:val="bottom"/>
          </w:tcPr>
          <w:p w14:paraId="450E9998" w14:textId="77777777" w:rsidR="003A3BCA" w:rsidRDefault="008276B6">
            <w:pPr>
              <w:rPr>
                <w:rFonts w:ascii="Calibri" w:eastAsia="Calibri" w:hAnsi="Calibri" w:cs="Calibri"/>
                <w:color w:val="000000"/>
              </w:rPr>
            </w:pPr>
            <w:r>
              <w:rPr>
                <w:rFonts w:ascii="Calibri" w:eastAsia="Calibri" w:hAnsi="Calibri" w:cs="Calibri"/>
                <w:color w:val="000000"/>
              </w:rPr>
              <w:t> </w:t>
            </w:r>
          </w:p>
        </w:tc>
        <w:tc>
          <w:tcPr>
            <w:tcW w:w="1325" w:type="dxa"/>
            <w:tcBorders>
              <w:top w:val="nil"/>
              <w:left w:val="nil"/>
              <w:bottom w:val="single" w:sz="4" w:space="0" w:color="000000"/>
              <w:right w:val="single" w:sz="4" w:space="0" w:color="000000"/>
            </w:tcBorders>
            <w:shd w:val="clear" w:color="auto" w:fill="auto"/>
            <w:vAlign w:val="bottom"/>
          </w:tcPr>
          <w:p w14:paraId="5C2732C2" w14:textId="77777777" w:rsidR="003A3BCA" w:rsidRDefault="008276B6">
            <w:pPr>
              <w:rPr>
                <w:rFonts w:ascii="Calibri" w:eastAsia="Calibri" w:hAnsi="Calibri" w:cs="Calibri"/>
                <w:color w:val="000000"/>
              </w:rPr>
            </w:pPr>
            <w:r>
              <w:rPr>
                <w:rFonts w:ascii="Calibri" w:eastAsia="Calibri" w:hAnsi="Calibri" w:cs="Calibri"/>
                <w:color w:val="000000"/>
              </w:rPr>
              <w:t>2021/2022</w:t>
            </w:r>
          </w:p>
        </w:tc>
        <w:tc>
          <w:tcPr>
            <w:tcW w:w="1583" w:type="dxa"/>
            <w:tcBorders>
              <w:top w:val="nil"/>
              <w:left w:val="nil"/>
              <w:bottom w:val="single" w:sz="4" w:space="0" w:color="000000"/>
              <w:right w:val="single" w:sz="4" w:space="0" w:color="000000"/>
            </w:tcBorders>
            <w:shd w:val="clear" w:color="auto" w:fill="auto"/>
            <w:vAlign w:val="bottom"/>
          </w:tcPr>
          <w:p w14:paraId="66D334CF" w14:textId="77777777" w:rsidR="003A3BCA" w:rsidRDefault="008276B6">
            <w:pPr>
              <w:rPr>
                <w:rFonts w:ascii="Calibri" w:eastAsia="Calibri" w:hAnsi="Calibri" w:cs="Calibri"/>
                <w:color w:val="000000"/>
              </w:rPr>
            </w:pPr>
            <w:r>
              <w:rPr>
                <w:rFonts w:ascii="Calibri" w:eastAsia="Calibri" w:hAnsi="Calibri" w:cs="Calibri"/>
                <w:color w:val="000000"/>
              </w:rPr>
              <w:t> </w:t>
            </w:r>
          </w:p>
        </w:tc>
        <w:tc>
          <w:tcPr>
            <w:tcW w:w="1211" w:type="dxa"/>
            <w:tcBorders>
              <w:top w:val="nil"/>
              <w:left w:val="nil"/>
              <w:bottom w:val="single" w:sz="4" w:space="0" w:color="000000"/>
              <w:right w:val="single" w:sz="4" w:space="0" w:color="000000"/>
            </w:tcBorders>
            <w:shd w:val="clear" w:color="auto" w:fill="auto"/>
            <w:vAlign w:val="bottom"/>
          </w:tcPr>
          <w:p w14:paraId="4F9DDE76" w14:textId="77777777" w:rsidR="003A3BCA" w:rsidRDefault="008276B6">
            <w:pPr>
              <w:jc w:val="right"/>
              <w:rPr>
                <w:rFonts w:ascii="Calibri" w:eastAsia="Calibri" w:hAnsi="Calibri" w:cs="Calibri"/>
                <w:color w:val="000000"/>
              </w:rPr>
            </w:pPr>
            <w:r>
              <w:rPr>
                <w:rFonts w:ascii="Calibri" w:eastAsia="Calibri" w:hAnsi="Calibri" w:cs="Calibri"/>
                <w:color w:val="000000"/>
              </w:rPr>
              <w:t>67</w:t>
            </w:r>
          </w:p>
        </w:tc>
        <w:tc>
          <w:tcPr>
            <w:tcW w:w="1211" w:type="dxa"/>
            <w:tcBorders>
              <w:top w:val="nil"/>
              <w:left w:val="nil"/>
              <w:bottom w:val="single" w:sz="4" w:space="0" w:color="000000"/>
              <w:right w:val="single" w:sz="4" w:space="0" w:color="000000"/>
            </w:tcBorders>
            <w:shd w:val="clear" w:color="auto" w:fill="auto"/>
            <w:vAlign w:val="bottom"/>
          </w:tcPr>
          <w:p w14:paraId="766C38F8" w14:textId="77777777" w:rsidR="003A3BCA" w:rsidRDefault="008276B6">
            <w:pPr>
              <w:jc w:val="right"/>
              <w:rPr>
                <w:rFonts w:ascii="Calibri" w:eastAsia="Calibri" w:hAnsi="Calibri" w:cs="Calibri"/>
                <w:color w:val="000000"/>
              </w:rPr>
            </w:pPr>
            <w:r>
              <w:rPr>
                <w:rFonts w:ascii="Calibri" w:eastAsia="Calibri" w:hAnsi="Calibri" w:cs="Calibri"/>
                <w:color w:val="000000"/>
              </w:rPr>
              <w:t>51</w:t>
            </w:r>
          </w:p>
        </w:tc>
        <w:tc>
          <w:tcPr>
            <w:tcW w:w="1211" w:type="dxa"/>
            <w:tcBorders>
              <w:top w:val="nil"/>
              <w:left w:val="nil"/>
              <w:bottom w:val="single" w:sz="4" w:space="0" w:color="000000"/>
              <w:right w:val="single" w:sz="4" w:space="0" w:color="000000"/>
            </w:tcBorders>
            <w:shd w:val="clear" w:color="auto" w:fill="auto"/>
            <w:vAlign w:val="bottom"/>
          </w:tcPr>
          <w:p w14:paraId="30D275B6" w14:textId="77777777" w:rsidR="003A3BCA" w:rsidRDefault="008276B6">
            <w:pPr>
              <w:jc w:val="right"/>
              <w:rPr>
                <w:rFonts w:ascii="Calibri" w:eastAsia="Calibri" w:hAnsi="Calibri" w:cs="Calibri"/>
                <w:color w:val="000000"/>
              </w:rPr>
            </w:pPr>
            <w:r>
              <w:rPr>
                <w:rFonts w:ascii="Calibri" w:eastAsia="Calibri" w:hAnsi="Calibri" w:cs="Calibri"/>
                <w:color w:val="000000"/>
              </w:rPr>
              <w:t>54</w:t>
            </w:r>
          </w:p>
        </w:tc>
        <w:tc>
          <w:tcPr>
            <w:tcW w:w="1211" w:type="dxa"/>
            <w:tcBorders>
              <w:top w:val="nil"/>
              <w:left w:val="nil"/>
              <w:bottom w:val="single" w:sz="4" w:space="0" w:color="000000"/>
              <w:right w:val="single" w:sz="4" w:space="0" w:color="000000"/>
            </w:tcBorders>
            <w:shd w:val="clear" w:color="auto" w:fill="auto"/>
            <w:vAlign w:val="bottom"/>
          </w:tcPr>
          <w:p w14:paraId="14FA8516" w14:textId="77777777" w:rsidR="003A3BCA" w:rsidRDefault="008276B6">
            <w:pPr>
              <w:jc w:val="right"/>
              <w:rPr>
                <w:rFonts w:ascii="Calibri" w:eastAsia="Calibri" w:hAnsi="Calibri" w:cs="Calibri"/>
                <w:color w:val="000000"/>
              </w:rPr>
            </w:pPr>
            <w:r>
              <w:rPr>
                <w:rFonts w:ascii="Calibri" w:eastAsia="Calibri" w:hAnsi="Calibri" w:cs="Calibri"/>
                <w:color w:val="000000"/>
              </w:rPr>
              <w:t>3,1</w:t>
            </w:r>
          </w:p>
        </w:tc>
      </w:tr>
      <w:tr w:rsidR="003A3BCA" w14:paraId="4FF24374" w14:textId="77777777">
        <w:trPr>
          <w:trHeight w:val="320"/>
        </w:trPr>
        <w:tc>
          <w:tcPr>
            <w:tcW w:w="1937" w:type="dxa"/>
            <w:tcBorders>
              <w:top w:val="nil"/>
              <w:left w:val="single" w:sz="4" w:space="0" w:color="000000"/>
              <w:bottom w:val="single" w:sz="4" w:space="0" w:color="000000"/>
              <w:right w:val="single" w:sz="4" w:space="0" w:color="000000"/>
            </w:tcBorders>
            <w:shd w:val="clear" w:color="auto" w:fill="auto"/>
            <w:vAlign w:val="bottom"/>
          </w:tcPr>
          <w:p w14:paraId="78EAEEE8" w14:textId="77777777" w:rsidR="003A3BCA" w:rsidRDefault="008276B6">
            <w:pPr>
              <w:rPr>
                <w:rFonts w:ascii="Calibri" w:eastAsia="Calibri" w:hAnsi="Calibri" w:cs="Calibri"/>
                <w:color w:val="000000"/>
              </w:rPr>
            </w:pPr>
            <w:r>
              <w:rPr>
                <w:rFonts w:ascii="Calibri" w:eastAsia="Calibri" w:hAnsi="Calibri" w:cs="Calibri"/>
                <w:color w:val="000000"/>
              </w:rPr>
              <w:t> </w:t>
            </w:r>
          </w:p>
        </w:tc>
        <w:tc>
          <w:tcPr>
            <w:tcW w:w="1325" w:type="dxa"/>
            <w:tcBorders>
              <w:top w:val="nil"/>
              <w:left w:val="nil"/>
              <w:bottom w:val="single" w:sz="4" w:space="0" w:color="000000"/>
              <w:right w:val="single" w:sz="4" w:space="0" w:color="000000"/>
            </w:tcBorders>
            <w:shd w:val="clear" w:color="auto" w:fill="auto"/>
            <w:vAlign w:val="bottom"/>
          </w:tcPr>
          <w:p w14:paraId="67DC3CF4" w14:textId="77777777" w:rsidR="003A3BCA" w:rsidRDefault="008276B6">
            <w:pPr>
              <w:rPr>
                <w:rFonts w:ascii="Calibri" w:eastAsia="Calibri" w:hAnsi="Calibri" w:cs="Calibri"/>
                <w:color w:val="000000"/>
              </w:rPr>
            </w:pPr>
            <w:r>
              <w:rPr>
                <w:rFonts w:ascii="Calibri" w:eastAsia="Calibri" w:hAnsi="Calibri" w:cs="Calibri"/>
                <w:color w:val="000000"/>
              </w:rPr>
              <w:t> </w:t>
            </w:r>
          </w:p>
        </w:tc>
        <w:tc>
          <w:tcPr>
            <w:tcW w:w="1583" w:type="dxa"/>
            <w:tcBorders>
              <w:top w:val="nil"/>
              <w:left w:val="nil"/>
              <w:bottom w:val="single" w:sz="4" w:space="0" w:color="000000"/>
              <w:right w:val="single" w:sz="4" w:space="0" w:color="000000"/>
            </w:tcBorders>
            <w:shd w:val="clear" w:color="auto" w:fill="auto"/>
            <w:vAlign w:val="bottom"/>
          </w:tcPr>
          <w:p w14:paraId="071B5474" w14:textId="77777777" w:rsidR="003A3BCA" w:rsidRDefault="008276B6">
            <w:pPr>
              <w:rPr>
                <w:rFonts w:ascii="Calibri" w:eastAsia="Calibri" w:hAnsi="Calibri" w:cs="Calibri"/>
                <w:color w:val="000000"/>
              </w:rPr>
            </w:pPr>
            <w:r>
              <w:rPr>
                <w:rFonts w:ascii="Calibri" w:eastAsia="Calibri" w:hAnsi="Calibri" w:cs="Calibri"/>
                <w:color w:val="000000"/>
              </w:rPr>
              <w:t> </w:t>
            </w:r>
          </w:p>
        </w:tc>
        <w:tc>
          <w:tcPr>
            <w:tcW w:w="1211" w:type="dxa"/>
            <w:tcBorders>
              <w:top w:val="nil"/>
              <w:left w:val="nil"/>
              <w:bottom w:val="single" w:sz="4" w:space="0" w:color="000000"/>
              <w:right w:val="single" w:sz="4" w:space="0" w:color="000000"/>
            </w:tcBorders>
            <w:shd w:val="clear" w:color="auto" w:fill="auto"/>
            <w:vAlign w:val="bottom"/>
          </w:tcPr>
          <w:p w14:paraId="3E83AAA0" w14:textId="77777777" w:rsidR="003A3BCA" w:rsidRDefault="008276B6">
            <w:pPr>
              <w:rPr>
                <w:rFonts w:ascii="Calibri" w:eastAsia="Calibri" w:hAnsi="Calibri" w:cs="Calibri"/>
                <w:color w:val="000000"/>
              </w:rPr>
            </w:pPr>
            <w:r>
              <w:rPr>
                <w:rFonts w:ascii="Calibri" w:eastAsia="Calibri" w:hAnsi="Calibri" w:cs="Calibri"/>
                <w:color w:val="000000"/>
              </w:rPr>
              <w:t> </w:t>
            </w:r>
          </w:p>
        </w:tc>
        <w:tc>
          <w:tcPr>
            <w:tcW w:w="1211" w:type="dxa"/>
            <w:tcBorders>
              <w:top w:val="nil"/>
              <w:left w:val="nil"/>
              <w:bottom w:val="single" w:sz="4" w:space="0" w:color="000000"/>
              <w:right w:val="single" w:sz="4" w:space="0" w:color="000000"/>
            </w:tcBorders>
            <w:shd w:val="clear" w:color="auto" w:fill="auto"/>
            <w:vAlign w:val="bottom"/>
          </w:tcPr>
          <w:p w14:paraId="5C3596B6" w14:textId="77777777" w:rsidR="003A3BCA" w:rsidRDefault="008276B6">
            <w:pPr>
              <w:rPr>
                <w:rFonts w:ascii="Calibri" w:eastAsia="Calibri" w:hAnsi="Calibri" w:cs="Calibri"/>
                <w:color w:val="000000"/>
              </w:rPr>
            </w:pPr>
            <w:r>
              <w:rPr>
                <w:rFonts w:ascii="Calibri" w:eastAsia="Calibri" w:hAnsi="Calibri" w:cs="Calibri"/>
                <w:color w:val="000000"/>
              </w:rPr>
              <w:t> </w:t>
            </w:r>
          </w:p>
        </w:tc>
        <w:tc>
          <w:tcPr>
            <w:tcW w:w="1211" w:type="dxa"/>
            <w:tcBorders>
              <w:top w:val="nil"/>
              <w:left w:val="nil"/>
              <w:bottom w:val="single" w:sz="4" w:space="0" w:color="000000"/>
              <w:right w:val="single" w:sz="4" w:space="0" w:color="000000"/>
            </w:tcBorders>
            <w:shd w:val="clear" w:color="auto" w:fill="auto"/>
            <w:vAlign w:val="bottom"/>
          </w:tcPr>
          <w:p w14:paraId="0EE3B51D" w14:textId="77777777" w:rsidR="003A3BCA" w:rsidRDefault="008276B6">
            <w:pPr>
              <w:rPr>
                <w:rFonts w:ascii="Calibri" w:eastAsia="Calibri" w:hAnsi="Calibri" w:cs="Calibri"/>
                <w:color w:val="000000"/>
              </w:rPr>
            </w:pPr>
            <w:r>
              <w:rPr>
                <w:rFonts w:ascii="Calibri" w:eastAsia="Calibri" w:hAnsi="Calibri" w:cs="Calibri"/>
                <w:color w:val="000000"/>
              </w:rPr>
              <w:t> </w:t>
            </w:r>
          </w:p>
        </w:tc>
        <w:tc>
          <w:tcPr>
            <w:tcW w:w="1211" w:type="dxa"/>
            <w:tcBorders>
              <w:top w:val="nil"/>
              <w:left w:val="nil"/>
              <w:bottom w:val="single" w:sz="4" w:space="0" w:color="000000"/>
              <w:right w:val="single" w:sz="4" w:space="0" w:color="000000"/>
            </w:tcBorders>
            <w:shd w:val="clear" w:color="auto" w:fill="auto"/>
            <w:vAlign w:val="bottom"/>
          </w:tcPr>
          <w:p w14:paraId="50A7C9B7" w14:textId="77777777" w:rsidR="003A3BCA" w:rsidRDefault="008276B6">
            <w:pPr>
              <w:rPr>
                <w:rFonts w:ascii="Calibri" w:eastAsia="Calibri" w:hAnsi="Calibri" w:cs="Calibri"/>
                <w:color w:val="000000"/>
              </w:rPr>
            </w:pPr>
            <w:r>
              <w:rPr>
                <w:rFonts w:ascii="Calibri" w:eastAsia="Calibri" w:hAnsi="Calibri" w:cs="Calibri"/>
                <w:color w:val="000000"/>
              </w:rPr>
              <w:t> </w:t>
            </w:r>
          </w:p>
        </w:tc>
      </w:tr>
      <w:tr w:rsidR="003A3BCA" w14:paraId="32A77C1D" w14:textId="77777777">
        <w:trPr>
          <w:trHeight w:val="320"/>
        </w:trPr>
        <w:tc>
          <w:tcPr>
            <w:tcW w:w="1937" w:type="dxa"/>
            <w:tcBorders>
              <w:top w:val="nil"/>
              <w:left w:val="single" w:sz="4" w:space="0" w:color="000000"/>
              <w:bottom w:val="single" w:sz="4" w:space="0" w:color="000000"/>
              <w:right w:val="single" w:sz="4" w:space="0" w:color="000000"/>
            </w:tcBorders>
            <w:shd w:val="clear" w:color="auto" w:fill="auto"/>
            <w:vAlign w:val="bottom"/>
          </w:tcPr>
          <w:p w14:paraId="1C12880B" w14:textId="77777777" w:rsidR="003A3BCA" w:rsidRDefault="008276B6">
            <w:pPr>
              <w:rPr>
                <w:rFonts w:ascii="Calibri" w:eastAsia="Calibri" w:hAnsi="Calibri" w:cs="Calibri"/>
                <w:color w:val="000000"/>
              </w:rPr>
            </w:pPr>
            <w:r>
              <w:rPr>
                <w:rFonts w:ascii="Calibri" w:eastAsia="Calibri" w:hAnsi="Calibri" w:cs="Calibri"/>
                <w:color w:val="000000"/>
              </w:rPr>
              <w:t>Nemanja Matic</w:t>
            </w:r>
          </w:p>
        </w:tc>
        <w:tc>
          <w:tcPr>
            <w:tcW w:w="1325" w:type="dxa"/>
            <w:tcBorders>
              <w:top w:val="nil"/>
              <w:left w:val="nil"/>
              <w:bottom w:val="single" w:sz="4" w:space="0" w:color="000000"/>
              <w:right w:val="single" w:sz="4" w:space="0" w:color="000000"/>
            </w:tcBorders>
            <w:shd w:val="clear" w:color="auto" w:fill="auto"/>
            <w:vAlign w:val="bottom"/>
          </w:tcPr>
          <w:p w14:paraId="0DF9CBBE" w14:textId="77777777" w:rsidR="003A3BCA" w:rsidRDefault="008276B6">
            <w:pPr>
              <w:rPr>
                <w:rFonts w:ascii="Calibri" w:eastAsia="Calibri" w:hAnsi="Calibri" w:cs="Calibri"/>
                <w:color w:val="000000"/>
              </w:rPr>
            </w:pPr>
            <w:r>
              <w:rPr>
                <w:rFonts w:ascii="Calibri" w:eastAsia="Calibri" w:hAnsi="Calibri" w:cs="Calibri"/>
                <w:color w:val="000000"/>
              </w:rPr>
              <w:t>2017/2018</w:t>
            </w:r>
          </w:p>
        </w:tc>
        <w:tc>
          <w:tcPr>
            <w:tcW w:w="1583" w:type="dxa"/>
            <w:tcBorders>
              <w:top w:val="nil"/>
              <w:left w:val="nil"/>
              <w:bottom w:val="single" w:sz="4" w:space="0" w:color="000000"/>
              <w:right w:val="single" w:sz="4" w:space="0" w:color="000000"/>
            </w:tcBorders>
            <w:shd w:val="clear" w:color="auto" w:fill="auto"/>
            <w:vAlign w:val="bottom"/>
          </w:tcPr>
          <w:p w14:paraId="4309DEE9" w14:textId="77777777" w:rsidR="003A3BCA" w:rsidRDefault="008276B6">
            <w:pPr>
              <w:rPr>
                <w:rFonts w:ascii="Calibri" w:eastAsia="Calibri" w:hAnsi="Calibri" w:cs="Calibri"/>
                <w:color w:val="000000"/>
              </w:rPr>
            </w:pPr>
            <w:r>
              <w:rPr>
                <w:rFonts w:ascii="Calibri" w:eastAsia="Calibri" w:hAnsi="Calibri" w:cs="Calibri"/>
                <w:color w:val="000000"/>
              </w:rPr>
              <w:t>Midfielder</w:t>
            </w:r>
          </w:p>
        </w:tc>
        <w:tc>
          <w:tcPr>
            <w:tcW w:w="1211" w:type="dxa"/>
            <w:tcBorders>
              <w:top w:val="nil"/>
              <w:left w:val="nil"/>
              <w:bottom w:val="single" w:sz="4" w:space="0" w:color="000000"/>
              <w:right w:val="single" w:sz="4" w:space="0" w:color="000000"/>
            </w:tcBorders>
            <w:shd w:val="clear" w:color="auto" w:fill="auto"/>
            <w:vAlign w:val="bottom"/>
          </w:tcPr>
          <w:p w14:paraId="6CB974E5" w14:textId="77777777" w:rsidR="003A3BCA" w:rsidRDefault="008276B6">
            <w:pPr>
              <w:jc w:val="right"/>
              <w:rPr>
                <w:rFonts w:ascii="Calibri" w:eastAsia="Calibri" w:hAnsi="Calibri" w:cs="Calibri"/>
                <w:color w:val="000000"/>
              </w:rPr>
            </w:pPr>
            <w:r>
              <w:rPr>
                <w:rFonts w:ascii="Calibri" w:eastAsia="Calibri" w:hAnsi="Calibri" w:cs="Calibri"/>
                <w:color w:val="000000"/>
              </w:rPr>
              <w:t>72</w:t>
            </w:r>
          </w:p>
        </w:tc>
        <w:tc>
          <w:tcPr>
            <w:tcW w:w="1211" w:type="dxa"/>
            <w:tcBorders>
              <w:top w:val="nil"/>
              <w:left w:val="nil"/>
              <w:bottom w:val="single" w:sz="4" w:space="0" w:color="000000"/>
              <w:right w:val="single" w:sz="4" w:space="0" w:color="000000"/>
            </w:tcBorders>
            <w:shd w:val="clear" w:color="auto" w:fill="auto"/>
            <w:vAlign w:val="bottom"/>
          </w:tcPr>
          <w:p w14:paraId="21C676BF" w14:textId="77777777" w:rsidR="003A3BCA" w:rsidRDefault="008276B6">
            <w:pPr>
              <w:jc w:val="right"/>
              <w:rPr>
                <w:rFonts w:ascii="Calibri" w:eastAsia="Calibri" w:hAnsi="Calibri" w:cs="Calibri"/>
                <w:color w:val="000000"/>
              </w:rPr>
            </w:pPr>
            <w:r>
              <w:rPr>
                <w:rFonts w:ascii="Calibri" w:eastAsia="Calibri" w:hAnsi="Calibri" w:cs="Calibri"/>
                <w:color w:val="000000"/>
              </w:rPr>
              <w:t>63</w:t>
            </w:r>
          </w:p>
        </w:tc>
        <w:tc>
          <w:tcPr>
            <w:tcW w:w="1211" w:type="dxa"/>
            <w:tcBorders>
              <w:top w:val="nil"/>
              <w:left w:val="nil"/>
              <w:bottom w:val="single" w:sz="4" w:space="0" w:color="000000"/>
              <w:right w:val="single" w:sz="4" w:space="0" w:color="000000"/>
            </w:tcBorders>
            <w:shd w:val="clear" w:color="auto" w:fill="auto"/>
            <w:vAlign w:val="bottom"/>
          </w:tcPr>
          <w:p w14:paraId="55C6331C" w14:textId="77777777" w:rsidR="003A3BCA" w:rsidRDefault="008276B6">
            <w:pPr>
              <w:jc w:val="right"/>
              <w:rPr>
                <w:rFonts w:ascii="Calibri" w:eastAsia="Calibri" w:hAnsi="Calibri" w:cs="Calibri"/>
                <w:color w:val="000000"/>
              </w:rPr>
            </w:pPr>
            <w:r>
              <w:rPr>
                <w:rFonts w:ascii="Calibri" w:eastAsia="Calibri" w:hAnsi="Calibri" w:cs="Calibri"/>
                <w:color w:val="000000"/>
              </w:rPr>
              <w:t>22</w:t>
            </w:r>
          </w:p>
        </w:tc>
        <w:tc>
          <w:tcPr>
            <w:tcW w:w="1211" w:type="dxa"/>
            <w:tcBorders>
              <w:top w:val="nil"/>
              <w:left w:val="nil"/>
              <w:bottom w:val="single" w:sz="4" w:space="0" w:color="000000"/>
              <w:right w:val="single" w:sz="4" w:space="0" w:color="000000"/>
            </w:tcBorders>
            <w:shd w:val="clear" w:color="auto" w:fill="auto"/>
            <w:vAlign w:val="bottom"/>
          </w:tcPr>
          <w:p w14:paraId="2FA39C14" w14:textId="77777777" w:rsidR="003A3BCA" w:rsidRDefault="008276B6">
            <w:pPr>
              <w:jc w:val="right"/>
              <w:rPr>
                <w:rFonts w:ascii="Calibri" w:eastAsia="Calibri" w:hAnsi="Calibri" w:cs="Calibri"/>
                <w:color w:val="000000"/>
              </w:rPr>
            </w:pPr>
            <w:r>
              <w:rPr>
                <w:rFonts w:ascii="Calibri" w:eastAsia="Calibri" w:hAnsi="Calibri" w:cs="Calibri"/>
                <w:color w:val="000000"/>
              </w:rPr>
              <w:t>3</w:t>
            </w:r>
          </w:p>
        </w:tc>
      </w:tr>
      <w:tr w:rsidR="003A3BCA" w14:paraId="1E185E73" w14:textId="77777777">
        <w:trPr>
          <w:trHeight w:val="320"/>
        </w:trPr>
        <w:tc>
          <w:tcPr>
            <w:tcW w:w="1937" w:type="dxa"/>
            <w:tcBorders>
              <w:top w:val="nil"/>
              <w:left w:val="single" w:sz="4" w:space="0" w:color="000000"/>
              <w:bottom w:val="single" w:sz="4" w:space="0" w:color="000000"/>
              <w:right w:val="single" w:sz="4" w:space="0" w:color="000000"/>
            </w:tcBorders>
            <w:shd w:val="clear" w:color="auto" w:fill="auto"/>
            <w:vAlign w:val="bottom"/>
          </w:tcPr>
          <w:p w14:paraId="5E513DFF" w14:textId="77777777" w:rsidR="003A3BCA" w:rsidRDefault="008276B6">
            <w:pPr>
              <w:rPr>
                <w:rFonts w:ascii="Calibri" w:eastAsia="Calibri" w:hAnsi="Calibri" w:cs="Calibri"/>
                <w:color w:val="000000"/>
              </w:rPr>
            </w:pPr>
            <w:r>
              <w:rPr>
                <w:rFonts w:ascii="Calibri" w:eastAsia="Calibri" w:hAnsi="Calibri" w:cs="Calibri"/>
                <w:color w:val="000000"/>
              </w:rPr>
              <w:t> </w:t>
            </w:r>
          </w:p>
        </w:tc>
        <w:tc>
          <w:tcPr>
            <w:tcW w:w="1325" w:type="dxa"/>
            <w:tcBorders>
              <w:top w:val="nil"/>
              <w:left w:val="nil"/>
              <w:bottom w:val="single" w:sz="4" w:space="0" w:color="000000"/>
              <w:right w:val="single" w:sz="4" w:space="0" w:color="000000"/>
            </w:tcBorders>
            <w:shd w:val="clear" w:color="auto" w:fill="auto"/>
            <w:vAlign w:val="bottom"/>
          </w:tcPr>
          <w:p w14:paraId="6DC45B31" w14:textId="77777777" w:rsidR="003A3BCA" w:rsidRDefault="008276B6">
            <w:pPr>
              <w:rPr>
                <w:rFonts w:ascii="Calibri" w:eastAsia="Calibri" w:hAnsi="Calibri" w:cs="Calibri"/>
                <w:color w:val="000000"/>
              </w:rPr>
            </w:pPr>
            <w:r>
              <w:rPr>
                <w:rFonts w:ascii="Calibri" w:eastAsia="Calibri" w:hAnsi="Calibri" w:cs="Calibri"/>
                <w:color w:val="000000"/>
              </w:rPr>
              <w:t>2018/2019</w:t>
            </w:r>
          </w:p>
        </w:tc>
        <w:tc>
          <w:tcPr>
            <w:tcW w:w="1583" w:type="dxa"/>
            <w:tcBorders>
              <w:top w:val="nil"/>
              <w:left w:val="nil"/>
              <w:bottom w:val="single" w:sz="4" w:space="0" w:color="000000"/>
              <w:right w:val="single" w:sz="4" w:space="0" w:color="000000"/>
            </w:tcBorders>
            <w:shd w:val="clear" w:color="auto" w:fill="auto"/>
            <w:vAlign w:val="bottom"/>
          </w:tcPr>
          <w:p w14:paraId="20EB54CC" w14:textId="77777777" w:rsidR="003A3BCA" w:rsidRDefault="008276B6">
            <w:pPr>
              <w:rPr>
                <w:rFonts w:ascii="Calibri" w:eastAsia="Calibri" w:hAnsi="Calibri" w:cs="Calibri"/>
                <w:color w:val="000000"/>
              </w:rPr>
            </w:pPr>
            <w:r>
              <w:rPr>
                <w:rFonts w:ascii="Calibri" w:eastAsia="Calibri" w:hAnsi="Calibri" w:cs="Calibri"/>
                <w:color w:val="000000"/>
              </w:rPr>
              <w:t> </w:t>
            </w:r>
          </w:p>
        </w:tc>
        <w:tc>
          <w:tcPr>
            <w:tcW w:w="1211" w:type="dxa"/>
            <w:tcBorders>
              <w:top w:val="nil"/>
              <w:left w:val="nil"/>
              <w:bottom w:val="single" w:sz="4" w:space="0" w:color="000000"/>
              <w:right w:val="single" w:sz="4" w:space="0" w:color="000000"/>
            </w:tcBorders>
            <w:shd w:val="clear" w:color="auto" w:fill="auto"/>
            <w:vAlign w:val="bottom"/>
          </w:tcPr>
          <w:p w14:paraId="7F20E275" w14:textId="77777777" w:rsidR="003A3BCA" w:rsidRDefault="008276B6">
            <w:pPr>
              <w:jc w:val="right"/>
              <w:rPr>
                <w:rFonts w:ascii="Calibri" w:eastAsia="Calibri" w:hAnsi="Calibri" w:cs="Calibri"/>
                <w:color w:val="000000"/>
              </w:rPr>
            </w:pPr>
            <w:r>
              <w:rPr>
                <w:rFonts w:ascii="Calibri" w:eastAsia="Calibri" w:hAnsi="Calibri" w:cs="Calibri"/>
                <w:color w:val="000000"/>
              </w:rPr>
              <w:t>61</w:t>
            </w:r>
          </w:p>
        </w:tc>
        <w:tc>
          <w:tcPr>
            <w:tcW w:w="1211" w:type="dxa"/>
            <w:tcBorders>
              <w:top w:val="nil"/>
              <w:left w:val="nil"/>
              <w:bottom w:val="single" w:sz="4" w:space="0" w:color="000000"/>
              <w:right w:val="single" w:sz="4" w:space="0" w:color="000000"/>
            </w:tcBorders>
            <w:shd w:val="clear" w:color="auto" w:fill="auto"/>
            <w:vAlign w:val="bottom"/>
          </w:tcPr>
          <w:p w14:paraId="2B9CA63B" w14:textId="77777777" w:rsidR="003A3BCA" w:rsidRDefault="008276B6">
            <w:pPr>
              <w:jc w:val="right"/>
              <w:rPr>
                <w:rFonts w:ascii="Calibri" w:eastAsia="Calibri" w:hAnsi="Calibri" w:cs="Calibri"/>
                <w:color w:val="000000"/>
              </w:rPr>
            </w:pPr>
            <w:r>
              <w:rPr>
                <w:rFonts w:ascii="Calibri" w:eastAsia="Calibri" w:hAnsi="Calibri" w:cs="Calibri"/>
                <w:color w:val="000000"/>
              </w:rPr>
              <w:t>54</w:t>
            </w:r>
          </w:p>
        </w:tc>
        <w:tc>
          <w:tcPr>
            <w:tcW w:w="1211" w:type="dxa"/>
            <w:tcBorders>
              <w:top w:val="nil"/>
              <w:left w:val="nil"/>
              <w:bottom w:val="single" w:sz="4" w:space="0" w:color="000000"/>
              <w:right w:val="single" w:sz="4" w:space="0" w:color="000000"/>
            </w:tcBorders>
            <w:shd w:val="clear" w:color="auto" w:fill="auto"/>
            <w:vAlign w:val="bottom"/>
          </w:tcPr>
          <w:p w14:paraId="33A1E580" w14:textId="77777777" w:rsidR="003A3BCA" w:rsidRDefault="008276B6">
            <w:pPr>
              <w:jc w:val="right"/>
              <w:rPr>
                <w:rFonts w:ascii="Calibri" w:eastAsia="Calibri" w:hAnsi="Calibri" w:cs="Calibri"/>
                <w:color w:val="000000"/>
              </w:rPr>
            </w:pPr>
            <w:r>
              <w:rPr>
                <w:rFonts w:ascii="Calibri" w:eastAsia="Calibri" w:hAnsi="Calibri" w:cs="Calibri"/>
                <w:color w:val="000000"/>
              </w:rPr>
              <w:t>20</w:t>
            </w:r>
          </w:p>
        </w:tc>
        <w:tc>
          <w:tcPr>
            <w:tcW w:w="1211" w:type="dxa"/>
            <w:tcBorders>
              <w:top w:val="nil"/>
              <w:left w:val="nil"/>
              <w:bottom w:val="single" w:sz="4" w:space="0" w:color="000000"/>
              <w:right w:val="single" w:sz="4" w:space="0" w:color="000000"/>
            </w:tcBorders>
            <w:shd w:val="clear" w:color="auto" w:fill="auto"/>
            <w:vAlign w:val="bottom"/>
          </w:tcPr>
          <w:p w14:paraId="64EE1E96" w14:textId="77777777" w:rsidR="003A3BCA" w:rsidRDefault="008276B6">
            <w:pPr>
              <w:jc w:val="right"/>
              <w:rPr>
                <w:rFonts w:ascii="Calibri" w:eastAsia="Calibri" w:hAnsi="Calibri" w:cs="Calibri"/>
                <w:color w:val="000000"/>
              </w:rPr>
            </w:pPr>
            <w:r>
              <w:rPr>
                <w:rFonts w:ascii="Calibri" w:eastAsia="Calibri" w:hAnsi="Calibri" w:cs="Calibri"/>
                <w:color w:val="000000"/>
              </w:rPr>
              <w:t>2,6</w:t>
            </w:r>
          </w:p>
        </w:tc>
      </w:tr>
      <w:tr w:rsidR="003A3BCA" w14:paraId="3DF4D66F" w14:textId="77777777">
        <w:trPr>
          <w:trHeight w:val="320"/>
        </w:trPr>
        <w:tc>
          <w:tcPr>
            <w:tcW w:w="1937" w:type="dxa"/>
            <w:tcBorders>
              <w:top w:val="nil"/>
              <w:left w:val="single" w:sz="4" w:space="0" w:color="000000"/>
              <w:bottom w:val="single" w:sz="4" w:space="0" w:color="000000"/>
              <w:right w:val="single" w:sz="4" w:space="0" w:color="000000"/>
            </w:tcBorders>
            <w:shd w:val="clear" w:color="auto" w:fill="auto"/>
            <w:vAlign w:val="bottom"/>
          </w:tcPr>
          <w:p w14:paraId="27EC2238" w14:textId="77777777" w:rsidR="003A3BCA" w:rsidRDefault="008276B6">
            <w:pPr>
              <w:rPr>
                <w:rFonts w:ascii="Calibri" w:eastAsia="Calibri" w:hAnsi="Calibri" w:cs="Calibri"/>
                <w:color w:val="000000"/>
              </w:rPr>
            </w:pPr>
            <w:r>
              <w:rPr>
                <w:rFonts w:ascii="Calibri" w:eastAsia="Calibri" w:hAnsi="Calibri" w:cs="Calibri"/>
                <w:color w:val="000000"/>
              </w:rPr>
              <w:t> </w:t>
            </w:r>
          </w:p>
        </w:tc>
        <w:tc>
          <w:tcPr>
            <w:tcW w:w="1325" w:type="dxa"/>
            <w:tcBorders>
              <w:top w:val="nil"/>
              <w:left w:val="nil"/>
              <w:bottom w:val="single" w:sz="4" w:space="0" w:color="000000"/>
              <w:right w:val="single" w:sz="4" w:space="0" w:color="000000"/>
            </w:tcBorders>
            <w:shd w:val="clear" w:color="auto" w:fill="auto"/>
            <w:vAlign w:val="bottom"/>
          </w:tcPr>
          <w:p w14:paraId="28E979EA" w14:textId="77777777" w:rsidR="003A3BCA" w:rsidRDefault="008276B6">
            <w:pPr>
              <w:rPr>
                <w:rFonts w:ascii="Calibri" w:eastAsia="Calibri" w:hAnsi="Calibri" w:cs="Calibri"/>
                <w:color w:val="000000"/>
              </w:rPr>
            </w:pPr>
            <w:r>
              <w:rPr>
                <w:rFonts w:ascii="Calibri" w:eastAsia="Calibri" w:hAnsi="Calibri" w:cs="Calibri"/>
                <w:color w:val="000000"/>
              </w:rPr>
              <w:t>2019/2020</w:t>
            </w:r>
          </w:p>
        </w:tc>
        <w:tc>
          <w:tcPr>
            <w:tcW w:w="1583" w:type="dxa"/>
            <w:tcBorders>
              <w:top w:val="nil"/>
              <w:left w:val="nil"/>
              <w:bottom w:val="single" w:sz="4" w:space="0" w:color="000000"/>
              <w:right w:val="single" w:sz="4" w:space="0" w:color="000000"/>
            </w:tcBorders>
            <w:shd w:val="clear" w:color="auto" w:fill="auto"/>
            <w:vAlign w:val="bottom"/>
          </w:tcPr>
          <w:p w14:paraId="1FF6C8FF" w14:textId="77777777" w:rsidR="003A3BCA" w:rsidRDefault="008276B6">
            <w:pPr>
              <w:rPr>
                <w:rFonts w:ascii="Calibri" w:eastAsia="Calibri" w:hAnsi="Calibri" w:cs="Calibri"/>
                <w:color w:val="000000"/>
              </w:rPr>
            </w:pPr>
            <w:r>
              <w:rPr>
                <w:rFonts w:ascii="Calibri" w:eastAsia="Calibri" w:hAnsi="Calibri" w:cs="Calibri"/>
                <w:color w:val="000000"/>
              </w:rPr>
              <w:t> </w:t>
            </w:r>
          </w:p>
        </w:tc>
        <w:tc>
          <w:tcPr>
            <w:tcW w:w="1211" w:type="dxa"/>
            <w:tcBorders>
              <w:top w:val="nil"/>
              <w:left w:val="nil"/>
              <w:bottom w:val="single" w:sz="4" w:space="0" w:color="000000"/>
              <w:right w:val="single" w:sz="4" w:space="0" w:color="000000"/>
            </w:tcBorders>
            <w:shd w:val="clear" w:color="auto" w:fill="auto"/>
            <w:vAlign w:val="bottom"/>
          </w:tcPr>
          <w:p w14:paraId="5989A0F2" w14:textId="77777777" w:rsidR="003A3BCA" w:rsidRDefault="008276B6">
            <w:pPr>
              <w:jc w:val="right"/>
              <w:rPr>
                <w:rFonts w:ascii="Calibri" w:eastAsia="Calibri" w:hAnsi="Calibri" w:cs="Calibri"/>
                <w:color w:val="000000"/>
              </w:rPr>
            </w:pPr>
            <w:r>
              <w:rPr>
                <w:rFonts w:ascii="Calibri" w:eastAsia="Calibri" w:hAnsi="Calibri" w:cs="Calibri"/>
                <w:color w:val="000000"/>
              </w:rPr>
              <w:t>71</w:t>
            </w:r>
          </w:p>
        </w:tc>
        <w:tc>
          <w:tcPr>
            <w:tcW w:w="1211" w:type="dxa"/>
            <w:tcBorders>
              <w:top w:val="nil"/>
              <w:left w:val="nil"/>
              <w:bottom w:val="single" w:sz="4" w:space="0" w:color="000000"/>
              <w:right w:val="single" w:sz="4" w:space="0" w:color="000000"/>
            </w:tcBorders>
            <w:shd w:val="clear" w:color="auto" w:fill="auto"/>
            <w:vAlign w:val="bottom"/>
          </w:tcPr>
          <w:p w14:paraId="0FF05A9B" w14:textId="77777777" w:rsidR="003A3BCA" w:rsidRDefault="008276B6">
            <w:pPr>
              <w:jc w:val="right"/>
              <w:rPr>
                <w:rFonts w:ascii="Calibri" w:eastAsia="Calibri" w:hAnsi="Calibri" w:cs="Calibri"/>
                <w:color w:val="000000"/>
              </w:rPr>
            </w:pPr>
            <w:r>
              <w:rPr>
                <w:rFonts w:ascii="Calibri" w:eastAsia="Calibri" w:hAnsi="Calibri" w:cs="Calibri"/>
                <w:color w:val="000000"/>
              </w:rPr>
              <w:t>56</w:t>
            </w:r>
          </w:p>
        </w:tc>
        <w:tc>
          <w:tcPr>
            <w:tcW w:w="1211" w:type="dxa"/>
            <w:tcBorders>
              <w:top w:val="nil"/>
              <w:left w:val="nil"/>
              <w:bottom w:val="single" w:sz="4" w:space="0" w:color="000000"/>
              <w:right w:val="single" w:sz="4" w:space="0" w:color="000000"/>
            </w:tcBorders>
            <w:shd w:val="clear" w:color="auto" w:fill="auto"/>
            <w:vAlign w:val="bottom"/>
          </w:tcPr>
          <w:p w14:paraId="12D094FF" w14:textId="77777777" w:rsidR="003A3BCA" w:rsidRDefault="008276B6">
            <w:pPr>
              <w:jc w:val="right"/>
              <w:rPr>
                <w:rFonts w:ascii="Calibri" w:eastAsia="Calibri" w:hAnsi="Calibri" w:cs="Calibri"/>
                <w:color w:val="000000"/>
              </w:rPr>
            </w:pPr>
            <w:r>
              <w:rPr>
                <w:rFonts w:ascii="Calibri" w:eastAsia="Calibri" w:hAnsi="Calibri" w:cs="Calibri"/>
                <w:color w:val="000000"/>
              </w:rPr>
              <w:t>24</w:t>
            </w:r>
          </w:p>
        </w:tc>
        <w:tc>
          <w:tcPr>
            <w:tcW w:w="1211" w:type="dxa"/>
            <w:tcBorders>
              <w:top w:val="nil"/>
              <w:left w:val="nil"/>
              <w:bottom w:val="single" w:sz="4" w:space="0" w:color="000000"/>
              <w:right w:val="single" w:sz="4" w:space="0" w:color="000000"/>
            </w:tcBorders>
            <w:shd w:val="clear" w:color="auto" w:fill="auto"/>
            <w:vAlign w:val="bottom"/>
          </w:tcPr>
          <w:p w14:paraId="66F0C650" w14:textId="77777777" w:rsidR="003A3BCA" w:rsidRDefault="008276B6">
            <w:pPr>
              <w:jc w:val="right"/>
              <w:rPr>
                <w:rFonts w:ascii="Calibri" w:eastAsia="Calibri" w:hAnsi="Calibri" w:cs="Calibri"/>
                <w:color w:val="000000"/>
              </w:rPr>
            </w:pPr>
            <w:r>
              <w:rPr>
                <w:rFonts w:ascii="Calibri" w:eastAsia="Calibri" w:hAnsi="Calibri" w:cs="Calibri"/>
                <w:color w:val="000000"/>
              </w:rPr>
              <w:t>2,8</w:t>
            </w:r>
          </w:p>
        </w:tc>
      </w:tr>
      <w:tr w:rsidR="003A3BCA" w14:paraId="54033B31" w14:textId="77777777">
        <w:trPr>
          <w:trHeight w:val="320"/>
        </w:trPr>
        <w:tc>
          <w:tcPr>
            <w:tcW w:w="1937" w:type="dxa"/>
            <w:tcBorders>
              <w:top w:val="nil"/>
              <w:left w:val="single" w:sz="4" w:space="0" w:color="000000"/>
              <w:bottom w:val="single" w:sz="4" w:space="0" w:color="000000"/>
              <w:right w:val="single" w:sz="4" w:space="0" w:color="000000"/>
            </w:tcBorders>
            <w:shd w:val="clear" w:color="auto" w:fill="auto"/>
            <w:vAlign w:val="bottom"/>
          </w:tcPr>
          <w:p w14:paraId="74D34553" w14:textId="77777777" w:rsidR="003A3BCA" w:rsidRDefault="008276B6">
            <w:pPr>
              <w:rPr>
                <w:rFonts w:ascii="Calibri" w:eastAsia="Calibri" w:hAnsi="Calibri" w:cs="Calibri"/>
                <w:color w:val="000000"/>
              </w:rPr>
            </w:pPr>
            <w:r>
              <w:rPr>
                <w:rFonts w:ascii="Calibri" w:eastAsia="Calibri" w:hAnsi="Calibri" w:cs="Calibri"/>
                <w:color w:val="000000"/>
              </w:rPr>
              <w:t> </w:t>
            </w:r>
          </w:p>
        </w:tc>
        <w:tc>
          <w:tcPr>
            <w:tcW w:w="1325" w:type="dxa"/>
            <w:tcBorders>
              <w:top w:val="nil"/>
              <w:left w:val="nil"/>
              <w:bottom w:val="single" w:sz="4" w:space="0" w:color="000000"/>
              <w:right w:val="single" w:sz="4" w:space="0" w:color="000000"/>
            </w:tcBorders>
            <w:shd w:val="clear" w:color="auto" w:fill="auto"/>
            <w:vAlign w:val="bottom"/>
          </w:tcPr>
          <w:p w14:paraId="68177BA8" w14:textId="77777777" w:rsidR="003A3BCA" w:rsidRDefault="008276B6">
            <w:pPr>
              <w:rPr>
                <w:rFonts w:ascii="Calibri" w:eastAsia="Calibri" w:hAnsi="Calibri" w:cs="Calibri"/>
                <w:color w:val="000000"/>
              </w:rPr>
            </w:pPr>
            <w:r>
              <w:rPr>
                <w:rFonts w:ascii="Calibri" w:eastAsia="Calibri" w:hAnsi="Calibri" w:cs="Calibri"/>
                <w:color w:val="000000"/>
              </w:rPr>
              <w:t>2020/2021</w:t>
            </w:r>
          </w:p>
        </w:tc>
        <w:tc>
          <w:tcPr>
            <w:tcW w:w="1583" w:type="dxa"/>
            <w:tcBorders>
              <w:top w:val="nil"/>
              <w:left w:val="nil"/>
              <w:bottom w:val="single" w:sz="4" w:space="0" w:color="000000"/>
              <w:right w:val="single" w:sz="4" w:space="0" w:color="000000"/>
            </w:tcBorders>
            <w:shd w:val="clear" w:color="auto" w:fill="auto"/>
            <w:vAlign w:val="bottom"/>
          </w:tcPr>
          <w:p w14:paraId="67EFDBA2" w14:textId="77777777" w:rsidR="003A3BCA" w:rsidRDefault="008276B6">
            <w:pPr>
              <w:rPr>
                <w:rFonts w:ascii="Calibri" w:eastAsia="Calibri" w:hAnsi="Calibri" w:cs="Calibri"/>
                <w:color w:val="000000"/>
              </w:rPr>
            </w:pPr>
            <w:r>
              <w:rPr>
                <w:rFonts w:ascii="Calibri" w:eastAsia="Calibri" w:hAnsi="Calibri" w:cs="Calibri"/>
                <w:color w:val="000000"/>
              </w:rPr>
              <w:t> </w:t>
            </w:r>
          </w:p>
        </w:tc>
        <w:tc>
          <w:tcPr>
            <w:tcW w:w="1211" w:type="dxa"/>
            <w:tcBorders>
              <w:top w:val="nil"/>
              <w:left w:val="nil"/>
              <w:bottom w:val="single" w:sz="4" w:space="0" w:color="000000"/>
              <w:right w:val="single" w:sz="4" w:space="0" w:color="000000"/>
            </w:tcBorders>
            <w:shd w:val="clear" w:color="auto" w:fill="auto"/>
            <w:vAlign w:val="bottom"/>
          </w:tcPr>
          <w:p w14:paraId="77C9BC80" w14:textId="77777777" w:rsidR="003A3BCA" w:rsidRDefault="008276B6">
            <w:pPr>
              <w:jc w:val="right"/>
              <w:rPr>
                <w:rFonts w:ascii="Calibri" w:eastAsia="Calibri" w:hAnsi="Calibri" w:cs="Calibri"/>
                <w:color w:val="000000"/>
              </w:rPr>
            </w:pPr>
            <w:r>
              <w:rPr>
                <w:rFonts w:ascii="Calibri" w:eastAsia="Calibri" w:hAnsi="Calibri" w:cs="Calibri"/>
                <w:color w:val="000000"/>
              </w:rPr>
              <w:t>70</w:t>
            </w:r>
          </w:p>
        </w:tc>
        <w:tc>
          <w:tcPr>
            <w:tcW w:w="1211" w:type="dxa"/>
            <w:tcBorders>
              <w:top w:val="nil"/>
              <w:left w:val="nil"/>
              <w:bottom w:val="single" w:sz="4" w:space="0" w:color="000000"/>
              <w:right w:val="single" w:sz="4" w:space="0" w:color="000000"/>
            </w:tcBorders>
            <w:shd w:val="clear" w:color="auto" w:fill="auto"/>
            <w:vAlign w:val="bottom"/>
          </w:tcPr>
          <w:p w14:paraId="115174DC" w14:textId="77777777" w:rsidR="003A3BCA" w:rsidRDefault="008276B6">
            <w:pPr>
              <w:jc w:val="right"/>
              <w:rPr>
                <w:rFonts w:ascii="Calibri" w:eastAsia="Calibri" w:hAnsi="Calibri" w:cs="Calibri"/>
                <w:color w:val="000000"/>
              </w:rPr>
            </w:pPr>
            <w:r>
              <w:rPr>
                <w:rFonts w:ascii="Calibri" w:eastAsia="Calibri" w:hAnsi="Calibri" w:cs="Calibri"/>
                <w:color w:val="000000"/>
              </w:rPr>
              <w:t>69</w:t>
            </w:r>
          </w:p>
        </w:tc>
        <w:tc>
          <w:tcPr>
            <w:tcW w:w="1211" w:type="dxa"/>
            <w:tcBorders>
              <w:top w:val="nil"/>
              <w:left w:val="nil"/>
              <w:bottom w:val="single" w:sz="4" w:space="0" w:color="000000"/>
              <w:right w:val="single" w:sz="4" w:space="0" w:color="000000"/>
            </w:tcBorders>
            <w:shd w:val="clear" w:color="auto" w:fill="auto"/>
            <w:vAlign w:val="bottom"/>
          </w:tcPr>
          <w:p w14:paraId="7CFCE739" w14:textId="77777777" w:rsidR="003A3BCA" w:rsidRDefault="008276B6">
            <w:pPr>
              <w:jc w:val="right"/>
              <w:rPr>
                <w:rFonts w:ascii="Calibri" w:eastAsia="Calibri" w:hAnsi="Calibri" w:cs="Calibri"/>
                <w:color w:val="000000"/>
              </w:rPr>
            </w:pPr>
            <w:r>
              <w:rPr>
                <w:rFonts w:ascii="Calibri" w:eastAsia="Calibri" w:hAnsi="Calibri" w:cs="Calibri"/>
                <w:color w:val="000000"/>
              </w:rPr>
              <w:t>24</w:t>
            </w:r>
          </w:p>
        </w:tc>
        <w:tc>
          <w:tcPr>
            <w:tcW w:w="1211" w:type="dxa"/>
            <w:tcBorders>
              <w:top w:val="nil"/>
              <w:left w:val="nil"/>
              <w:bottom w:val="single" w:sz="4" w:space="0" w:color="000000"/>
              <w:right w:val="single" w:sz="4" w:space="0" w:color="000000"/>
            </w:tcBorders>
            <w:shd w:val="clear" w:color="auto" w:fill="auto"/>
            <w:vAlign w:val="bottom"/>
          </w:tcPr>
          <w:p w14:paraId="0D3F649B" w14:textId="77777777" w:rsidR="003A3BCA" w:rsidRDefault="008276B6">
            <w:pPr>
              <w:jc w:val="right"/>
              <w:rPr>
                <w:rFonts w:ascii="Calibri" w:eastAsia="Calibri" w:hAnsi="Calibri" w:cs="Calibri"/>
                <w:color w:val="000000"/>
              </w:rPr>
            </w:pPr>
            <w:r>
              <w:rPr>
                <w:rFonts w:ascii="Calibri" w:eastAsia="Calibri" w:hAnsi="Calibri" w:cs="Calibri"/>
                <w:color w:val="000000"/>
              </w:rPr>
              <w:t>3</w:t>
            </w:r>
          </w:p>
        </w:tc>
      </w:tr>
      <w:tr w:rsidR="003A3BCA" w14:paraId="598ABDA0" w14:textId="77777777">
        <w:trPr>
          <w:trHeight w:val="320"/>
        </w:trPr>
        <w:tc>
          <w:tcPr>
            <w:tcW w:w="1937" w:type="dxa"/>
            <w:tcBorders>
              <w:top w:val="nil"/>
              <w:left w:val="single" w:sz="4" w:space="0" w:color="000000"/>
              <w:bottom w:val="single" w:sz="4" w:space="0" w:color="000000"/>
              <w:right w:val="single" w:sz="4" w:space="0" w:color="000000"/>
            </w:tcBorders>
            <w:shd w:val="clear" w:color="auto" w:fill="auto"/>
            <w:vAlign w:val="bottom"/>
          </w:tcPr>
          <w:p w14:paraId="1B029913" w14:textId="77777777" w:rsidR="003A3BCA" w:rsidRDefault="008276B6">
            <w:pPr>
              <w:rPr>
                <w:rFonts w:ascii="Calibri" w:eastAsia="Calibri" w:hAnsi="Calibri" w:cs="Calibri"/>
                <w:color w:val="000000"/>
              </w:rPr>
            </w:pPr>
            <w:r>
              <w:rPr>
                <w:rFonts w:ascii="Calibri" w:eastAsia="Calibri" w:hAnsi="Calibri" w:cs="Calibri"/>
                <w:color w:val="000000"/>
              </w:rPr>
              <w:t> </w:t>
            </w:r>
          </w:p>
        </w:tc>
        <w:tc>
          <w:tcPr>
            <w:tcW w:w="1325" w:type="dxa"/>
            <w:tcBorders>
              <w:top w:val="nil"/>
              <w:left w:val="nil"/>
              <w:bottom w:val="single" w:sz="4" w:space="0" w:color="000000"/>
              <w:right w:val="single" w:sz="4" w:space="0" w:color="000000"/>
            </w:tcBorders>
            <w:shd w:val="clear" w:color="auto" w:fill="auto"/>
            <w:vAlign w:val="bottom"/>
          </w:tcPr>
          <w:p w14:paraId="4DB73250" w14:textId="77777777" w:rsidR="003A3BCA" w:rsidRDefault="008276B6">
            <w:pPr>
              <w:rPr>
                <w:rFonts w:ascii="Calibri" w:eastAsia="Calibri" w:hAnsi="Calibri" w:cs="Calibri"/>
                <w:color w:val="000000"/>
              </w:rPr>
            </w:pPr>
            <w:r>
              <w:rPr>
                <w:rFonts w:ascii="Calibri" w:eastAsia="Calibri" w:hAnsi="Calibri" w:cs="Calibri"/>
                <w:color w:val="000000"/>
              </w:rPr>
              <w:t>2021/2022</w:t>
            </w:r>
          </w:p>
        </w:tc>
        <w:tc>
          <w:tcPr>
            <w:tcW w:w="1583" w:type="dxa"/>
            <w:tcBorders>
              <w:top w:val="nil"/>
              <w:left w:val="nil"/>
              <w:bottom w:val="single" w:sz="4" w:space="0" w:color="000000"/>
              <w:right w:val="single" w:sz="4" w:space="0" w:color="000000"/>
            </w:tcBorders>
            <w:shd w:val="clear" w:color="auto" w:fill="auto"/>
            <w:vAlign w:val="bottom"/>
          </w:tcPr>
          <w:p w14:paraId="0811FAB0" w14:textId="77777777" w:rsidR="003A3BCA" w:rsidRDefault="008276B6">
            <w:pPr>
              <w:rPr>
                <w:rFonts w:ascii="Calibri" w:eastAsia="Calibri" w:hAnsi="Calibri" w:cs="Calibri"/>
                <w:color w:val="000000"/>
              </w:rPr>
            </w:pPr>
            <w:r>
              <w:rPr>
                <w:rFonts w:ascii="Calibri" w:eastAsia="Calibri" w:hAnsi="Calibri" w:cs="Calibri"/>
                <w:color w:val="000000"/>
              </w:rPr>
              <w:t> </w:t>
            </w:r>
          </w:p>
        </w:tc>
        <w:tc>
          <w:tcPr>
            <w:tcW w:w="1211" w:type="dxa"/>
            <w:tcBorders>
              <w:top w:val="nil"/>
              <w:left w:val="nil"/>
              <w:bottom w:val="single" w:sz="4" w:space="0" w:color="000000"/>
              <w:right w:val="single" w:sz="4" w:space="0" w:color="000000"/>
            </w:tcBorders>
            <w:shd w:val="clear" w:color="auto" w:fill="auto"/>
            <w:vAlign w:val="bottom"/>
          </w:tcPr>
          <w:p w14:paraId="34CADA53" w14:textId="77777777" w:rsidR="003A3BCA" w:rsidRDefault="008276B6">
            <w:pPr>
              <w:jc w:val="right"/>
              <w:rPr>
                <w:rFonts w:ascii="Calibri" w:eastAsia="Calibri" w:hAnsi="Calibri" w:cs="Calibri"/>
                <w:color w:val="000000"/>
              </w:rPr>
            </w:pPr>
            <w:r>
              <w:rPr>
                <w:rFonts w:ascii="Calibri" w:eastAsia="Calibri" w:hAnsi="Calibri" w:cs="Calibri"/>
                <w:color w:val="000000"/>
              </w:rPr>
              <w:t>72</w:t>
            </w:r>
          </w:p>
        </w:tc>
        <w:tc>
          <w:tcPr>
            <w:tcW w:w="1211" w:type="dxa"/>
            <w:tcBorders>
              <w:top w:val="nil"/>
              <w:left w:val="nil"/>
              <w:bottom w:val="single" w:sz="4" w:space="0" w:color="000000"/>
              <w:right w:val="single" w:sz="4" w:space="0" w:color="000000"/>
            </w:tcBorders>
            <w:shd w:val="clear" w:color="auto" w:fill="auto"/>
            <w:vAlign w:val="bottom"/>
          </w:tcPr>
          <w:p w14:paraId="65267851" w14:textId="77777777" w:rsidR="003A3BCA" w:rsidRDefault="008276B6">
            <w:pPr>
              <w:jc w:val="right"/>
              <w:rPr>
                <w:rFonts w:ascii="Calibri" w:eastAsia="Calibri" w:hAnsi="Calibri" w:cs="Calibri"/>
                <w:color w:val="000000"/>
              </w:rPr>
            </w:pPr>
            <w:r>
              <w:rPr>
                <w:rFonts w:ascii="Calibri" w:eastAsia="Calibri" w:hAnsi="Calibri" w:cs="Calibri"/>
                <w:color w:val="000000"/>
              </w:rPr>
              <w:t>57</w:t>
            </w:r>
          </w:p>
        </w:tc>
        <w:tc>
          <w:tcPr>
            <w:tcW w:w="1211" w:type="dxa"/>
            <w:tcBorders>
              <w:top w:val="nil"/>
              <w:left w:val="nil"/>
              <w:bottom w:val="single" w:sz="4" w:space="0" w:color="000000"/>
              <w:right w:val="single" w:sz="4" w:space="0" w:color="000000"/>
            </w:tcBorders>
            <w:shd w:val="clear" w:color="auto" w:fill="auto"/>
            <w:vAlign w:val="bottom"/>
          </w:tcPr>
          <w:p w14:paraId="0FE2B749" w14:textId="77777777" w:rsidR="003A3BCA" w:rsidRDefault="008276B6">
            <w:pPr>
              <w:jc w:val="right"/>
              <w:rPr>
                <w:rFonts w:ascii="Calibri" w:eastAsia="Calibri" w:hAnsi="Calibri" w:cs="Calibri"/>
                <w:color w:val="000000"/>
              </w:rPr>
            </w:pPr>
            <w:r>
              <w:rPr>
                <w:rFonts w:ascii="Calibri" w:eastAsia="Calibri" w:hAnsi="Calibri" w:cs="Calibri"/>
                <w:color w:val="000000"/>
              </w:rPr>
              <w:t>38</w:t>
            </w:r>
          </w:p>
        </w:tc>
        <w:tc>
          <w:tcPr>
            <w:tcW w:w="1211" w:type="dxa"/>
            <w:tcBorders>
              <w:top w:val="nil"/>
              <w:left w:val="nil"/>
              <w:bottom w:val="single" w:sz="4" w:space="0" w:color="000000"/>
              <w:right w:val="single" w:sz="4" w:space="0" w:color="000000"/>
            </w:tcBorders>
            <w:shd w:val="clear" w:color="auto" w:fill="auto"/>
            <w:vAlign w:val="bottom"/>
          </w:tcPr>
          <w:p w14:paraId="079E28AA" w14:textId="77777777" w:rsidR="003A3BCA" w:rsidRDefault="008276B6">
            <w:pPr>
              <w:jc w:val="right"/>
              <w:rPr>
                <w:rFonts w:ascii="Calibri" w:eastAsia="Calibri" w:hAnsi="Calibri" w:cs="Calibri"/>
                <w:color w:val="000000"/>
              </w:rPr>
            </w:pPr>
            <w:r>
              <w:rPr>
                <w:rFonts w:ascii="Calibri" w:eastAsia="Calibri" w:hAnsi="Calibri" w:cs="Calibri"/>
                <w:color w:val="000000"/>
              </w:rPr>
              <w:t>2,8</w:t>
            </w:r>
          </w:p>
        </w:tc>
      </w:tr>
      <w:tr w:rsidR="003A3BCA" w14:paraId="35B1E884" w14:textId="77777777">
        <w:trPr>
          <w:trHeight w:val="320"/>
        </w:trPr>
        <w:tc>
          <w:tcPr>
            <w:tcW w:w="1937" w:type="dxa"/>
            <w:tcBorders>
              <w:top w:val="nil"/>
              <w:left w:val="single" w:sz="4" w:space="0" w:color="000000"/>
              <w:bottom w:val="single" w:sz="4" w:space="0" w:color="000000"/>
              <w:right w:val="single" w:sz="4" w:space="0" w:color="000000"/>
            </w:tcBorders>
            <w:shd w:val="clear" w:color="auto" w:fill="auto"/>
            <w:vAlign w:val="bottom"/>
          </w:tcPr>
          <w:p w14:paraId="3A9981FC" w14:textId="77777777" w:rsidR="003A3BCA" w:rsidRDefault="008276B6">
            <w:pPr>
              <w:rPr>
                <w:rFonts w:ascii="Calibri" w:eastAsia="Calibri" w:hAnsi="Calibri" w:cs="Calibri"/>
                <w:color w:val="000000"/>
              </w:rPr>
            </w:pPr>
            <w:r>
              <w:rPr>
                <w:rFonts w:ascii="Calibri" w:eastAsia="Calibri" w:hAnsi="Calibri" w:cs="Calibri"/>
                <w:color w:val="000000"/>
              </w:rPr>
              <w:t> </w:t>
            </w:r>
          </w:p>
        </w:tc>
        <w:tc>
          <w:tcPr>
            <w:tcW w:w="1325" w:type="dxa"/>
            <w:tcBorders>
              <w:top w:val="nil"/>
              <w:left w:val="nil"/>
              <w:bottom w:val="single" w:sz="4" w:space="0" w:color="000000"/>
              <w:right w:val="single" w:sz="4" w:space="0" w:color="000000"/>
            </w:tcBorders>
            <w:shd w:val="clear" w:color="auto" w:fill="auto"/>
            <w:vAlign w:val="bottom"/>
          </w:tcPr>
          <w:p w14:paraId="2E1C78BD" w14:textId="77777777" w:rsidR="003A3BCA" w:rsidRDefault="008276B6">
            <w:pPr>
              <w:rPr>
                <w:rFonts w:ascii="Calibri" w:eastAsia="Calibri" w:hAnsi="Calibri" w:cs="Calibri"/>
                <w:color w:val="000000"/>
              </w:rPr>
            </w:pPr>
            <w:r>
              <w:rPr>
                <w:rFonts w:ascii="Calibri" w:eastAsia="Calibri" w:hAnsi="Calibri" w:cs="Calibri"/>
                <w:color w:val="000000"/>
              </w:rPr>
              <w:t> </w:t>
            </w:r>
          </w:p>
        </w:tc>
        <w:tc>
          <w:tcPr>
            <w:tcW w:w="1583" w:type="dxa"/>
            <w:tcBorders>
              <w:top w:val="nil"/>
              <w:left w:val="nil"/>
              <w:bottom w:val="single" w:sz="4" w:space="0" w:color="000000"/>
              <w:right w:val="single" w:sz="4" w:space="0" w:color="000000"/>
            </w:tcBorders>
            <w:shd w:val="clear" w:color="auto" w:fill="auto"/>
            <w:vAlign w:val="bottom"/>
          </w:tcPr>
          <w:p w14:paraId="1550BC7C" w14:textId="77777777" w:rsidR="003A3BCA" w:rsidRDefault="008276B6">
            <w:pPr>
              <w:rPr>
                <w:rFonts w:ascii="Calibri" w:eastAsia="Calibri" w:hAnsi="Calibri" w:cs="Calibri"/>
                <w:color w:val="000000"/>
              </w:rPr>
            </w:pPr>
            <w:r>
              <w:rPr>
                <w:rFonts w:ascii="Calibri" w:eastAsia="Calibri" w:hAnsi="Calibri" w:cs="Calibri"/>
                <w:color w:val="000000"/>
              </w:rPr>
              <w:t> </w:t>
            </w:r>
          </w:p>
        </w:tc>
        <w:tc>
          <w:tcPr>
            <w:tcW w:w="1211" w:type="dxa"/>
            <w:tcBorders>
              <w:top w:val="nil"/>
              <w:left w:val="nil"/>
              <w:bottom w:val="single" w:sz="4" w:space="0" w:color="000000"/>
              <w:right w:val="single" w:sz="4" w:space="0" w:color="000000"/>
            </w:tcBorders>
            <w:shd w:val="clear" w:color="auto" w:fill="auto"/>
            <w:vAlign w:val="bottom"/>
          </w:tcPr>
          <w:p w14:paraId="555BA202" w14:textId="77777777" w:rsidR="003A3BCA" w:rsidRDefault="008276B6">
            <w:pPr>
              <w:rPr>
                <w:rFonts w:ascii="Calibri" w:eastAsia="Calibri" w:hAnsi="Calibri" w:cs="Calibri"/>
                <w:color w:val="000000"/>
              </w:rPr>
            </w:pPr>
            <w:r>
              <w:rPr>
                <w:rFonts w:ascii="Calibri" w:eastAsia="Calibri" w:hAnsi="Calibri" w:cs="Calibri"/>
                <w:color w:val="000000"/>
              </w:rPr>
              <w:t> </w:t>
            </w:r>
          </w:p>
        </w:tc>
        <w:tc>
          <w:tcPr>
            <w:tcW w:w="1211" w:type="dxa"/>
            <w:tcBorders>
              <w:top w:val="nil"/>
              <w:left w:val="nil"/>
              <w:bottom w:val="single" w:sz="4" w:space="0" w:color="000000"/>
              <w:right w:val="single" w:sz="4" w:space="0" w:color="000000"/>
            </w:tcBorders>
            <w:shd w:val="clear" w:color="auto" w:fill="auto"/>
            <w:vAlign w:val="bottom"/>
          </w:tcPr>
          <w:p w14:paraId="37631313" w14:textId="77777777" w:rsidR="003A3BCA" w:rsidRDefault="008276B6">
            <w:pPr>
              <w:rPr>
                <w:rFonts w:ascii="Calibri" w:eastAsia="Calibri" w:hAnsi="Calibri" w:cs="Calibri"/>
                <w:color w:val="000000"/>
              </w:rPr>
            </w:pPr>
            <w:r>
              <w:rPr>
                <w:rFonts w:ascii="Calibri" w:eastAsia="Calibri" w:hAnsi="Calibri" w:cs="Calibri"/>
                <w:color w:val="000000"/>
              </w:rPr>
              <w:t> </w:t>
            </w:r>
          </w:p>
        </w:tc>
        <w:tc>
          <w:tcPr>
            <w:tcW w:w="1211" w:type="dxa"/>
            <w:tcBorders>
              <w:top w:val="nil"/>
              <w:left w:val="nil"/>
              <w:bottom w:val="single" w:sz="4" w:space="0" w:color="000000"/>
              <w:right w:val="single" w:sz="4" w:space="0" w:color="000000"/>
            </w:tcBorders>
            <w:shd w:val="clear" w:color="auto" w:fill="auto"/>
            <w:vAlign w:val="bottom"/>
          </w:tcPr>
          <w:p w14:paraId="6EDF8C67" w14:textId="77777777" w:rsidR="003A3BCA" w:rsidRDefault="008276B6">
            <w:pPr>
              <w:rPr>
                <w:rFonts w:ascii="Calibri" w:eastAsia="Calibri" w:hAnsi="Calibri" w:cs="Calibri"/>
                <w:color w:val="000000"/>
              </w:rPr>
            </w:pPr>
            <w:r>
              <w:rPr>
                <w:rFonts w:ascii="Calibri" w:eastAsia="Calibri" w:hAnsi="Calibri" w:cs="Calibri"/>
                <w:color w:val="000000"/>
              </w:rPr>
              <w:t> </w:t>
            </w:r>
          </w:p>
        </w:tc>
        <w:tc>
          <w:tcPr>
            <w:tcW w:w="1211" w:type="dxa"/>
            <w:tcBorders>
              <w:top w:val="nil"/>
              <w:left w:val="nil"/>
              <w:bottom w:val="single" w:sz="4" w:space="0" w:color="000000"/>
              <w:right w:val="single" w:sz="4" w:space="0" w:color="000000"/>
            </w:tcBorders>
            <w:shd w:val="clear" w:color="auto" w:fill="auto"/>
            <w:vAlign w:val="bottom"/>
          </w:tcPr>
          <w:p w14:paraId="111A36B8" w14:textId="77777777" w:rsidR="003A3BCA" w:rsidRDefault="008276B6">
            <w:pPr>
              <w:rPr>
                <w:rFonts w:ascii="Calibri" w:eastAsia="Calibri" w:hAnsi="Calibri" w:cs="Calibri"/>
                <w:color w:val="000000"/>
              </w:rPr>
            </w:pPr>
            <w:r>
              <w:rPr>
                <w:rFonts w:ascii="Calibri" w:eastAsia="Calibri" w:hAnsi="Calibri" w:cs="Calibri"/>
                <w:color w:val="000000"/>
              </w:rPr>
              <w:t> </w:t>
            </w:r>
          </w:p>
        </w:tc>
      </w:tr>
      <w:tr w:rsidR="003A3BCA" w14:paraId="6E64D0AC" w14:textId="77777777">
        <w:trPr>
          <w:trHeight w:val="320"/>
        </w:trPr>
        <w:tc>
          <w:tcPr>
            <w:tcW w:w="1937" w:type="dxa"/>
            <w:tcBorders>
              <w:top w:val="nil"/>
              <w:left w:val="single" w:sz="4" w:space="0" w:color="000000"/>
              <w:bottom w:val="single" w:sz="4" w:space="0" w:color="000000"/>
              <w:right w:val="single" w:sz="4" w:space="0" w:color="000000"/>
            </w:tcBorders>
            <w:shd w:val="clear" w:color="auto" w:fill="auto"/>
            <w:vAlign w:val="bottom"/>
          </w:tcPr>
          <w:p w14:paraId="0531E839" w14:textId="77777777" w:rsidR="003A3BCA" w:rsidRDefault="008276B6">
            <w:pPr>
              <w:rPr>
                <w:rFonts w:ascii="Calibri" w:eastAsia="Calibri" w:hAnsi="Calibri" w:cs="Calibri"/>
                <w:color w:val="000000"/>
              </w:rPr>
            </w:pPr>
            <w:r>
              <w:rPr>
                <w:rFonts w:ascii="Calibri" w:eastAsia="Calibri" w:hAnsi="Calibri" w:cs="Calibri"/>
                <w:color w:val="000000"/>
              </w:rPr>
              <w:t>Donny van de Beek</w:t>
            </w:r>
          </w:p>
        </w:tc>
        <w:tc>
          <w:tcPr>
            <w:tcW w:w="1325" w:type="dxa"/>
            <w:tcBorders>
              <w:top w:val="nil"/>
              <w:left w:val="nil"/>
              <w:bottom w:val="single" w:sz="4" w:space="0" w:color="000000"/>
              <w:right w:val="single" w:sz="4" w:space="0" w:color="000000"/>
            </w:tcBorders>
            <w:shd w:val="clear" w:color="auto" w:fill="auto"/>
            <w:vAlign w:val="bottom"/>
          </w:tcPr>
          <w:p w14:paraId="66A68522" w14:textId="77777777" w:rsidR="003A3BCA" w:rsidRDefault="008276B6">
            <w:pPr>
              <w:rPr>
                <w:rFonts w:ascii="Calibri" w:eastAsia="Calibri" w:hAnsi="Calibri" w:cs="Calibri"/>
                <w:color w:val="000000"/>
              </w:rPr>
            </w:pPr>
            <w:r>
              <w:rPr>
                <w:rFonts w:ascii="Calibri" w:eastAsia="Calibri" w:hAnsi="Calibri" w:cs="Calibri"/>
                <w:color w:val="000000"/>
              </w:rPr>
              <w:t>2020/2021</w:t>
            </w:r>
          </w:p>
        </w:tc>
        <w:tc>
          <w:tcPr>
            <w:tcW w:w="1583" w:type="dxa"/>
            <w:tcBorders>
              <w:top w:val="nil"/>
              <w:left w:val="nil"/>
              <w:bottom w:val="single" w:sz="4" w:space="0" w:color="000000"/>
              <w:right w:val="single" w:sz="4" w:space="0" w:color="000000"/>
            </w:tcBorders>
            <w:shd w:val="clear" w:color="auto" w:fill="auto"/>
            <w:vAlign w:val="bottom"/>
          </w:tcPr>
          <w:p w14:paraId="1D4E4C8F" w14:textId="77777777" w:rsidR="003A3BCA" w:rsidRDefault="008276B6">
            <w:pPr>
              <w:rPr>
                <w:rFonts w:ascii="Calibri" w:eastAsia="Calibri" w:hAnsi="Calibri" w:cs="Calibri"/>
                <w:color w:val="000000"/>
              </w:rPr>
            </w:pPr>
            <w:r>
              <w:rPr>
                <w:rFonts w:ascii="Calibri" w:eastAsia="Calibri" w:hAnsi="Calibri" w:cs="Calibri"/>
                <w:color w:val="000000"/>
              </w:rPr>
              <w:t>Midfielder</w:t>
            </w:r>
          </w:p>
        </w:tc>
        <w:tc>
          <w:tcPr>
            <w:tcW w:w="1211" w:type="dxa"/>
            <w:tcBorders>
              <w:top w:val="nil"/>
              <w:left w:val="nil"/>
              <w:bottom w:val="single" w:sz="4" w:space="0" w:color="000000"/>
              <w:right w:val="single" w:sz="4" w:space="0" w:color="000000"/>
            </w:tcBorders>
            <w:shd w:val="clear" w:color="auto" w:fill="auto"/>
            <w:vAlign w:val="bottom"/>
          </w:tcPr>
          <w:p w14:paraId="5FDBD04E" w14:textId="77777777" w:rsidR="003A3BCA" w:rsidRDefault="008276B6">
            <w:pPr>
              <w:jc w:val="right"/>
              <w:rPr>
                <w:rFonts w:ascii="Calibri" w:eastAsia="Calibri" w:hAnsi="Calibri" w:cs="Calibri"/>
                <w:color w:val="000000"/>
              </w:rPr>
            </w:pPr>
            <w:r>
              <w:rPr>
                <w:rFonts w:ascii="Calibri" w:eastAsia="Calibri" w:hAnsi="Calibri" w:cs="Calibri"/>
                <w:color w:val="000000"/>
              </w:rPr>
              <w:t>51</w:t>
            </w:r>
          </w:p>
        </w:tc>
        <w:tc>
          <w:tcPr>
            <w:tcW w:w="1211" w:type="dxa"/>
            <w:tcBorders>
              <w:top w:val="nil"/>
              <w:left w:val="nil"/>
              <w:bottom w:val="single" w:sz="4" w:space="0" w:color="000000"/>
              <w:right w:val="single" w:sz="4" w:space="0" w:color="000000"/>
            </w:tcBorders>
            <w:shd w:val="clear" w:color="auto" w:fill="auto"/>
            <w:vAlign w:val="bottom"/>
          </w:tcPr>
          <w:p w14:paraId="0ED32FAF" w14:textId="77777777" w:rsidR="003A3BCA" w:rsidRDefault="008276B6">
            <w:pPr>
              <w:jc w:val="right"/>
              <w:rPr>
                <w:rFonts w:ascii="Calibri" w:eastAsia="Calibri" w:hAnsi="Calibri" w:cs="Calibri"/>
                <w:color w:val="000000"/>
              </w:rPr>
            </w:pPr>
            <w:r>
              <w:rPr>
                <w:rFonts w:ascii="Calibri" w:eastAsia="Calibri" w:hAnsi="Calibri" w:cs="Calibri"/>
                <w:color w:val="000000"/>
              </w:rPr>
              <w:t>62</w:t>
            </w:r>
          </w:p>
        </w:tc>
        <w:tc>
          <w:tcPr>
            <w:tcW w:w="1211" w:type="dxa"/>
            <w:tcBorders>
              <w:top w:val="nil"/>
              <w:left w:val="nil"/>
              <w:bottom w:val="single" w:sz="4" w:space="0" w:color="000000"/>
              <w:right w:val="single" w:sz="4" w:space="0" w:color="000000"/>
            </w:tcBorders>
            <w:shd w:val="clear" w:color="auto" w:fill="auto"/>
            <w:vAlign w:val="bottom"/>
          </w:tcPr>
          <w:p w14:paraId="56D8FCE7" w14:textId="77777777" w:rsidR="003A3BCA" w:rsidRDefault="008276B6">
            <w:pPr>
              <w:jc w:val="right"/>
              <w:rPr>
                <w:rFonts w:ascii="Calibri" w:eastAsia="Calibri" w:hAnsi="Calibri" w:cs="Calibri"/>
                <w:color w:val="000000"/>
              </w:rPr>
            </w:pPr>
            <w:r>
              <w:rPr>
                <w:rFonts w:ascii="Calibri" w:eastAsia="Calibri" w:hAnsi="Calibri" w:cs="Calibri"/>
                <w:color w:val="000000"/>
              </w:rPr>
              <w:t>63</w:t>
            </w:r>
          </w:p>
        </w:tc>
        <w:tc>
          <w:tcPr>
            <w:tcW w:w="1211" w:type="dxa"/>
            <w:tcBorders>
              <w:top w:val="nil"/>
              <w:left w:val="nil"/>
              <w:bottom w:val="single" w:sz="4" w:space="0" w:color="000000"/>
              <w:right w:val="single" w:sz="4" w:space="0" w:color="000000"/>
            </w:tcBorders>
            <w:shd w:val="clear" w:color="auto" w:fill="auto"/>
            <w:vAlign w:val="bottom"/>
          </w:tcPr>
          <w:p w14:paraId="5D6B09D3" w14:textId="77777777" w:rsidR="003A3BCA" w:rsidRDefault="008276B6">
            <w:pPr>
              <w:jc w:val="right"/>
              <w:rPr>
                <w:rFonts w:ascii="Calibri" w:eastAsia="Calibri" w:hAnsi="Calibri" w:cs="Calibri"/>
                <w:color w:val="000000"/>
              </w:rPr>
            </w:pPr>
            <w:r>
              <w:rPr>
                <w:rFonts w:ascii="Calibri" w:eastAsia="Calibri" w:hAnsi="Calibri" w:cs="Calibri"/>
                <w:color w:val="000000"/>
              </w:rPr>
              <w:t>3,4</w:t>
            </w:r>
          </w:p>
        </w:tc>
      </w:tr>
      <w:tr w:rsidR="003A3BCA" w14:paraId="298F5812" w14:textId="77777777">
        <w:trPr>
          <w:trHeight w:val="320"/>
        </w:trPr>
        <w:tc>
          <w:tcPr>
            <w:tcW w:w="1937" w:type="dxa"/>
            <w:tcBorders>
              <w:top w:val="nil"/>
              <w:left w:val="single" w:sz="4" w:space="0" w:color="000000"/>
              <w:bottom w:val="single" w:sz="4" w:space="0" w:color="000000"/>
              <w:right w:val="single" w:sz="4" w:space="0" w:color="000000"/>
            </w:tcBorders>
            <w:shd w:val="clear" w:color="auto" w:fill="auto"/>
            <w:vAlign w:val="bottom"/>
          </w:tcPr>
          <w:p w14:paraId="2CA63B57" w14:textId="77777777" w:rsidR="003A3BCA" w:rsidRDefault="008276B6">
            <w:pPr>
              <w:rPr>
                <w:rFonts w:ascii="Calibri" w:eastAsia="Calibri" w:hAnsi="Calibri" w:cs="Calibri"/>
                <w:color w:val="000000"/>
              </w:rPr>
            </w:pPr>
            <w:r>
              <w:rPr>
                <w:rFonts w:ascii="Calibri" w:eastAsia="Calibri" w:hAnsi="Calibri" w:cs="Calibri"/>
                <w:color w:val="000000"/>
              </w:rPr>
              <w:t> </w:t>
            </w:r>
          </w:p>
        </w:tc>
        <w:tc>
          <w:tcPr>
            <w:tcW w:w="1325" w:type="dxa"/>
            <w:tcBorders>
              <w:top w:val="nil"/>
              <w:left w:val="nil"/>
              <w:bottom w:val="single" w:sz="4" w:space="0" w:color="000000"/>
              <w:right w:val="single" w:sz="4" w:space="0" w:color="000000"/>
            </w:tcBorders>
            <w:shd w:val="clear" w:color="auto" w:fill="auto"/>
            <w:vAlign w:val="bottom"/>
          </w:tcPr>
          <w:p w14:paraId="003F3EF8" w14:textId="77777777" w:rsidR="003A3BCA" w:rsidRDefault="008276B6">
            <w:pPr>
              <w:rPr>
                <w:rFonts w:ascii="Calibri" w:eastAsia="Calibri" w:hAnsi="Calibri" w:cs="Calibri"/>
                <w:color w:val="000000"/>
              </w:rPr>
            </w:pPr>
            <w:r>
              <w:rPr>
                <w:rFonts w:ascii="Calibri" w:eastAsia="Calibri" w:hAnsi="Calibri" w:cs="Calibri"/>
                <w:color w:val="000000"/>
              </w:rPr>
              <w:t>2021/2022</w:t>
            </w:r>
          </w:p>
        </w:tc>
        <w:tc>
          <w:tcPr>
            <w:tcW w:w="1583" w:type="dxa"/>
            <w:tcBorders>
              <w:top w:val="nil"/>
              <w:left w:val="nil"/>
              <w:bottom w:val="single" w:sz="4" w:space="0" w:color="000000"/>
              <w:right w:val="single" w:sz="4" w:space="0" w:color="000000"/>
            </w:tcBorders>
            <w:shd w:val="clear" w:color="auto" w:fill="auto"/>
            <w:vAlign w:val="bottom"/>
          </w:tcPr>
          <w:p w14:paraId="155F52B7" w14:textId="77777777" w:rsidR="003A3BCA" w:rsidRDefault="008276B6">
            <w:pPr>
              <w:rPr>
                <w:rFonts w:ascii="Calibri" w:eastAsia="Calibri" w:hAnsi="Calibri" w:cs="Calibri"/>
                <w:color w:val="000000"/>
              </w:rPr>
            </w:pPr>
            <w:r>
              <w:rPr>
                <w:rFonts w:ascii="Calibri" w:eastAsia="Calibri" w:hAnsi="Calibri" w:cs="Calibri"/>
                <w:color w:val="000000"/>
              </w:rPr>
              <w:t> </w:t>
            </w:r>
          </w:p>
        </w:tc>
        <w:tc>
          <w:tcPr>
            <w:tcW w:w="1211" w:type="dxa"/>
            <w:tcBorders>
              <w:top w:val="nil"/>
              <w:left w:val="nil"/>
              <w:bottom w:val="single" w:sz="4" w:space="0" w:color="000000"/>
              <w:right w:val="single" w:sz="4" w:space="0" w:color="000000"/>
            </w:tcBorders>
            <w:shd w:val="clear" w:color="auto" w:fill="auto"/>
            <w:vAlign w:val="bottom"/>
          </w:tcPr>
          <w:p w14:paraId="04F4E6D1" w14:textId="77777777" w:rsidR="003A3BCA" w:rsidRDefault="008276B6">
            <w:pPr>
              <w:jc w:val="right"/>
              <w:rPr>
                <w:rFonts w:ascii="Calibri" w:eastAsia="Calibri" w:hAnsi="Calibri" w:cs="Calibri"/>
                <w:color w:val="000000"/>
              </w:rPr>
            </w:pPr>
            <w:r>
              <w:rPr>
                <w:rFonts w:ascii="Calibri" w:eastAsia="Calibri" w:hAnsi="Calibri" w:cs="Calibri"/>
                <w:color w:val="000000"/>
              </w:rPr>
              <w:t>71</w:t>
            </w:r>
          </w:p>
        </w:tc>
        <w:tc>
          <w:tcPr>
            <w:tcW w:w="1211" w:type="dxa"/>
            <w:tcBorders>
              <w:top w:val="nil"/>
              <w:left w:val="nil"/>
              <w:bottom w:val="single" w:sz="4" w:space="0" w:color="000000"/>
              <w:right w:val="single" w:sz="4" w:space="0" w:color="000000"/>
            </w:tcBorders>
            <w:shd w:val="clear" w:color="auto" w:fill="auto"/>
            <w:vAlign w:val="bottom"/>
          </w:tcPr>
          <w:p w14:paraId="4247817A" w14:textId="77777777" w:rsidR="003A3BCA" w:rsidRDefault="008276B6">
            <w:pPr>
              <w:jc w:val="right"/>
              <w:rPr>
                <w:rFonts w:ascii="Calibri" w:eastAsia="Calibri" w:hAnsi="Calibri" w:cs="Calibri"/>
                <w:color w:val="000000"/>
              </w:rPr>
            </w:pPr>
            <w:r>
              <w:rPr>
                <w:rFonts w:ascii="Calibri" w:eastAsia="Calibri" w:hAnsi="Calibri" w:cs="Calibri"/>
                <w:color w:val="000000"/>
              </w:rPr>
              <w:t>42</w:t>
            </w:r>
          </w:p>
        </w:tc>
        <w:tc>
          <w:tcPr>
            <w:tcW w:w="1211" w:type="dxa"/>
            <w:tcBorders>
              <w:top w:val="nil"/>
              <w:left w:val="nil"/>
              <w:bottom w:val="single" w:sz="4" w:space="0" w:color="000000"/>
              <w:right w:val="single" w:sz="4" w:space="0" w:color="000000"/>
            </w:tcBorders>
            <w:shd w:val="clear" w:color="auto" w:fill="auto"/>
            <w:vAlign w:val="bottom"/>
          </w:tcPr>
          <w:p w14:paraId="4C3EEF08" w14:textId="77777777" w:rsidR="003A3BCA" w:rsidRDefault="008276B6">
            <w:pPr>
              <w:jc w:val="right"/>
              <w:rPr>
                <w:rFonts w:ascii="Calibri" w:eastAsia="Calibri" w:hAnsi="Calibri" w:cs="Calibri"/>
                <w:color w:val="000000"/>
              </w:rPr>
            </w:pPr>
            <w:r>
              <w:rPr>
                <w:rFonts w:ascii="Calibri" w:eastAsia="Calibri" w:hAnsi="Calibri" w:cs="Calibri"/>
                <w:color w:val="000000"/>
              </w:rPr>
              <w:t>58</w:t>
            </w:r>
          </w:p>
        </w:tc>
        <w:tc>
          <w:tcPr>
            <w:tcW w:w="1211" w:type="dxa"/>
            <w:tcBorders>
              <w:top w:val="nil"/>
              <w:left w:val="nil"/>
              <w:bottom w:val="single" w:sz="4" w:space="0" w:color="000000"/>
              <w:right w:val="single" w:sz="4" w:space="0" w:color="000000"/>
            </w:tcBorders>
            <w:shd w:val="clear" w:color="auto" w:fill="auto"/>
            <w:vAlign w:val="bottom"/>
          </w:tcPr>
          <w:p w14:paraId="2564DD6D" w14:textId="77777777" w:rsidR="003A3BCA" w:rsidRDefault="008276B6">
            <w:pPr>
              <w:jc w:val="right"/>
              <w:rPr>
                <w:rFonts w:ascii="Calibri" w:eastAsia="Calibri" w:hAnsi="Calibri" w:cs="Calibri"/>
                <w:color w:val="000000"/>
              </w:rPr>
            </w:pPr>
            <w:r>
              <w:rPr>
                <w:rFonts w:ascii="Calibri" w:eastAsia="Calibri" w:hAnsi="Calibri" w:cs="Calibri"/>
                <w:color w:val="000000"/>
              </w:rPr>
              <w:t>2,8</w:t>
            </w:r>
          </w:p>
        </w:tc>
      </w:tr>
    </w:tbl>
    <w:p w14:paraId="7B326A3A" w14:textId="77777777" w:rsidR="003A3BCA" w:rsidRDefault="008276B6">
      <w:pPr>
        <w:pBdr>
          <w:top w:val="nil"/>
          <w:left w:val="nil"/>
          <w:bottom w:val="nil"/>
          <w:right w:val="nil"/>
          <w:between w:val="nil"/>
        </w:pBdr>
        <w:spacing w:after="200"/>
        <w:rPr>
          <w:rFonts w:ascii="Calibri" w:eastAsia="Calibri" w:hAnsi="Calibri" w:cs="Calibri"/>
          <w:i/>
          <w:color w:val="44546A"/>
          <w:sz w:val="18"/>
          <w:szCs w:val="18"/>
        </w:rPr>
      </w:pPr>
      <w:r>
        <w:rPr>
          <w:rFonts w:ascii="Calibri" w:eastAsia="Calibri" w:hAnsi="Calibri" w:cs="Calibri"/>
          <w:i/>
          <w:color w:val="44546A"/>
          <w:sz w:val="18"/>
          <w:szCs w:val="18"/>
        </w:rPr>
        <w:t>Table 11. Breakdown of the rest of Man United's players’ grading process</w:t>
      </w:r>
    </w:p>
    <w:p w14:paraId="58221C0B" w14:textId="77777777" w:rsidR="003A3BCA" w:rsidRDefault="008276B6">
      <w:pPr>
        <w:spacing w:line="360" w:lineRule="auto"/>
        <w:ind w:firstLine="720"/>
        <w:jc w:val="both"/>
      </w:pPr>
      <w:r>
        <w:t xml:space="preserve">Table 11 shows how the average grading of the rest of United’s recruitments could be broken down for each season of their spells at the club. At first glance, the most obvious thing is that only one player (Bruno Fernandes) has been given a grade of 4 or more out of 5 for a single season. On the contrary, one could argue that although none of those players received a spectacular grade, almost all of them were very solid performers, giving consistent performances to the club. </w:t>
      </w:r>
    </w:p>
    <w:p w14:paraId="2F9ABE45" w14:textId="051A4675" w:rsidR="003A3BCA" w:rsidRDefault="008276B6">
      <w:pPr>
        <w:spacing w:line="360" w:lineRule="auto"/>
        <w:ind w:firstLine="720"/>
        <w:jc w:val="both"/>
      </w:pPr>
      <w:r>
        <w:t xml:space="preserve">Jadon Sancho’s only spent a season at Manchester United (two with the current one) and what could be said about him is that, given his 85 million EUR price tag, it was a very disappointing season. Despite his great midfield percentiles, his offensive output for an attacking player was very </w:t>
      </w:r>
      <w:r w:rsidR="00E64692">
        <w:t>poor and</w:t>
      </w:r>
      <w:r>
        <w:t xml:space="preserve"> given that attacking midfielders and wingers get 65% of their final grade from their average attacking percentiles, it’s an understatement </w:t>
      </w:r>
      <w:proofErr w:type="gramStart"/>
      <w:r>
        <w:t>why</w:t>
      </w:r>
      <w:proofErr w:type="gramEnd"/>
      <w:r>
        <w:t xml:space="preserve"> his grade </w:t>
      </w:r>
      <w:r>
        <w:lastRenderedPageBreak/>
        <w:t xml:space="preserve">is so low. One assumption, however, which could be turned into a limitation for evaluating attacking midfielders/wingers, is that given that they’re tasked with being the creative players in a team, i.e., to take risks </w:t>
      </w:r>
      <w:proofErr w:type="gramStart"/>
      <w:r>
        <w:t>in order to</w:t>
      </w:r>
      <w:proofErr w:type="gramEnd"/>
      <w:r>
        <w:t xml:space="preserve"> create chances, if the risks they take don’t fully correlate with offensive output, this could lead to them having a skewed grade, entirely in terms of statistical output. What I mean is that although they might be playing excellently, their grade might not 100% reflect this, as from a statistical point of view their grade might be skewed to the left, as the number of risks they take and the consequences they bring might not be 1:1 covered by offensive output. Hence why this also needs consideration when evaluating such players. </w:t>
      </w:r>
    </w:p>
    <w:p w14:paraId="5E822299" w14:textId="77777777" w:rsidR="003A3BCA" w:rsidRDefault="008276B6">
      <w:pPr>
        <w:spacing w:line="360" w:lineRule="auto"/>
        <w:ind w:firstLine="720"/>
        <w:jc w:val="both"/>
      </w:pPr>
      <w:r>
        <w:t xml:space="preserve">When it comes to Romelu Lukaku’s 2-year spell at the club, we could see that he had a relatively good first season at Old Trafford, but his second was very average, as his offensive output was no match for what he did in year 1. What could be said about him, the players analyzed before him, and those who will be analyzed later is that, although they had relatively average/above-average seasons, given the enormous price tags paid for them, this is probably not enough. United spent close to 85 million EUR for the services of Lukaku and it’s quite safe to assume that they expected more than average/above-average performances for 2 seasons only. </w:t>
      </w:r>
    </w:p>
    <w:p w14:paraId="41763700" w14:textId="77777777" w:rsidR="003A3BCA" w:rsidRDefault="008276B6">
      <w:pPr>
        <w:spacing w:line="360" w:lineRule="auto"/>
        <w:ind w:firstLine="720"/>
        <w:jc w:val="both"/>
      </w:pPr>
      <w:r>
        <w:t xml:space="preserve">Bruno Fernandes, bought for 65 million EUR from Sporting Club de Portugal in 2019, has been one of the better performers at the club, as he’s the only one of the non-defensive players who has struck a season grade of 4 or more. However, him being an attacking midfielder/winger, </w:t>
      </w:r>
      <w:proofErr w:type="gramStart"/>
      <w:r>
        <w:t>similar to</w:t>
      </w:r>
      <w:proofErr w:type="gramEnd"/>
      <w:r>
        <w:t xml:space="preserve"> Sancho, means that his grade might be a little downplayed by the nature of the position he plays in. </w:t>
      </w:r>
    </w:p>
    <w:p w14:paraId="6F28D8A8" w14:textId="77777777" w:rsidR="003A3BCA" w:rsidRDefault="008276B6">
      <w:pPr>
        <w:spacing w:line="360" w:lineRule="auto"/>
        <w:ind w:firstLine="720"/>
        <w:jc w:val="both"/>
      </w:pPr>
      <w:r>
        <w:t xml:space="preserve">Fred has probably been the most consistent player, as all his seasons at the club have hovered just around grade 3/5. Bought for 59 million EUR from </w:t>
      </w:r>
      <w:proofErr w:type="spellStart"/>
      <w:r>
        <w:t>Shakhtar</w:t>
      </w:r>
      <w:proofErr w:type="spellEnd"/>
      <w:r>
        <w:t xml:space="preserve"> Donetsk in 2018, United probably expected a little more from him but at least they cannot complain about him being inconsistent. </w:t>
      </w:r>
    </w:p>
    <w:p w14:paraId="0D0CA72F" w14:textId="77777777" w:rsidR="003A3BCA" w:rsidRDefault="008276B6">
      <w:pPr>
        <w:spacing w:line="360" w:lineRule="auto"/>
        <w:ind w:firstLine="720"/>
        <w:jc w:val="both"/>
      </w:pPr>
      <w:r>
        <w:t xml:space="preserve">Nemanja Matic, just like Fred, has had a little deviation from his average grade for his 5-year spell at the club. The Serbian, bought from Chelsea for 45 million EUR has been given an average grade of 2,8 for his services. Although his seasons have been very consistent, they are far from elite and probably some at the recruitment department at United had expected more. </w:t>
      </w:r>
    </w:p>
    <w:p w14:paraId="39767D2F" w14:textId="77777777" w:rsidR="003A3BCA" w:rsidRDefault="008276B6">
      <w:pPr>
        <w:spacing w:line="360" w:lineRule="auto"/>
        <w:ind w:firstLine="720"/>
        <w:jc w:val="both"/>
      </w:pPr>
      <w:r>
        <w:t xml:space="preserve">Finally, Donny van de Beek is one of the signings who’s played the least number of minutes for the club, as per </w:t>
      </w:r>
      <w:proofErr w:type="spellStart"/>
      <w:r>
        <w:t>FBref</w:t>
      </w:r>
      <w:proofErr w:type="spellEnd"/>
      <w:r>
        <w:t xml:space="preserve">. However, whenever he has played, his statistical output suggests that he has </w:t>
      </w:r>
      <w:proofErr w:type="gramStart"/>
      <w:r>
        <w:t>been more or less</w:t>
      </w:r>
      <w:proofErr w:type="gramEnd"/>
      <w:r>
        <w:t xml:space="preserve"> above average. </w:t>
      </w:r>
    </w:p>
    <w:p w14:paraId="11AD3604" w14:textId="77777777" w:rsidR="003A3BCA" w:rsidRDefault="008276B6">
      <w:pPr>
        <w:spacing w:line="360" w:lineRule="auto"/>
        <w:ind w:firstLine="720"/>
        <w:jc w:val="both"/>
      </w:pPr>
      <w:r>
        <w:lastRenderedPageBreak/>
        <w:t xml:space="preserve">This is probably the biggest takeaway from the grading of United’s recruitment over the last 5 years. It’s </w:t>
      </w:r>
      <w:proofErr w:type="gramStart"/>
      <w:r>
        <w:t>definitely been</w:t>
      </w:r>
      <w:proofErr w:type="gramEnd"/>
      <w:r>
        <w:t xml:space="preserve"> either average or above average but given the astronomical amount of money they’ve spent on all these players, alongside the rest who weren’t analyzed, one could definitely argue that Manchester United has failed in this department, as it’s not normal to have spent the most amount of money of every club in Europe since 2017, and to still only get average performances from your players. Yes, there are limitations to the model, especially when it comes to creative players and defenders. Yes, the sample size is not as large as one could want, but still – the numbers suggest that United need to improve when it comes to its recruitment system, or if they feel its scouting process is good – they need to be able to negotiate better, as constantly buying on premium for mediocre services is a recipe for failure. Even at an institution like Manchester United. </w:t>
      </w:r>
    </w:p>
    <w:p w14:paraId="3CFDE4EF" w14:textId="755006E3" w:rsidR="003A3BCA" w:rsidRPr="00F04DDA" w:rsidRDefault="008276B6" w:rsidP="00F04DDA">
      <w:pPr>
        <w:pStyle w:val="Heading2"/>
        <w:jc w:val="both"/>
        <w:rPr>
          <w:rFonts w:ascii="Times New Roman" w:hAnsi="Times New Roman" w:cs="Times New Roman"/>
        </w:rPr>
      </w:pPr>
      <w:bookmarkStart w:id="15" w:name="_Toc136274673"/>
      <w:r w:rsidRPr="00F04DDA">
        <w:rPr>
          <w:rFonts w:ascii="Times New Roman" w:hAnsi="Times New Roman" w:cs="Times New Roman"/>
        </w:rPr>
        <w:t xml:space="preserve">2.2. </w:t>
      </w:r>
      <w:r w:rsidR="00C750C4">
        <w:rPr>
          <w:rFonts w:ascii="Times New Roman" w:hAnsi="Times New Roman" w:cs="Times New Roman"/>
        </w:rPr>
        <w:t>Mixed</w:t>
      </w:r>
      <w:r w:rsidR="0094269D">
        <w:rPr>
          <w:rFonts w:ascii="Times New Roman" w:hAnsi="Times New Roman" w:cs="Times New Roman"/>
        </w:rPr>
        <w:t xml:space="preserve"> data-based</w:t>
      </w:r>
      <w:r w:rsidRPr="00F04DDA">
        <w:rPr>
          <w:rFonts w:ascii="Times New Roman" w:hAnsi="Times New Roman" w:cs="Times New Roman"/>
        </w:rPr>
        <w:t xml:space="preserve"> approach – Survey among Manchester United’s supporters</w:t>
      </w:r>
      <w:bookmarkEnd w:id="15"/>
    </w:p>
    <w:p w14:paraId="7344887A" w14:textId="77777777" w:rsidR="003A3BCA" w:rsidRDefault="008276B6">
      <w:pPr>
        <w:spacing w:line="360" w:lineRule="auto"/>
        <w:ind w:firstLine="720"/>
        <w:jc w:val="both"/>
      </w:pPr>
      <w:r>
        <w:t xml:space="preserve">As mentioned above, survey data will be used to gather insight into Manchester United’s transfer policy, as well as the overall experiences of the club’s fans during the period 2017-2022. Using a questionnaire is vital as it allows for a deeper understanding of the current problems at the club, and what could be done to overcome them, from the fans’ perspective. </w:t>
      </w:r>
    </w:p>
    <w:p w14:paraId="2734A07D" w14:textId="77777777" w:rsidR="003A3BCA" w:rsidRDefault="008276B6">
      <w:pPr>
        <w:spacing w:line="360" w:lineRule="auto"/>
        <w:ind w:firstLine="720"/>
        <w:jc w:val="both"/>
      </w:pPr>
      <w:r>
        <w:t xml:space="preserve">163 people in total responded to the survey, which was distributed in an official Manchester United supporters’ group on Facebook with around 1800 members. The supporters’ group is to be officially credited by Manchester United F.C. in the upcoming weeks/months, as per an official statement by one of the admins/creators of the supporters’ trust. </w:t>
      </w:r>
    </w:p>
    <w:p w14:paraId="28FDB21B" w14:textId="77777777" w:rsidR="003A3BCA" w:rsidRDefault="008276B6">
      <w:pPr>
        <w:spacing w:line="360" w:lineRule="auto"/>
        <w:ind w:firstLine="720"/>
        <w:jc w:val="both"/>
      </w:pPr>
      <w:r>
        <w:t xml:space="preserve">So, beginning with the demographic description of the respondents, as it could be guessed, almost all of them are male – 94,5% vs 5,5% female respondents (154 male vs 9 female respondents in absolute terms). When it comes to age distribution, the biggest share (49,7%) are between the ages of 30 and 49, with the second biggest share (41,1%) is of ages between the ages of 19 and 29; just over 6% of the respondents were under the age of 18. </w:t>
      </w:r>
    </w:p>
    <w:p w14:paraId="27A66F5B" w14:textId="5EEE3C37" w:rsidR="003A3BCA" w:rsidRDefault="008276B6">
      <w:pPr>
        <w:spacing w:line="360" w:lineRule="auto"/>
        <w:ind w:firstLine="720"/>
        <w:jc w:val="both"/>
      </w:pPr>
      <w:r>
        <w:t xml:space="preserve">Figure </w:t>
      </w:r>
      <w:r w:rsidR="00E42095">
        <w:t>7</w:t>
      </w:r>
      <w:r>
        <w:t xml:space="preserve"> shows the distribution among the surveyed sample, in terms of when they began supporting the club. The biggest share (38%) is of people who have been supporting United for the past 16 to 25 years, the second biggest (27,6%) for 11 to 15 years, and the third biggest (22,2%) for 26 to 39 years. It’s a rather diverse range, which implies that the supporters who took part in the survey have experienced both similar and different emotions during their fandom of the club. Almost all of them have been involved emotionally with the club for a large part of their lives. The longer they have been engaged with the club emotionally, the more </w:t>
      </w:r>
      <w:r>
        <w:lastRenderedPageBreak/>
        <w:t xml:space="preserve">they have gone through and the wider their horizon, in terms of what has gone wrong at the club since they have seen both the good, the bad, and the ugly while supporting it. </w:t>
      </w:r>
    </w:p>
    <w:p w14:paraId="370ABCB8" w14:textId="77777777" w:rsidR="003A3BCA" w:rsidRDefault="008276B6">
      <w:r>
        <w:rPr>
          <w:noProof/>
        </w:rPr>
        <w:drawing>
          <wp:inline distT="0" distB="0" distL="0" distR="0" wp14:anchorId="57237798" wp14:editId="06AFE700">
            <wp:extent cx="5731510" cy="3541395"/>
            <wp:effectExtent l="0" t="0" r="0" b="0"/>
            <wp:docPr id="20"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7"/>
                    <a:srcRect/>
                    <a:stretch>
                      <a:fillRect/>
                    </a:stretch>
                  </pic:blipFill>
                  <pic:spPr>
                    <a:xfrm>
                      <a:off x="0" y="0"/>
                      <a:ext cx="5731510" cy="3541395"/>
                    </a:xfrm>
                    <a:prstGeom prst="rect">
                      <a:avLst/>
                    </a:prstGeom>
                    <a:ln/>
                  </pic:spPr>
                </pic:pic>
              </a:graphicData>
            </a:graphic>
          </wp:inline>
        </w:drawing>
      </w:r>
    </w:p>
    <w:p w14:paraId="31F69D56" w14:textId="77777777" w:rsidR="003A3BCA" w:rsidRDefault="008276B6">
      <w:pPr>
        <w:pBdr>
          <w:top w:val="nil"/>
          <w:left w:val="nil"/>
          <w:bottom w:val="nil"/>
          <w:right w:val="nil"/>
          <w:between w:val="nil"/>
        </w:pBdr>
        <w:spacing w:after="200"/>
        <w:rPr>
          <w:rFonts w:ascii="Calibri" w:eastAsia="Calibri" w:hAnsi="Calibri" w:cs="Calibri"/>
          <w:i/>
          <w:color w:val="44546A"/>
          <w:sz w:val="18"/>
          <w:szCs w:val="18"/>
        </w:rPr>
      </w:pPr>
      <w:r>
        <w:rPr>
          <w:rFonts w:ascii="Calibri" w:eastAsia="Calibri" w:hAnsi="Calibri" w:cs="Calibri"/>
          <w:i/>
          <w:color w:val="44546A"/>
          <w:sz w:val="18"/>
          <w:szCs w:val="18"/>
        </w:rPr>
        <w:t>Figure 7. Breakdown of when respondents began supporting Manchester United.</w:t>
      </w:r>
    </w:p>
    <w:p w14:paraId="5CFEB273" w14:textId="77777777" w:rsidR="003A3BCA" w:rsidRDefault="008276B6">
      <w:pPr>
        <w:spacing w:line="360" w:lineRule="auto"/>
        <w:ind w:firstLine="720"/>
        <w:jc w:val="both"/>
      </w:pPr>
      <w:r>
        <w:t xml:space="preserve">Although the respondents became fans of Manchester United at different stages of their lives, a very large number of them share the same reason as to why they began supporting the club – it’s football players. </w:t>
      </w:r>
    </w:p>
    <w:p w14:paraId="3210C72F" w14:textId="77777777" w:rsidR="003A3BCA" w:rsidRDefault="008276B6">
      <w:pPr>
        <w:keepNext/>
      </w:pPr>
      <w:r>
        <w:rPr>
          <w:noProof/>
        </w:rPr>
        <w:drawing>
          <wp:inline distT="0" distB="0" distL="0" distR="0" wp14:anchorId="253DAA3E" wp14:editId="49B8CBB0">
            <wp:extent cx="5731510" cy="3541395"/>
            <wp:effectExtent l="0" t="0" r="0" b="0"/>
            <wp:docPr id="19" name="image8.png" descr="Graphical user interface, chart,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8.png" descr="Graphical user interface, chart, application&#10;&#10;Description automatically generated"/>
                    <pic:cNvPicPr preferRelativeResize="0"/>
                  </pic:nvPicPr>
                  <pic:blipFill>
                    <a:blip r:embed="rId18"/>
                    <a:srcRect/>
                    <a:stretch>
                      <a:fillRect/>
                    </a:stretch>
                  </pic:blipFill>
                  <pic:spPr>
                    <a:xfrm>
                      <a:off x="0" y="0"/>
                      <a:ext cx="5731510" cy="3541395"/>
                    </a:xfrm>
                    <a:prstGeom prst="rect">
                      <a:avLst/>
                    </a:prstGeom>
                    <a:ln/>
                  </pic:spPr>
                </pic:pic>
              </a:graphicData>
            </a:graphic>
          </wp:inline>
        </w:drawing>
      </w:r>
    </w:p>
    <w:p w14:paraId="48B63502" w14:textId="77777777" w:rsidR="003A3BCA" w:rsidRDefault="008276B6">
      <w:pPr>
        <w:pBdr>
          <w:top w:val="nil"/>
          <w:left w:val="nil"/>
          <w:bottom w:val="nil"/>
          <w:right w:val="nil"/>
          <w:between w:val="nil"/>
        </w:pBdr>
        <w:spacing w:after="200"/>
        <w:rPr>
          <w:rFonts w:ascii="Calibri" w:eastAsia="Calibri" w:hAnsi="Calibri" w:cs="Calibri"/>
          <w:i/>
          <w:color w:val="44546A"/>
          <w:sz w:val="18"/>
          <w:szCs w:val="18"/>
        </w:rPr>
      </w:pPr>
      <w:r>
        <w:rPr>
          <w:rFonts w:ascii="Calibri" w:eastAsia="Calibri" w:hAnsi="Calibri" w:cs="Calibri"/>
          <w:i/>
          <w:color w:val="44546A"/>
          <w:sz w:val="18"/>
          <w:szCs w:val="18"/>
        </w:rPr>
        <w:t>Figure 8. Breakdown of the reasons to support Man United</w:t>
      </w:r>
    </w:p>
    <w:p w14:paraId="111C6CE4" w14:textId="0A48CD26" w:rsidR="003A3BCA" w:rsidRDefault="008276B6">
      <w:pPr>
        <w:spacing w:line="360" w:lineRule="auto"/>
        <w:ind w:firstLine="720"/>
        <w:jc w:val="both"/>
      </w:pPr>
      <w:r>
        <w:lastRenderedPageBreak/>
        <w:t xml:space="preserve">This question allowed for </w:t>
      </w:r>
      <w:r w:rsidR="00E42095">
        <w:t>any</w:t>
      </w:r>
      <w:r>
        <w:t xml:space="preserve"> answers </w:t>
      </w:r>
      <w:r w:rsidR="00E42095">
        <w:t>(it was open ended and answers were divided into separate categories by keywords</w:t>
      </w:r>
      <w:r w:rsidR="005858CE">
        <w:t>),</w:t>
      </w:r>
      <w:r w:rsidR="00E42095">
        <w:t xml:space="preserve"> </w:t>
      </w:r>
      <w:r>
        <w:t xml:space="preserve">and the club’s players and historical achievements were the key reasons as to why they became United fans in the first place. One could argue that the first three leading reasons could be described as “aura”, and that United’s aura is why the club is so well-supported, even in not-so-good times for it. Moreover, these reasons imply, or better put, solidify the premises from the SWOT analysis that United’s brand awareness is one of the best in the football world, given that the club </w:t>
      </w:r>
      <w:proofErr w:type="gramStart"/>
      <w:r>
        <w:t>is able to</w:t>
      </w:r>
      <w:proofErr w:type="gramEnd"/>
      <w:r>
        <w:t xml:space="preserve"> attract the best players, which in turn attract more and more fans, which lead to better financial performance, in terms of revenue from merchandise and matchday revenue.</w:t>
      </w:r>
    </w:p>
    <w:p w14:paraId="0A8A0E2B" w14:textId="77777777" w:rsidR="003A3BCA" w:rsidRDefault="008276B6">
      <w:pPr>
        <w:keepNext/>
      </w:pPr>
      <w:r>
        <w:rPr>
          <w:noProof/>
        </w:rPr>
        <w:drawing>
          <wp:inline distT="0" distB="0" distL="0" distR="0" wp14:anchorId="516AFD7F" wp14:editId="108BD3D2">
            <wp:extent cx="5731510" cy="3541395"/>
            <wp:effectExtent l="0" t="0" r="0" b="0"/>
            <wp:docPr id="23" name="image2.png" descr="Graphical user interface,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Graphical user interface, application&#10;&#10;Description automatically generated"/>
                    <pic:cNvPicPr preferRelativeResize="0"/>
                  </pic:nvPicPr>
                  <pic:blipFill>
                    <a:blip r:embed="rId19"/>
                    <a:srcRect/>
                    <a:stretch>
                      <a:fillRect/>
                    </a:stretch>
                  </pic:blipFill>
                  <pic:spPr>
                    <a:xfrm>
                      <a:off x="0" y="0"/>
                      <a:ext cx="5731510" cy="3541395"/>
                    </a:xfrm>
                    <a:prstGeom prst="rect">
                      <a:avLst/>
                    </a:prstGeom>
                    <a:ln/>
                  </pic:spPr>
                </pic:pic>
              </a:graphicData>
            </a:graphic>
          </wp:inline>
        </w:drawing>
      </w:r>
    </w:p>
    <w:p w14:paraId="6D4E48F5" w14:textId="77777777" w:rsidR="003A3BCA" w:rsidRDefault="008276B6">
      <w:pPr>
        <w:pBdr>
          <w:top w:val="nil"/>
          <w:left w:val="nil"/>
          <w:bottom w:val="nil"/>
          <w:right w:val="nil"/>
          <w:between w:val="nil"/>
        </w:pBdr>
        <w:spacing w:after="200"/>
        <w:rPr>
          <w:rFonts w:ascii="Calibri" w:eastAsia="Calibri" w:hAnsi="Calibri" w:cs="Calibri"/>
          <w:i/>
          <w:color w:val="44546A"/>
          <w:sz w:val="18"/>
          <w:szCs w:val="18"/>
        </w:rPr>
      </w:pPr>
      <w:r>
        <w:rPr>
          <w:rFonts w:ascii="Calibri" w:eastAsia="Calibri" w:hAnsi="Calibri" w:cs="Calibri"/>
          <w:i/>
          <w:color w:val="44546A"/>
          <w:sz w:val="18"/>
          <w:szCs w:val="18"/>
        </w:rPr>
        <w:t>Figure 9. Breakdown of the reasons for the lack of recent success at Man United</w:t>
      </w:r>
    </w:p>
    <w:p w14:paraId="6F51C7D3" w14:textId="76D72D4F" w:rsidR="003A3BCA" w:rsidRDefault="008276B6">
      <w:pPr>
        <w:spacing w:line="360" w:lineRule="auto"/>
        <w:ind w:firstLine="720"/>
        <w:jc w:val="both"/>
      </w:pPr>
      <w:r>
        <w:t xml:space="preserve">Figure </w:t>
      </w:r>
      <w:r w:rsidR="00B81760">
        <w:t xml:space="preserve">9 </w:t>
      </w:r>
      <w:r>
        <w:t xml:space="preserve">shows what the surveyed supporters feel are the major reasons for the lack of success at Manchester United, despite the heavy investment in the last 5 years. Almost all (88%) respondents have </w:t>
      </w:r>
      <w:r w:rsidR="00E42095">
        <w:t>in one way, or another indicated</w:t>
      </w:r>
      <w:r>
        <w:t xml:space="preserve"> that the core issues that stop United from being successful on the pitch are within the management of the club. Other heavily </w:t>
      </w:r>
      <w:r w:rsidR="00E42095">
        <w:t>indicated</w:t>
      </w:r>
      <w:r>
        <w:t xml:space="preserve"> reasons include bad recruitment approach, lack of leadership (on and off the field), and lack of ability of recruited players. What could be extracted as conclusions from this graph is that United’s evident problems of not being able to recruit correctly are also felt by the fans of the club, not only by the statistics. One could argue that United’s inadequate recruitment approach has led to the signing of not-so-good players, which, consequently, harms the club’s competitiveness, as well as brand awareness. As per Figure </w:t>
      </w:r>
      <w:r w:rsidR="00E42095">
        <w:t>8</w:t>
      </w:r>
      <w:r>
        <w:t xml:space="preserve">, United’s great players are the </w:t>
      </w:r>
      <w:r>
        <w:lastRenderedPageBreak/>
        <w:t xml:space="preserve">main reason for the club to gain a lot of fans. If, nowadays, the players recruited are not up to the desired level, this means that the club loses its ability to be as attractive to the neutral fans, as they once were. Moreover, it also messes with the expectations of the players about the players the club buys, as well as the club itself. What is implied here is that if the club consistently buys players on a premium, it artificially inflates fans’ expectations about the players’ ability and what could be expected from the club for that particular year. And when the season ends, the drop, from the fans’ perspective, from expectations to reality is much bigger than it should be. Moreover, given that this is not a phenomenon, but rather a very consistent seeing for the last 5-10 years, it could be argued that Manchester United’s supporters are now having much less expectations of the club in general, and are much more susceptible to be satisfied with a top-4 finish than they were 15 years ago, when they were constantly winning the English Premier League and advancing to the final stages of the UEFA Champions League. It’s also interesting to note that around half of the respondents have suggested that there is a lack of leadership among Manchester United’s players and managers. This could be used as a “filter” when recruiting for new talent, i.e., recruiting for more experienced players, maybe even on the older side. Given all technologies that are now being implemented in football, signing older and more experienced players is definitely a much more viable and logical option nowadays, as player nutrition and health optimization are on a level that’s never been seen before. What could be derived from this graph, in terms of future suggestions, is that the club should prioritize smart recruitment, ideally buying more leaders who can constantly perform, and focus on improving the way the management of the club functions. One could argue that all these are linked and interdependent, which is a valid point, and could mean that fixing one might allow for the rest to fall in place as well. </w:t>
      </w:r>
    </w:p>
    <w:p w14:paraId="2F6BEE5A" w14:textId="77777777" w:rsidR="003A3BCA" w:rsidRDefault="008276B6">
      <w:pPr>
        <w:spacing w:line="360" w:lineRule="auto"/>
        <w:ind w:firstLine="720"/>
        <w:jc w:val="both"/>
      </w:pPr>
      <w:r>
        <w:t xml:space="preserve">The main takeaways from the survey results so far show that Manchester United’s supporters unite around the idea that there are crucial issues that need addressing around the club’s management and recruitment system, as one of the main strengths of the club (their football players) is not as strong, in terms of being able to attract as many new fans as it used. Moreover, the fans also agree that the expectations around the club are not the same as they once were. </w:t>
      </w:r>
    </w:p>
    <w:p w14:paraId="5AA3C08B" w14:textId="77777777" w:rsidR="003A3BCA" w:rsidRDefault="008276B6">
      <w:pPr>
        <w:spacing w:line="360" w:lineRule="auto"/>
        <w:ind w:firstLine="720"/>
        <w:jc w:val="both"/>
      </w:pPr>
      <w:r>
        <w:t xml:space="preserve">The respondents of the survey were also tasked with evaluating the performance of the same players whose performances were evaluated by the PEM. More specifically, the respondents were informed about each player’s grade received by the PEM, and they had to choose whether they agreed with said grade, and if not – they were able to put a grade that best describes their evaluation of said player’s performances for Man United. </w:t>
      </w:r>
    </w:p>
    <w:p w14:paraId="571E8A22" w14:textId="77777777" w:rsidR="003A3BCA" w:rsidRDefault="008276B6">
      <w:pPr>
        <w:spacing w:line="360" w:lineRule="auto"/>
        <w:ind w:firstLine="720"/>
        <w:jc w:val="both"/>
      </w:pPr>
      <w:r>
        <w:lastRenderedPageBreak/>
        <w:t xml:space="preserve">Table 12 shows each player evaluated by PEM and how the respondents evaluated the PEM, in terms of percentage of agreement with each grade. </w:t>
      </w:r>
    </w:p>
    <w:p w14:paraId="49A61AEF" w14:textId="77777777" w:rsidR="003A3BCA" w:rsidRDefault="003A3BCA">
      <w:pPr>
        <w:spacing w:line="360" w:lineRule="auto"/>
        <w:ind w:firstLine="720"/>
        <w:jc w:val="both"/>
      </w:pPr>
    </w:p>
    <w:tbl>
      <w:tblPr>
        <w:tblStyle w:val="aa"/>
        <w:tblW w:w="8928" w:type="dxa"/>
        <w:tblLayout w:type="fixed"/>
        <w:tblLook w:val="0400" w:firstRow="0" w:lastRow="0" w:firstColumn="0" w:lastColumn="0" w:noHBand="0" w:noVBand="1"/>
      </w:tblPr>
      <w:tblGrid>
        <w:gridCol w:w="2841"/>
        <w:gridCol w:w="2953"/>
        <w:gridCol w:w="1466"/>
        <w:gridCol w:w="1668"/>
      </w:tblGrid>
      <w:tr w:rsidR="003A3BCA" w14:paraId="213227F3" w14:textId="77777777">
        <w:trPr>
          <w:trHeight w:val="361"/>
        </w:trPr>
        <w:tc>
          <w:tcPr>
            <w:tcW w:w="2841" w:type="dxa"/>
            <w:tcBorders>
              <w:top w:val="single" w:sz="6" w:space="0" w:color="000000"/>
              <w:left w:val="single" w:sz="6" w:space="0" w:color="000000"/>
              <w:bottom w:val="single" w:sz="6" w:space="0" w:color="000000"/>
              <w:right w:val="single" w:sz="6" w:space="0" w:color="000000"/>
            </w:tcBorders>
            <w:tcMar>
              <w:top w:w="30" w:type="dxa"/>
              <w:left w:w="45" w:type="dxa"/>
              <w:bottom w:w="30" w:type="dxa"/>
              <w:right w:w="45" w:type="dxa"/>
            </w:tcMar>
            <w:vAlign w:val="bottom"/>
          </w:tcPr>
          <w:p w14:paraId="046421D6" w14:textId="77777777" w:rsidR="003A3BCA" w:rsidRDefault="008276B6">
            <w:pPr>
              <w:jc w:val="center"/>
              <w:rPr>
                <w:rFonts w:ascii="Arial" w:eastAsia="Arial" w:hAnsi="Arial" w:cs="Arial"/>
                <w:b/>
                <w:sz w:val="22"/>
                <w:szCs w:val="22"/>
              </w:rPr>
            </w:pPr>
            <w:r>
              <w:rPr>
                <w:rFonts w:ascii="Arial" w:eastAsia="Arial" w:hAnsi="Arial" w:cs="Arial"/>
                <w:b/>
                <w:sz w:val="22"/>
                <w:szCs w:val="22"/>
              </w:rPr>
              <w:t>Player Name</w:t>
            </w:r>
          </w:p>
        </w:tc>
        <w:tc>
          <w:tcPr>
            <w:tcW w:w="2953" w:type="dxa"/>
            <w:tcBorders>
              <w:top w:val="single" w:sz="6" w:space="0" w:color="000000"/>
              <w:bottom w:val="single" w:sz="6" w:space="0" w:color="000000"/>
              <w:right w:val="single" w:sz="6" w:space="0" w:color="000000"/>
            </w:tcBorders>
            <w:tcMar>
              <w:top w:w="30" w:type="dxa"/>
              <w:left w:w="45" w:type="dxa"/>
              <w:bottom w:w="30" w:type="dxa"/>
              <w:right w:w="45" w:type="dxa"/>
            </w:tcMar>
            <w:vAlign w:val="bottom"/>
          </w:tcPr>
          <w:p w14:paraId="1072CE82" w14:textId="77777777" w:rsidR="003A3BCA" w:rsidRDefault="008276B6">
            <w:pPr>
              <w:jc w:val="center"/>
              <w:rPr>
                <w:rFonts w:ascii="Arial" w:eastAsia="Arial" w:hAnsi="Arial" w:cs="Arial"/>
                <w:b/>
                <w:sz w:val="22"/>
                <w:szCs w:val="22"/>
              </w:rPr>
            </w:pPr>
            <w:r>
              <w:rPr>
                <w:rFonts w:ascii="Arial" w:eastAsia="Arial" w:hAnsi="Arial" w:cs="Arial"/>
                <w:b/>
                <w:sz w:val="22"/>
                <w:szCs w:val="22"/>
              </w:rPr>
              <w:t>Position</w:t>
            </w:r>
          </w:p>
        </w:tc>
        <w:tc>
          <w:tcPr>
            <w:tcW w:w="1466" w:type="dxa"/>
            <w:tcBorders>
              <w:top w:val="single" w:sz="6" w:space="0" w:color="000000"/>
              <w:bottom w:val="single" w:sz="6" w:space="0" w:color="000000"/>
              <w:right w:val="single" w:sz="6" w:space="0" w:color="000000"/>
            </w:tcBorders>
            <w:tcMar>
              <w:top w:w="30" w:type="dxa"/>
              <w:left w:w="45" w:type="dxa"/>
              <w:bottom w:w="30" w:type="dxa"/>
              <w:right w:w="45" w:type="dxa"/>
            </w:tcMar>
            <w:vAlign w:val="bottom"/>
          </w:tcPr>
          <w:p w14:paraId="1F691ACF" w14:textId="77777777" w:rsidR="003A3BCA" w:rsidRDefault="008276B6">
            <w:pPr>
              <w:jc w:val="center"/>
              <w:rPr>
                <w:rFonts w:ascii="Arial" w:eastAsia="Arial" w:hAnsi="Arial" w:cs="Arial"/>
                <w:b/>
                <w:sz w:val="22"/>
                <w:szCs w:val="22"/>
              </w:rPr>
            </w:pPr>
            <w:r>
              <w:rPr>
                <w:rFonts w:ascii="Arial" w:eastAsia="Arial" w:hAnsi="Arial" w:cs="Arial"/>
                <w:b/>
                <w:sz w:val="22"/>
                <w:szCs w:val="22"/>
              </w:rPr>
              <w:t>Grade</w:t>
            </w:r>
          </w:p>
        </w:tc>
        <w:tc>
          <w:tcPr>
            <w:tcW w:w="1668" w:type="dxa"/>
            <w:tcBorders>
              <w:top w:val="single" w:sz="6" w:space="0" w:color="000000"/>
              <w:bottom w:val="single" w:sz="6" w:space="0" w:color="000000"/>
              <w:right w:val="single" w:sz="6" w:space="0" w:color="000000"/>
            </w:tcBorders>
            <w:tcMar>
              <w:top w:w="30" w:type="dxa"/>
              <w:left w:w="45" w:type="dxa"/>
              <w:bottom w:w="30" w:type="dxa"/>
              <w:right w:w="45" w:type="dxa"/>
            </w:tcMar>
            <w:vAlign w:val="bottom"/>
          </w:tcPr>
          <w:p w14:paraId="1E3638EA" w14:textId="77777777" w:rsidR="003A3BCA" w:rsidRDefault="008276B6">
            <w:pPr>
              <w:jc w:val="center"/>
              <w:rPr>
                <w:rFonts w:ascii="Arial" w:eastAsia="Arial" w:hAnsi="Arial" w:cs="Arial"/>
                <w:b/>
                <w:sz w:val="22"/>
                <w:szCs w:val="22"/>
              </w:rPr>
            </w:pPr>
            <w:r>
              <w:rPr>
                <w:rFonts w:ascii="Arial" w:eastAsia="Arial" w:hAnsi="Arial" w:cs="Arial"/>
                <w:b/>
                <w:sz w:val="22"/>
                <w:szCs w:val="22"/>
              </w:rPr>
              <w:t>I Agree %</w:t>
            </w:r>
          </w:p>
        </w:tc>
      </w:tr>
      <w:tr w:rsidR="003A3BCA" w14:paraId="0314405D" w14:textId="77777777">
        <w:trPr>
          <w:trHeight w:val="361"/>
        </w:trPr>
        <w:tc>
          <w:tcPr>
            <w:tcW w:w="2841" w:type="dxa"/>
            <w:tcBorders>
              <w:left w:val="single" w:sz="6" w:space="0" w:color="000000"/>
              <w:bottom w:val="single" w:sz="6" w:space="0" w:color="000000"/>
              <w:right w:val="single" w:sz="6" w:space="0" w:color="000000"/>
            </w:tcBorders>
            <w:tcMar>
              <w:top w:w="30" w:type="dxa"/>
              <w:left w:w="45" w:type="dxa"/>
              <w:bottom w:w="30" w:type="dxa"/>
              <w:right w:w="45" w:type="dxa"/>
            </w:tcMar>
            <w:vAlign w:val="bottom"/>
          </w:tcPr>
          <w:p w14:paraId="1C335EEF" w14:textId="77777777" w:rsidR="003A3BCA" w:rsidRDefault="008276B6">
            <w:pPr>
              <w:rPr>
                <w:rFonts w:ascii="Arial" w:eastAsia="Arial" w:hAnsi="Arial" w:cs="Arial"/>
                <w:sz w:val="20"/>
                <w:szCs w:val="20"/>
              </w:rPr>
            </w:pPr>
            <w:r>
              <w:rPr>
                <w:rFonts w:ascii="Arial" w:eastAsia="Arial" w:hAnsi="Arial" w:cs="Arial"/>
                <w:sz w:val="20"/>
                <w:szCs w:val="20"/>
              </w:rPr>
              <w:t>Paul Pogba</w:t>
            </w:r>
          </w:p>
        </w:tc>
        <w:tc>
          <w:tcPr>
            <w:tcW w:w="2953" w:type="dxa"/>
            <w:tcBorders>
              <w:bottom w:val="single" w:sz="6" w:space="0" w:color="000000"/>
              <w:right w:val="single" w:sz="6" w:space="0" w:color="000000"/>
            </w:tcBorders>
            <w:tcMar>
              <w:top w:w="30" w:type="dxa"/>
              <w:left w:w="45" w:type="dxa"/>
              <w:bottom w:w="30" w:type="dxa"/>
              <w:right w:w="45" w:type="dxa"/>
            </w:tcMar>
            <w:vAlign w:val="bottom"/>
          </w:tcPr>
          <w:p w14:paraId="79CDBF80" w14:textId="77777777" w:rsidR="003A3BCA" w:rsidRDefault="008276B6">
            <w:pPr>
              <w:rPr>
                <w:rFonts w:ascii="Arial" w:eastAsia="Arial" w:hAnsi="Arial" w:cs="Arial"/>
                <w:sz w:val="20"/>
                <w:szCs w:val="20"/>
              </w:rPr>
            </w:pPr>
            <w:r>
              <w:rPr>
                <w:rFonts w:ascii="Arial" w:eastAsia="Arial" w:hAnsi="Arial" w:cs="Arial"/>
                <w:sz w:val="20"/>
                <w:szCs w:val="20"/>
              </w:rPr>
              <w:t>Midfielder</w:t>
            </w:r>
          </w:p>
        </w:tc>
        <w:tc>
          <w:tcPr>
            <w:tcW w:w="1466" w:type="dxa"/>
            <w:tcBorders>
              <w:bottom w:val="single" w:sz="6" w:space="0" w:color="000000"/>
              <w:right w:val="single" w:sz="6" w:space="0" w:color="000000"/>
            </w:tcBorders>
            <w:tcMar>
              <w:top w:w="30" w:type="dxa"/>
              <w:left w:w="45" w:type="dxa"/>
              <w:bottom w:w="30" w:type="dxa"/>
              <w:right w:w="45" w:type="dxa"/>
            </w:tcMar>
            <w:vAlign w:val="bottom"/>
          </w:tcPr>
          <w:p w14:paraId="6538990B" w14:textId="77777777" w:rsidR="003A3BCA" w:rsidRDefault="008276B6">
            <w:pPr>
              <w:jc w:val="right"/>
              <w:rPr>
                <w:rFonts w:ascii="Arial" w:eastAsia="Arial" w:hAnsi="Arial" w:cs="Arial"/>
                <w:sz w:val="20"/>
                <w:szCs w:val="20"/>
              </w:rPr>
            </w:pPr>
            <w:r>
              <w:rPr>
                <w:rFonts w:ascii="Arial" w:eastAsia="Arial" w:hAnsi="Arial" w:cs="Arial"/>
                <w:sz w:val="20"/>
                <w:szCs w:val="20"/>
              </w:rPr>
              <w:t>3,6</w:t>
            </w:r>
          </w:p>
        </w:tc>
        <w:tc>
          <w:tcPr>
            <w:tcW w:w="1668" w:type="dxa"/>
            <w:tcBorders>
              <w:bottom w:val="single" w:sz="6" w:space="0" w:color="000000"/>
              <w:right w:val="single" w:sz="6" w:space="0" w:color="000000"/>
            </w:tcBorders>
            <w:tcMar>
              <w:top w:w="30" w:type="dxa"/>
              <w:left w:w="45" w:type="dxa"/>
              <w:bottom w:w="30" w:type="dxa"/>
              <w:right w:w="45" w:type="dxa"/>
            </w:tcMar>
            <w:vAlign w:val="bottom"/>
          </w:tcPr>
          <w:p w14:paraId="47542B77" w14:textId="77777777" w:rsidR="003A3BCA" w:rsidRDefault="008276B6">
            <w:pPr>
              <w:jc w:val="right"/>
              <w:rPr>
                <w:rFonts w:ascii="Arial" w:eastAsia="Arial" w:hAnsi="Arial" w:cs="Arial"/>
                <w:sz w:val="20"/>
                <w:szCs w:val="20"/>
              </w:rPr>
            </w:pPr>
            <w:r>
              <w:rPr>
                <w:rFonts w:ascii="Arial" w:eastAsia="Arial" w:hAnsi="Arial" w:cs="Arial"/>
                <w:sz w:val="20"/>
                <w:szCs w:val="20"/>
              </w:rPr>
              <w:t>51,6%</w:t>
            </w:r>
          </w:p>
        </w:tc>
      </w:tr>
      <w:tr w:rsidR="003A3BCA" w14:paraId="40109C39" w14:textId="77777777">
        <w:trPr>
          <w:trHeight w:val="361"/>
        </w:trPr>
        <w:tc>
          <w:tcPr>
            <w:tcW w:w="2841" w:type="dxa"/>
            <w:tcBorders>
              <w:left w:val="single" w:sz="6" w:space="0" w:color="000000"/>
              <w:bottom w:val="single" w:sz="6" w:space="0" w:color="000000"/>
              <w:right w:val="single" w:sz="6" w:space="0" w:color="000000"/>
            </w:tcBorders>
            <w:shd w:val="clear" w:color="auto" w:fill="EA9999"/>
            <w:tcMar>
              <w:top w:w="30" w:type="dxa"/>
              <w:left w:w="45" w:type="dxa"/>
              <w:bottom w:w="30" w:type="dxa"/>
              <w:right w:w="45" w:type="dxa"/>
            </w:tcMar>
            <w:vAlign w:val="bottom"/>
          </w:tcPr>
          <w:p w14:paraId="3AF5D1E1" w14:textId="77777777" w:rsidR="003A3BCA" w:rsidRDefault="008276B6">
            <w:pPr>
              <w:rPr>
                <w:rFonts w:ascii="Arial" w:eastAsia="Arial" w:hAnsi="Arial" w:cs="Arial"/>
                <w:sz w:val="20"/>
                <w:szCs w:val="20"/>
              </w:rPr>
            </w:pPr>
            <w:r>
              <w:rPr>
                <w:rFonts w:ascii="Arial" w:eastAsia="Arial" w:hAnsi="Arial" w:cs="Arial"/>
                <w:sz w:val="20"/>
                <w:szCs w:val="20"/>
              </w:rPr>
              <w:t>Harry Maguire</w:t>
            </w:r>
          </w:p>
        </w:tc>
        <w:tc>
          <w:tcPr>
            <w:tcW w:w="2953" w:type="dxa"/>
            <w:tcBorders>
              <w:bottom w:val="single" w:sz="6" w:space="0" w:color="000000"/>
              <w:right w:val="single" w:sz="6" w:space="0" w:color="000000"/>
            </w:tcBorders>
            <w:shd w:val="clear" w:color="auto" w:fill="EA9999"/>
            <w:tcMar>
              <w:top w:w="30" w:type="dxa"/>
              <w:left w:w="45" w:type="dxa"/>
              <w:bottom w:w="30" w:type="dxa"/>
              <w:right w:w="45" w:type="dxa"/>
            </w:tcMar>
            <w:vAlign w:val="bottom"/>
          </w:tcPr>
          <w:p w14:paraId="03817106" w14:textId="77777777" w:rsidR="003A3BCA" w:rsidRDefault="008276B6">
            <w:pPr>
              <w:rPr>
                <w:rFonts w:ascii="Arial" w:eastAsia="Arial" w:hAnsi="Arial" w:cs="Arial"/>
                <w:sz w:val="20"/>
                <w:szCs w:val="20"/>
              </w:rPr>
            </w:pPr>
            <w:r>
              <w:rPr>
                <w:rFonts w:ascii="Arial" w:eastAsia="Arial" w:hAnsi="Arial" w:cs="Arial"/>
                <w:sz w:val="20"/>
                <w:szCs w:val="20"/>
              </w:rPr>
              <w:t>Central Defender</w:t>
            </w:r>
          </w:p>
        </w:tc>
        <w:tc>
          <w:tcPr>
            <w:tcW w:w="1466" w:type="dxa"/>
            <w:tcBorders>
              <w:bottom w:val="single" w:sz="6" w:space="0" w:color="000000"/>
              <w:right w:val="single" w:sz="6" w:space="0" w:color="000000"/>
            </w:tcBorders>
            <w:shd w:val="clear" w:color="auto" w:fill="EA9999"/>
            <w:tcMar>
              <w:top w:w="30" w:type="dxa"/>
              <w:left w:w="45" w:type="dxa"/>
              <w:bottom w:w="30" w:type="dxa"/>
              <w:right w:w="45" w:type="dxa"/>
            </w:tcMar>
            <w:vAlign w:val="bottom"/>
          </w:tcPr>
          <w:p w14:paraId="17D993DA" w14:textId="77777777" w:rsidR="003A3BCA" w:rsidRDefault="008276B6">
            <w:pPr>
              <w:jc w:val="right"/>
              <w:rPr>
                <w:rFonts w:ascii="Arial" w:eastAsia="Arial" w:hAnsi="Arial" w:cs="Arial"/>
                <w:sz w:val="20"/>
                <w:szCs w:val="20"/>
              </w:rPr>
            </w:pPr>
            <w:r>
              <w:rPr>
                <w:rFonts w:ascii="Arial" w:eastAsia="Arial" w:hAnsi="Arial" w:cs="Arial"/>
                <w:sz w:val="20"/>
                <w:szCs w:val="20"/>
              </w:rPr>
              <w:t>4,5</w:t>
            </w:r>
          </w:p>
        </w:tc>
        <w:tc>
          <w:tcPr>
            <w:tcW w:w="1668" w:type="dxa"/>
            <w:tcBorders>
              <w:bottom w:val="single" w:sz="6" w:space="0" w:color="000000"/>
              <w:right w:val="single" w:sz="6" w:space="0" w:color="000000"/>
            </w:tcBorders>
            <w:shd w:val="clear" w:color="auto" w:fill="EA9999"/>
            <w:tcMar>
              <w:top w:w="30" w:type="dxa"/>
              <w:left w:w="45" w:type="dxa"/>
              <w:bottom w:w="30" w:type="dxa"/>
              <w:right w:w="45" w:type="dxa"/>
            </w:tcMar>
            <w:vAlign w:val="bottom"/>
          </w:tcPr>
          <w:p w14:paraId="1109CD2B" w14:textId="77777777" w:rsidR="003A3BCA" w:rsidRDefault="008276B6">
            <w:pPr>
              <w:jc w:val="right"/>
              <w:rPr>
                <w:rFonts w:ascii="Arial" w:eastAsia="Arial" w:hAnsi="Arial" w:cs="Arial"/>
                <w:sz w:val="20"/>
                <w:szCs w:val="20"/>
              </w:rPr>
            </w:pPr>
            <w:r>
              <w:rPr>
                <w:rFonts w:ascii="Arial" w:eastAsia="Arial" w:hAnsi="Arial" w:cs="Arial"/>
                <w:sz w:val="20"/>
                <w:szCs w:val="20"/>
              </w:rPr>
              <w:t>7,8%</w:t>
            </w:r>
          </w:p>
        </w:tc>
      </w:tr>
      <w:tr w:rsidR="003A3BCA" w14:paraId="1CDA257E" w14:textId="77777777">
        <w:trPr>
          <w:trHeight w:val="361"/>
        </w:trPr>
        <w:tc>
          <w:tcPr>
            <w:tcW w:w="2841" w:type="dxa"/>
            <w:tcBorders>
              <w:left w:val="single" w:sz="6" w:space="0" w:color="000000"/>
              <w:bottom w:val="single" w:sz="6" w:space="0" w:color="000000"/>
              <w:right w:val="single" w:sz="6" w:space="0" w:color="000000"/>
            </w:tcBorders>
            <w:tcMar>
              <w:top w:w="30" w:type="dxa"/>
              <w:left w:w="45" w:type="dxa"/>
              <w:bottom w:w="30" w:type="dxa"/>
              <w:right w:w="45" w:type="dxa"/>
            </w:tcMar>
            <w:vAlign w:val="bottom"/>
          </w:tcPr>
          <w:p w14:paraId="584619FC" w14:textId="77777777" w:rsidR="003A3BCA" w:rsidRDefault="008276B6">
            <w:pPr>
              <w:rPr>
                <w:rFonts w:ascii="Arial" w:eastAsia="Arial" w:hAnsi="Arial" w:cs="Arial"/>
                <w:sz w:val="20"/>
                <w:szCs w:val="20"/>
              </w:rPr>
            </w:pPr>
            <w:r>
              <w:rPr>
                <w:rFonts w:ascii="Arial" w:eastAsia="Arial" w:hAnsi="Arial" w:cs="Arial"/>
                <w:sz w:val="20"/>
                <w:szCs w:val="20"/>
              </w:rPr>
              <w:t>Romelu Lukaku</w:t>
            </w:r>
          </w:p>
        </w:tc>
        <w:tc>
          <w:tcPr>
            <w:tcW w:w="2953" w:type="dxa"/>
            <w:tcBorders>
              <w:bottom w:val="single" w:sz="6" w:space="0" w:color="000000"/>
              <w:right w:val="single" w:sz="6" w:space="0" w:color="000000"/>
            </w:tcBorders>
            <w:tcMar>
              <w:top w:w="30" w:type="dxa"/>
              <w:left w:w="45" w:type="dxa"/>
              <w:bottom w:w="30" w:type="dxa"/>
              <w:right w:w="45" w:type="dxa"/>
            </w:tcMar>
            <w:vAlign w:val="bottom"/>
          </w:tcPr>
          <w:p w14:paraId="145FCC3D" w14:textId="77777777" w:rsidR="003A3BCA" w:rsidRDefault="008276B6">
            <w:pPr>
              <w:rPr>
                <w:rFonts w:ascii="Arial" w:eastAsia="Arial" w:hAnsi="Arial" w:cs="Arial"/>
                <w:sz w:val="20"/>
                <w:szCs w:val="20"/>
              </w:rPr>
            </w:pPr>
            <w:r>
              <w:rPr>
                <w:rFonts w:ascii="Arial" w:eastAsia="Arial" w:hAnsi="Arial" w:cs="Arial"/>
                <w:sz w:val="20"/>
                <w:szCs w:val="20"/>
              </w:rPr>
              <w:t>Attacker</w:t>
            </w:r>
          </w:p>
        </w:tc>
        <w:tc>
          <w:tcPr>
            <w:tcW w:w="1466" w:type="dxa"/>
            <w:tcBorders>
              <w:bottom w:val="single" w:sz="6" w:space="0" w:color="000000"/>
              <w:right w:val="single" w:sz="6" w:space="0" w:color="000000"/>
            </w:tcBorders>
            <w:tcMar>
              <w:top w:w="30" w:type="dxa"/>
              <w:left w:w="45" w:type="dxa"/>
              <w:bottom w:w="30" w:type="dxa"/>
              <w:right w:w="45" w:type="dxa"/>
            </w:tcMar>
            <w:vAlign w:val="bottom"/>
          </w:tcPr>
          <w:p w14:paraId="3A2B0505" w14:textId="77777777" w:rsidR="003A3BCA" w:rsidRDefault="008276B6">
            <w:pPr>
              <w:jc w:val="right"/>
              <w:rPr>
                <w:rFonts w:ascii="Arial" w:eastAsia="Arial" w:hAnsi="Arial" w:cs="Arial"/>
                <w:sz w:val="20"/>
                <w:szCs w:val="20"/>
              </w:rPr>
            </w:pPr>
            <w:r>
              <w:rPr>
                <w:rFonts w:ascii="Arial" w:eastAsia="Arial" w:hAnsi="Arial" w:cs="Arial"/>
                <w:sz w:val="20"/>
                <w:szCs w:val="20"/>
              </w:rPr>
              <w:t>3,4</w:t>
            </w:r>
          </w:p>
        </w:tc>
        <w:tc>
          <w:tcPr>
            <w:tcW w:w="1668" w:type="dxa"/>
            <w:tcBorders>
              <w:bottom w:val="single" w:sz="6" w:space="0" w:color="000000"/>
              <w:right w:val="single" w:sz="6" w:space="0" w:color="000000"/>
            </w:tcBorders>
            <w:tcMar>
              <w:top w:w="30" w:type="dxa"/>
              <w:left w:w="45" w:type="dxa"/>
              <w:bottom w:w="30" w:type="dxa"/>
              <w:right w:w="45" w:type="dxa"/>
            </w:tcMar>
            <w:vAlign w:val="bottom"/>
          </w:tcPr>
          <w:p w14:paraId="1F6C67E3" w14:textId="77777777" w:rsidR="003A3BCA" w:rsidRDefault="008276B6">
            <w:pPr>
              <w:jc w:val="right"/>
              <w:rPr>
                <w:rFonts w:ascii="Arial" w:eastAsia="Arial" w:hAnsi="Arial" w:cs="Arial"/>
                <w:sz w:val="20"/>
                <w:szCs w:val="20"/>
              </w:rPr>
            </w:pPr>
            <w:r>
              <w:rPr>
                <w:rFonts w:ascii="Arial" w:eastAsia="Arial" w:hAnsi="Arial" w:cs="Arial"/>
                <w:sz w:val="20"/>
                <w:szCs w:val="20"/>
              </w:rPr>
              <w:t>62,7%</w:t>
            </w:r>
          </w:p>
        </w:tc>
      </w:tr>
      <w:tr w:rsidR="003A3BCA" w14:paraId="41A376B3" w14:textId="77777777">
        <w:trPr>
          <w:trHeight w:val="361"/>
        </w:trPr>
        <w:tc>
          <w:tcPr>
            <w:tcW w:w="2841" w:type="dxa"/>
            <w:tcBorders>
              <w:left w:val="single" w:sz="6" w:space="0" w:color="000000"/>
              <w:bottom w:val="single" w:sz="6" w:space="0" w:color="000000"/>
              <w:right w:val="single" w:sz="6" w:space="0" w:color="000000"/>
            </w:tcBorders>
            <w:tcMar>
              <w:top w:w="30" w:type="dxa"/>
              <w:left w:w="45" w:type="dxa"/>
              <w:bottom w:w="30" w:type="dxa"/>
              <w:right w:w="45" w:type="dxa"/>
            </w:tcMar>
            <w:vAlign w:val="bottom"/>
          </w:tcPr>
          <w:p w14:paraId="77DD04D3" w14:textId="77777777" w:rsidR="003A3BCA" w:rsidRDefault="008276B6">
            <w:pPr>
              <w:rPr>
                <w:rFonts w:ascii="Arial" w:eastAsia="Arial" w:hAnsi="Arial" w:cs="Arial"/>
                <w:sz w:val="20"/>
                <w:szCs w:val="20"/>
              </w:rPr>
            </w:pPr>
            <w:r>
              <w:rPr>
                <w:rFonts w:ascii="Arial" w:eastAsia="Arial" w:hAnsi="Arial" w:cs="Arial"/>
                <w:sz w:val="20"/>
                <w:szCs w:val="20"/>
              </w:rPr>
              <w:t>Jadon Sancho</w:t>
            </w:r>
          </w:p>
        </w:tc>
        <w:tc>
          <w:tcPr>
            <w:tcW w:w="2953" w:type="dxa"/>
            <w:tcBorders>
              <w:bottom w:val="single" w:sz="6" w:space="0" w:color="000000"/>
              <w:right w:val="single" w:sz="6" w:space="0" w:color="000000"/>
            </w:tcBorders>
            <w:tcMar>
              <w:top w:w="30" w:type="dxa"/>
              <w:left w:w="45" w:type="dxa"/>
              <w:bottom w:w="30" w:type="dxa"/>
              <w:right w:w="45" w:type="dxa"/>
            </w:tcMar>
            <w:vAlign w:val="bottom"/>
          </w:tcPr>
          <w:p w14:paraId="750EF960" w14:textId="77777777" w:rsidR="003A3BCA" w:rsidRDefault="008276B6">
            <w:pPr>
              <w:rPr>
                <w:rFonts w:ascii="Arial" w:eastAsia="Arial" w:hAnsi="Arial" w:cs="Arial"/>
                <w:sz w:val="20"/>
                <w:szCs w:val="20"/>
              </w:rPr>
            </w:pPr>
            <w:proofErr w:type="spellStart"/>
            <w:r>
              <w:rPr>
                <w:rFonts w:ascii="Arial" w:eastAsia="Arial" w:hAnsi="Arial" w:cs="Arial"/>
                <w:sz w:val="20"/>
                <w:szCs w:val="20"/>
              </w:rPr>
              <w:t>Att</w:t>
            </w:r>
            <w:proofErr w:type="spellEnd"/>
            <w:r>
              <w:rPr>
                <w:rFonts w:ascii="Arial" w:eastAsia="Arial" w:hAnsi="Arial" w:cs="Arial"/>
                <w:sz w:val="20"/>
                <w:szCs w:val="20"/>
              </w:rPr>
              <w:t xml:space="preserve"> Midfielder/Winger</w:t>
            </w:r>
          </w:p>
        </w:tc>
        <w:tc>
          <w:tcPr>
            <w:tcW w:w="1466" w:type="dxa"/>
            <w:tcBorders>
              <w:bottom w:val="single" w:sz="6" w:space="0" w:color="000000"/>
              <w:right w:val="single" w:sz="6" w:space="0" w:color="000000"/>
            </w:tcBorders>
            <w:tcMar>
              <w:top w:w="30" w:type="dxa"/>
              <w:left w:w="45" w:type="dxa"/>
              <w:bottom w:w="30" w:type="dxa"/>
              <w:right w:w="45" w:type="dxa"/>
            </w:tcMar>
            <w:vAlign w:val="bottom"/>
          </w:tcPr>
          <w:p w14:paraId="5A81D946" w14:textId="77777777" w:rsidR="003A3BCA" w:rsidRDefault="008276B6">
            <w:pPr>
              <w:jc w:val="right"/>
              <w:rPr>
                <w:rFonts w:ascii="Arial" w:eastAsia="Arial" w:hAnsi="Arial" w:cs="Arial"/>
                <w:sz w:val="20"/>
                <w:szCs w:val="20"/>
              </w:rPr>
            </w:pPr>
            <w:r>
              <w:rPr>
                <w:rFonts w:ascii="Arial" w:eastAsia="Arial" w:hAnsi="Arial" w:cs="Arial"/>
                <w:sz w:val="20"/>
                <w:szCs w:val="20"/>
              </w:rPr>
              <w:t>2,7</w:t>
            </w:r>
          </w:p>
        </w:tc>
        <w:tc>
          <w:tcPr>
            <w:tcW w:w="1668" w:type="dxa"/>
            <w:tcBorders>
              <w:bottom w:val="single" w:sz="6" w:space="0" w:color="000000"/>
              <w:right w:val="single" w:sz="6" w:space="0" w:color="000000"/>
            </w:tcBorders>
            <w:tcMar>
              <w:top w:w="30" w:type="dxa"/>
              <w:left w:w="45" w:type="dxa"/>
              <w:bottom w:w="30" w:type="dxa"/>
              <w:right w:w="45" w:type="dxa"/>
            </w:tcMar>
            <w:vAlign w:val="bottom"/>
          </w:tcPr>
          <w:p w14:paraId="427946F1" w14:textId="77777777" w:rsidR="003A3BCA" w:rsidRDefault="008276B6">
            <w:pPr>
              <w:jc w:val="right"/>
              <w:rPr>
                <w:rFonts w:ascii="Arial" w:eastAsia="Arial" w:hAnsi="Arial" w:cs="Arial"/>
                <w:sz w:val="20"/>
                <w:szCs w:val="20"/>
              </w:rPr>
            </w:pPr>
            <w:r>
              <w:rPr>
                <w:rFonts w:ascii="Arial" w:eastAsia="Arial" w:hAnsi="Arial" w:cs="Arial"/>
                <w:sz w:val="20"/>
                <w:szCs w:val="20"/>
              </w:rPr>
              <w:t>55,3%</w:t>
            </w:r>
          </w:p>
        </w:tc>
      </w:tr>
      <w:tr w:rsidR="003A3BCA" w14:paraId="4254A1F9" w14:textId="77777777">
        <w:trPr>
          <w:trHeight w:val="361"/>
        </w:trPr>
        <w:tc>
          <w:tcPr>
            <w:tcW w:w="2841" w:type="dxa"/>
            <w:tcBorders>
              <w:left w:val="single" w:sz="6" w:space="0" w:color="000000"/>
              <w:bottom w:val="single" w:sz="6" w:space="0" w:color="000000"/>
              <w:right w:val="single" w:sz="6" w:space="0" w:color="000000"/>
            </w:tcBorders>
            <w:shd w:val="clear" w:color="auto" w:fill="EA9999"/>
            <w:tcMar>
              <w:top w:w="30" w:type="dxa"/>
              <w:left w:w="45" w:type="dxa"/>
              <w:bottom w:w="30" w:type="dxa"/>
              <w:right w:w="45" w:type="dxa"/>
            </w:tcMar>
            <w:vAlign w:val="bottom"/>
          </w:tcPr>
          <w:p w14:paraId="370D8120" w14:textId="77777777" w:rsidR="003A3BCA" w:rsidRDefault="008276B6">
            <w:pPr>
              <w:rPr>
                <w:rFonts w:ascii="Arial" w:eastAsia="Arial" w:hAnsi="Arial" w:cs="Arial"/>
                <w:sz w:val="20"/>
                <w:szCs w:val="20"/>
              </w:rPr>
            </w:pPr>
            <w:r>
              <w:rPr>
                <w:rFonts w:ascii="Arial" w:eastAsia="Arial" w:hAnsi="Arial" w:cs="Arial"/>
                <w:sz w:val="20"/>
                <w:szCs w:val="20"/>
              </w:rPr>
              <w:t>Bruno Fernandes</w:t>
            </w:r>
          </w:p>
        </w:tc>
        <w:tc>
          <w:tcPr>
            <w:tcW w:w="2953" w:type="dxa"/>
            <w:tcBorders>
              <w:bottom w:val="single" w:sz="6" w:space="0" w:color="000000"/>
              <w:right w:val="single" w:sz="6" w:space="0" w:color="000000"/>
            </w:tcBorders>
            <w:shd w:val="clear" w:color="auto" w:fill="EA9999"/>
            <w:tcMar>
              <w:top w:w="30" w:type="dxa"/>
              <w:left w:w="45" w:type="dxa"/>
              <w:bottom w:w="30" w:type="dxa"/>
              <w:right w:w="45" w:type="dxa"/>
            </w:tcMar>
            <w:vAlign w:val="bottom"/>
          </w:tcPr>
          <w:p w14:paraId="1C1F8923" w14:textId="77777777" w:rsidR="003A3BCA" w:rsidRDefault="008276B6">
            <w:pPr>
              <w:rPr>
                <w:rFonts w:ascii="Arial" w:eastAsia="Arial" w:hAnsi="Arial" w:cs="Arial"/>
                <w:sz w:val="20"/>
                <w:szCs w:val="20"/>
              </w:rPr>
            </w:pPr>
            <w:proofErr w:type="spellStart"/>
            <w:r>
              <w:rPr>
                <w:rFonts w:ascii="Arial" w:eastAsia="Arial" w:hAnsi="Arial" w:cs="Arial"/>
                <w:sz w:val="20"/>
                <w:szCs w:val="20"/>
              </w:rPr>
              <w:t>Att</w:t>
            </w:r>
            <w:proofErr w:type="spellEnd"/>
            <w:r>
              <w:rPr>
                <w:rFonts w:ascii="Arial" w:eastAsia="Arial" w:hAnsi="Arial" w:cs="Arial"/>
                <w:sz w:val="20"/>
                <w:szCs w:val="20"/>
              </w:rPr>
              <w:t xml:space="preserve"> Midfielder/Winger</w:t>
            </w:r>
          </w:p>
        </w:tc>
        <w:tc>
          <w:tcPr>
            <w:tcW w:w="1466" w:type="dxa"/>
            <w:tcBorders>
              <w:bottom w:val="single" w:sz="6" w:space="0" w:color="000000"/>
              <w:right w:val="single" w:sz="6" w:space="0" w:color="000000"/>
            </w:tcBorders>
            <w:shd w:val="clear" w:color="auto" w:fill="EA9999"/>
            <w:tcMar>
              <w:top w:w="30" w:type="dxa"/>
              <w:left w:w="45" w:type="dxa"/>
              <w:bottom w:w="30" w:type="dxa"/>
              <w:right w:w="45" w:type="dxa"/>
            </w:tcMar>
            <w:vAlign w:val="bottom"/>
          </w:tcPr>
          <w:p w14:paraId="00DCB566" w14:textId="77777777" w:rsidR="003A3BCA" w:rsidRDefault="008276B6">
            <w:pPr>
              <w:jc w:val="right"/>
              <w:rPr>
                <w:rFonts w:ascii="Arial" w:eastAsia="Arial" w:hAnsi="Arial" w:cs="Arial"/>
                <w:sz w:val="20"/>
                <w:szCs w:val="20"/>
              </w:rPr>
            </w:pPr>
            <w:r>
              <w:rPr>
                <w:rFonts w:ascii="Arial" w:eastAsia="Arial" w:hAnsi="Arial" w:cs="Arial"/>
                <w:sz w:val="20"/>
                <w:szCs w:val="20"/>
              </w:rPr>
              <w:t>3,6</w:t>
            </w:r>
          </w:p>
        </w:tc>
        <w:tc>
          <w:tcPr>
            <w:tcW w:w="1668" w:type="dxa"/>
            <w:tcBorders>
              <w:bottom w:val="single" w:sz="6" w:space="0" w:color="000000"/>
              <w:right w:val="single" w:sz="6" w:space="0" w:color="000000"/>
            </w:tcBorders>
            <w:shd w:val="clear" w:color="auto" w:fill="EA9999"/>
            <w:tcMar>
              <w:top w:w="30" w:type="dxa"/>
              <w:left w:w="45" w:type="dxa"/>
              <w:bottom w:w="30" w:type="dxa"/>
              <w:right w:w="45" w:type="dxa"/>
            </w:tcMar>
            <w:vAlign w:val="bottom"/>
          </w:tcPr>
          <w:p w14:paraId="2E27A794" w14:textId="77777777" w:rsidR="003A3BCA" w:rsidRDefault="008276B6">
            <w:pPr>
              <w:jc w:val="right"/>
              <w:rPr>
                <w:rFonts w:ascii="Arial" w:eastAsia="Arial" w:hAnsi="Arial" w:cs="Arial"/>
                <w:sz w:val="20"/>
                <w:szCs w:val="20"/>
              </w:rPr>
            </w:pPr>
            <w:r>
              <w:rPr>
                <w:rFonts w:ascii="Arial" w:eastAsia="Arial" w:hAnsi="Arial" w:cs="Arial"/>
                <w:sz w:val="20"/>
                <w:szCs w:val="20"/>
              </w:rPr>
              <w:t>23,3%</w:t>
            </w:r>
          </w:p>
        </w:tc>
      </w:tr>
      <w:tr w:rsidR="003A3BCA" w14:paraId="28661850" w14:textId="77777777">
        <w:trPr>
          <w:trHeight w:val="361"/>
        </w:trPr>
        <w:tc>
          <w:tcPr>
            <w:tcW w:w="2841" w:type="dxa"/>
            <w:tcBorders>
              <w:left w:val="single" w:sz="6" w:space="0" w:color="000000"/>
              <w:bottom w:val="single" w:sz="6" w:space="0" w:color="000000"/>
              <w:right w:val="single" w:sz="6" w:space="0" w:color="000000"/>
            </w:tcBorders>
            <w:tcMar>
              <w:top w:w="30" w:type="dxa"/>
              <w:left w:w="45" w:type="dxa"/>
              <w:bottom w:w="30" w:type="dxa"/>
              <w:right w:w="45" w:type="dxa"/>
            </w:tcMar>
            <w:vAlign w:val="bottom"/>
          </w:tcPr>
          <w:p w14:paraId="43D69E31" w14:textId="77777777" w:rsidR="003A3BCA" w:rsidRDefault="008276B6">
            <w:pPr>
              <w:rPr>
                <w:rFonts w:ascii="Arial" w:eastAsia="Arial" w:hAnsi="Arial" w:cs="Arial"/>
                <w:sz w:val="20"/>
                <w:szCs w:val="20"/>
              </w:rPr>
            </w:pPr>
            <w:r>
              <w:rPr>
                <w:rFonts w:ascii="Arial" w:eastAsia="Arial" w:hAnsi="Arial" w:cs="Arial"/>
                <w:sz w:val="20"/>
                <w:szCs w:val="20"/>
              </w:rPr>
              <w:t>Fred</w:t>
            </w:r>
          </w:p>
        </w:tc>
        <w:tc>
          <w:tcPr>
            <w:tcW w:w="2953" w:type="dxa"/>
            <w:tcBorders>
              <w:bottom w:val="single" w:sz="6" w:space="0" w:color="000000"/>
              <w:right w:val="single" w:sz="6" w:space="0" w:color="000000"/>
            </w:tcBorders>
            <w:tcMar>
              <w:top w:w="30" w:type="dxa"/>
              <w:left w:w="45" w:type="dxa"/>
              <w:bottom w:w="30" w:type="dxa"/>
              <w:right w:w="45" w:type="dxa"/>
            </w:tcMar>
            <w:vAlign w:val="bottom"/>
          </w:tcPr>
          <w:p w14:paraId="1B7F9FF6" w14:textId="77777777" w:rsidR="003A3BCA" w:rsidRDefault="008276B6">
            <w:pPr>
              <w:rPr>
                <w:rFonts w:ascii="Arial" w:eastAsia="Arial" w:hAnsi="Arial" w:cs="Arial"/>
                <w:sz w:val="20"/>
                <w:szCs w:val="20"/>
              </w:rPr>
            </w:pPr>
            <w:r>
              <w:rPr>
                <w:rFonts w:ascii="Arial" w:eastAsia="Arial" w:hAnsi="Arial" w:cs="Arial"/>
                <w:sz w:val="20"/>
                <w:szCs w:val="20"/>
              </w:rPr>
              <w:t>Midfielder</w:t>
            </w:r>
          </w:p>
        </w:tc>
        <w:tc>
          <w:tcPr>
            <w:tcW w:w="1466" w:type="dxa"/>
            <w:tcBorders>
              <w:bottom w:val="single" w:sz="6" w:space="0" w:color="000000"/>
              <w:right w:val="single" w:sz="6" w:space="0" w:color="000000"/>
            </w:tcBorders>
            <w:tcMar>
              <w:top w:w="30" w:type="dxa"/>
              <w:left w:w="45" w:type="dxa"/>
              <w:bottom w:w="30" w:type="dxa"/>
              <w:right w:w="45" w:type="dxa"/>
            </w:tcMar>
            <w:vAlign w:val="bottom"/>
          </w:tcPr>
          <w:p w14:paraId="0A2851E6" w14:textId="77777777" w:rsidR="003A3BCA" w:rsidRDefault="008276B6">
            <w:pPr>
              <w:jc w:val="right"/>
              <w:rPr>
                <w:rFonts w:ascii="Arial" w:eastAsia="Arial" w:hAnsi="Arial" w:cs="Arial"/>
                <w:sz w:val="20"/>
                <w:szCs w:val="20"/>
              </w:rPr>
            </w:pPr>
            <w:r>
              <w:rPr>
                <w:rFonts w:ascii="Arial" w:eastAsia="Arial" w:hAnsi="Arial" w:cs="Arial"/>
                <w:sz w:val="20"/>
                <w:szCs w:val="20"/>
              </w:rPr>
              <w:t>3</w:t>
            </w:r>
          </w:p>
        </w:tc>
        <w:tc>
          <w:tcPr>
            <w:tcW w:w="1668" w:type="dxa"/>
            <w:tcBorders>
              <w:bottom w:val="single" w:sz="6" w:space="0" w:color="000000"/>
              <w:right w:val="single" w:sz="6" w:space="0" w:color="000000"/>
            </w:tcBorders>
            <w:tcMar>
              <w:top w:w="30" w:type="dxa"/>
              <w:left w:w="45" w:type="dxa"/>
              <w:bottom w:w="30" w:type="dxa"/>
              <w:right w:w="45" w:type="dxa"/>
            </w:tcMar>
            <w:vAlign w:val="bottom"/>
          </w:tcPr>
          <w:p w14:paraId="47DA9A81" w14:textId="77777777" w:rsidR="003A3BCA" w:rsidRDefault="008276B6">
            <w:pPr>
              <w:jc w:val="right"/>
              <w:rPr>
                <w:rFonts w:ascii="Arial" w:eastAsia="Arial" w:hAnsi="Arial" w:cs="Arial"/>
                <w:sz w:val="20"/>
                <w:szCs w:val="20"/>
              </w:rPr>
            </w:pPr>
            <w:r>
              <w:rPr>
                <w:rFonts w:ascii="Arial" w:eastAsia="Arial" w:hAnsi="Arial" w:cs="Arial"/>
                <w:sz w:val="20"/>
                <w:szCs w:val="20"/>
              </w:rPr>
              <w:t>73,3%</w:t>
            </w:r>
          </w:p>
        </w:tc>
      </w:tr>
      <w:tr w:rsidR="003A3BCA" w14:paraId="73CD9003" w14:textId="77777777">
        <w:trPr>
          <w:trHeight w:val="361"/>
        </w:trPr>
        <w:tc>
          <w:tcPr>
            <w:tcW w:w="2841" w:type="dxa"/>
            <w:tcBorders>
              <w:left w:val="single" w:sz="6" w:space="0" w:color="000000"/>
              <w:bottom w:val="single" w:sz="6" w:space="0" w:color="000000"/>
              <w:right w:val="single" w:sz="6" w:space="0" w:color="000000"/>
            </w:tcBorders>
            <w:tcMar>
              <w:top w:w="30" w:type="dxa"/>
              <w:left w:w="45" w:type="dxa"/>
              <w:bottom w:w="30" w:type="dxa"/>
              <w:right w:w="45" w:type="dxa"/>
            </w:tcMar>
            <w:vAlign w:val="bottom"/>
          </w:tcPr>
          <w:p w14:paraId="6FBF798B" w14:textId="77777777" w:rsidR="003A3BCA" w:rsidRDefault="008276B6">
            <w:pPr>
              <w:rPr>
                <w:rFonts w:ascii="Arial" w:eastAsia="Arial" w:hAnsi="Arial" w:cs="Arial"/>
                <w:sz w:val="20"/>
                <w:szCs w:val="20"/>
              </w:rPr>
            </w:pPr>
            <w:r>
              <w:rPr>
                <w:rFonts w:ascii="Arial" w:eastAsia="Arial" w:hAnsi="Arial" w:cs="Arial"/>
                <w:sz w:val="20"/>
                <w:szCs w:val="20"/>
              </w:rPr>
              <w:t>Aaron Wan-</w:t>
            </w:r>
            <w:proofErr w:type="spellStart"/>
            <w:r>
              <w:rPr>
                <w:rFonts w:ascii="Arial" w:eastAsia="Arial" w:hAnsi="Arial" w:cs="Arial"/>
                <w:sz w:val="20"/>
                <w:szCs w:val="20"/>
              </w:rPr>
              <w:t>Bissaka</w:t>
            </w:r>
            <w:proofErr w:type="spellEnd"/>
          </w:p>
        </w:tc>
        <w:tc>
          <w:tcPr>
            <w:tcW w:w="2953" w:type="dxa"/>
            <w:tcBorders>
              <w:bottom w:val="single" w:sz="6" w:space="0" w:color="000000"/>
              <w:right w:val="single" w:sz="6" w:space="0" w:color="000000"/>
            </w:tcBorders>
            <w:tcMar>
              <w:top w:w="30" w:type="dxa"/>
              <w:left w:w="45" w:type="dxa"/>
              <w:bottom w:w="30" w:type="dxa"/>
              <w:right w:w="45" w:type="dxa"/>
            </w:tcMar>
            <w:vAlign w:val="bottom"/>
          </w:tcPr>
          <w:p w14:paraId="1FA6CA73" w14:textId="77777777" w:rsidR="003A3BCA" w:rsidRDefault="008276B6">
            <w:pPr>
              <w:rPr>
                <w:rFonts w:ascii="Arial" w:eastAsia="Arial" w:hAnsi="Arial" w:cs="Arial"/>
                <w:sz w:val="20"/>
                <w:szCs w:val="20"/>
              </w:rPr>
            </w:pPr>
            <w:r>
              <w:rPr>
                <w:rFonts w:ascii="Arial" w:eastAsia="Arial" w:hAnsi="Arial" w:cs="Arial"/>
                <w:sz w:val="20"/>
                <w:szCs w:val="20"/>
              </w:rPr>
              <w:t>Fullback</w:t>
            </w:r>
          </w:p>
        </w:tc>
        <w:tc>
          <w:tcPr>
            <w:tcW w:w="1466" w:type="dxa"/>
            <w:tcBorders>
              <w:bottom w:val="single" w:sz="6" w:space="0" w:color="000000"/>
              <w:right w:val="single" w:sz="6" w:space="0" w:color="000000"/>
            </w:tcBorders>
            <w:tcMar>
              <w:top w:w="30" w:type="dxa"/>
              <w:left w:w="45" w:type="dxa"/>
              <w:bottom w:w="30" w:type="dxa"/>
              <w:right w:w="45" w:type="dxa"/>
            </w:tcMar>
            <w:vAlign w:val="bottom"/>
          </w:tcPr>
          <w:p w14:paraId="5CB1687B" w14:textId="77777777" w:rsidR="003A3BCA" w:rsidRDefault="008276B6">
            <w:pPr>
              <w:jc w:val="right"/>
              <w:rPr>
                <w:rFonts w:ascii="Arial" w:eastAsia="Arial" w:hAnsi="Arial" w:cs="Arial"/>
                <w:sz w:val="20"/>
                <w:szCs w:val="20"/>
              </w:rPr>
            </w:pPr>
            <w:r>
              <w:rPr>
                <w:rFonts w:ascii="Arial" w:eastAsia="Arial" w:hAnsi="Arial" w:cs="Arial"/>
                <w:sz w:val="20"/>
                <w:szCs w:val="20"/>
              </w:rPr>
              <w:t>4,3</w:t>
            </w:r>
          </w:p>
        </w:tc>
        <w:tc>
          <w:tcPr>
            <w:tcW w:w="1668" w:type="dxa"/>
            <w:tcBorders>
              <w:bottom w:val="single" w:sz="6" w:space="0" w:color="000000"/>
              <w:right w:val="single" w:sz="6" w:space="0" w:color="000000"/>
            </w:tcBorders>
            <w:tcMar>
              <w:top w:w="30" w:type="dxa"/>
              <w:left w:w="45" w:type="dxa"/>
              <w:bottom w:w="30" w:type="dxa"/>
              <w:right w:w="45" w:type="dxa"/>
            </w:tcMar>
            <w:vAlign w:val="bottom"/>
          </w:tcPr>
          <w:p w14:paraId="1D021432" w14:textId="77777777" w:rsidR="003A3BCA" w:rsidRDefault="008276B6">
            <w:pPr>
              <w:jc w:val="right"/>
              <w:rPr>
                <w:rFonts w:ascii="Arial" w:eastAsia="Arial" w:hAnsi="Arial" w:cs="Arial"/>
                <w:sz w:val="20"/>
                <w:szCs w:val="20"/>
              </w:rPr>
            </w:pPr>
            <w:r>
              <w:rPr>
                <w:rFonts w:ascii="Arial" w:eastAsia="Arial" w:hAnsi="Arial" w:cs="Arial"/>
                <w:sz w:val="20"/>
                <w:szCs w:val="20"/>
              </w:rPr>
              <w:t>68,8%</w:t>
            </w:r>
          </w:p>
        </w:tc>
      </w:tr>
      <w:tr w:rsidR="003A3BCA" w14:paraId="21A2ED4F" w14:textId="77777777">
        <w:trPr>
          <w:trHeight w:val="361"/>
        </w:trPr>
        <w:tc>
          <w:tcPr>
            <w:tcW w:w="2841" w:type="dxa"/>
            <w:tcBorders>
              <w:left w:val="single" w:sz="6" w:space="0" w:color="000000"/>
              <w:bottom w:val="single" w:sz="6" w:space="0" w:color="000000"/>
              <w:right w:val="single" w:sz="6" w:space="0" w:color="000000"/>
            </w:tcBorders>
            <w:tcMar>
              <w:top w:w="30" w:type="dxa"/>
              <w:left w:w="45" w:type="dxa"/>
              <w:bottom w:w="30" w:type="dxa"/>
              <w:right w:w="45" w:type="dxa"/>
            </w:tcMar>
            <w:vAlign w:val="bottom"/>
          </w:tcPr>
          <w:p w14:paraId="301AB8BB" w14:textId="77777777" w:rsidR="003A3BCA" w:rsidRDefault="008276B6">
            <w:pPr>
              <w:rPr>
                <w:rFonts w:ascii="Arial" w:eastAsia="Arial" w:hAnsi="Arial" w:cs="Arial"/>
                <w:sz w:val="20"/>
                <w:szCs w:val="20"/>
              </w:rPr>
            </w:pPr>
            <w:r>
              <w:rPr>
                <w:rFonts w:ascii="Arial" w:eastAsia="Arial" w:hAnsi="Arial" w:cs="Arial"/>
                <w:sz w:val="20"/>
                <w:szCs w:val="20"/>
              </w:rPr>
              <w:t>Nemanja Matic</w:t>
            </w:r>
          </w:p>
        </w:tc>
        <w:tc>
          <w:tcPr>
            <w:tcW w:w="2953" w:type="dxa"/>
            <w:tcBorders>
              <w:bottom w:val="single" w:sz="6" w:space="0" w:color="000000"/>
              <w:right w:val="single" w:sz="6" w:space="0" w:color="000000"/>
            </w:tcBorders>
            <w:tcMar>
              <w:top w:w="30" w:type="dxa"/>
              <w:left w:w="45" w:type="dxa"/>
              <w:bottom w:w="30" w:type="dxa"/>
              <w:right w:w="45" w:type="dxa"/>
            </w:tcMar>
            <w:vAlign w:val="bottom"/>
          </w:tcPr>
          <w:p w14:paraId="0C2D984E" w14:textId="77777777" w:rsidR="003A3BCA" w:rsidRDefault="008276B6">
            <w:pPr>
              <w:rPr>
                <w:rFonts w:ascii="Arial" w:eastAsia="Arial" w:hAnsi="Arial" w:cs="Arial"/>
                <w:sz w:val="20"/>
                <w:szCs w:val="20"/>
              </w:rPr>
            </w:pPr>
            <w:r>
              <w:rPr>
                <w:rFonts w:ascii="Arial" w:eastAsia="Arial" w:hAnsi="Arial" w:cs="Arial"/>
                <w:sz w:val="20"/>
                <w:szCs w:val="20"/>
              </w:rPr>
              <w:t>Midfielder</w:t>
            </w:r>
          </w:p>
        </w:tc>
        <w:tc>
          <w:tcPr>
            <w:tcW w:w="1466" w:type="dxa"/>
            <w:tcBorders>
              <w:bottom w:val="single" w:sz="6" w:space="0" w:color="000000"/>
              <w:right w:val="single" w:sz="6" w:space="0" w:color="000000"/>
            </w:tcBorders>
            <w:tcMar>
              <w:top w:w="30" w:type="dxa"/>
              <w:left w:w="45" w:type="dxa"/>
              <w:bottom w:w="30" w:type="dxa"/>
              <w:right w:w="45" w:type="dxa"/>
            </w:tcMar>
            <w:vAlign w:val="bottom"/>
          </w:tcPr>
          <w:p w14:paraId="4C38AEEB" w14:textId="77777777" w:rsidR="003A3BCA" w:rsidRDefault="008276B6">
            <w:pPr>
              <w:jc w:val="right"/>
              <w:rPr>
                <w:rFonts w:ascii="Arial" w:eastAsia="Arial" w:hAnsi="Arial" w:cs="Arial"/>
                <w:sz w:val="20"/>
                <w:szCs w:val="20"/>
              </w:rPr>
            </w:pPr>
            <w:r>
              <w:rPr>
                <w:rFonts w:ascii="Arial" w:eastAsia="Arial" w:hAnsi="Arial" w:cs="Arial"/>
                <w:sz w:val="20"/>
                <w:szCs w:val="20"/>
              </w:rPr>
              <w:t>2,8</w:t>
            </w:r>
          </w:p>
        </w:tc>
        <w:tc>
          <w:tcPr>
            <w:tcW w:w="1668" w:type="dxa"/>
            <w:tcBorders>
              <w:bottom w:val="single" w:sz="6" w:space="0" w:color="000000"/>
              <w:right w:val="single" w:sz="6" w:space="0" w:color="000000"/>
            </w:tcBorders>
            <w:tcMar>
              <w:top w:w="30" w:type="dxa"/>
              <w:left w:w="45" w:type="dxa"/>
              <w:bottom w:w="30" w:type="dxa"/>
              <w:right w:w="45" w:type="dxa"/>
            </w:tcMar>
            <w:vAlign w:val="bottom"/>
          </w:tcPr>
          <w:p w14:paraId="359B4B42" w14:textId="77777777" w:rsidR="003A3BCA" w:rsidRDefault="008276B6">
            <w:pPr>
              <w:jc w:val="right"/>
              <w:rPr>
                <w:rFonts w:ascii="Arial" w:eastAsia="Arial" w:hAnsi="Arial" w:cs="Arial"/>
                <w:sz w:val="20"/>
                <w:szCs w:val="20"/>
              </w:rPr>
            </w:pPr>
            <w:r>
              <w:rPr>
                <w:rFonts w:ascii="Arial" w:eastAsia="Arial" w:hAnsi="Arial" w:cs="Arial"/>
                <w:sz w:val="20"/>
                <w:szCs w:val="20"/>
              </w:rPr>
              <w:t>58,6%</w:t>
            </w:r>
          </w:p>
        </w:tc>
      </w:tr>
      <w:tr w:rsidR="003A3BCA" w14:paraId="12B9DD29" w14:textId="77777777">
        <w:trPr>
          <w:trHeight w:val="361"/>
        </w:trPr>
        <w:tc>
          <w:tcPr>
            <w:tcW w:w="2841" w:type="dxa"/>
            <w:tcBorders>
              <w:left w:val="single" w:sz="6" w:space="0" w:color="000000"/>
              <w:bottom w:val="single" w:sz="6" w:space="0" w:color="000000"/>
              <w:right w:val="single" w:sz="6" w:space="0" w:color="000000"/>
            </w:tcBorders>
            <w:tcMar>
              <w:top w:w="30" w:type="dxa"/>
              <w:left w:w="45" w:type="dxa"/>
              <w:bottom w:w="30" w:type="dxa"/>
              <w:right w:w="45" w:type="dxa"/>
            </w:tcMar>
            <w:vAlign w:val="bottom"/>
          </w:tcPr>
          <w:p w14:paraId="0276AA5F" w14:textId="77777777" w:rsidR="003A3BCA" w:rsidRDefault="008276B6">
            <w:pPr>
              <w:rPr>
                <w:rFonts w:ascii="Arial" w:eastAsia="Arial" w:hAnsi="Arial" w:cs="Arial"/>
                <w:sz w:val="20"/>
                <w:szCs w:val="20"/>
              </w:rPr>
            </w:pPr>
            <w:r>
              <w:rPr>
                <w:rFonts w:ascii="Arial" w:eastAsia="Arial" w:hAnsi="Arial" w:cs="Arial"/>
                <w:sz w:val="20"/>
                <w:szCs w:val="20"/>
              </w:rPr>
              <w:t>Raphael Varane</w:t>
            </w:r>
          </w:p>
        </w:tc>
        <w:tc>
          <w:tcPr>
            <w:tcW w:w="2953" w:type="dxa"/>
            <w:tcBorders>
              <w:bottom w:val="single" w:sz="6" w:space="0" w:color="000000"/>
              <w:right w:val="single" w:sz="6" w:space="0" w:color="000000"/>
            </w:tcBorders>
            <w:tcMar>
              <w:top w:w="30" w:type="dxa"/>
              <w:left w:w="45" w:type="dxa"/>
              <w:bottom w:w="30" w:type="dxa"/>
              <w:right w:w="45" w:type="dxa"/>
            </w:tcMar>
            <w:vAlign w:val="bottom"/>
          </w:tcPr>
          <w:p w14:paraId="1D72BA9B" w14:textId="77777777" w:rsidR="003A3BCA" w:rsidRDefault="008276B6">
            <w:pPr>
              <w:rPr>
                <w:rFonts w:ascii="Arial" w:eastAsia="Arial" w:hAnsi="Arial" w:cs="Arial"/>
                <w:sz w:val="20"/>
                <w:szCs w:val="20"/>
              </w:rPr>
            </w:pPr>
            <w:r>
              <w:rPr>
                <w:rFonts w:ascii="Arial" w:eastAsia="Arial" w:hAnsi="Arial" w:cs="Arial"/>
                <w:sz w:val="20"/>
                <w:szCs w:val="20"/>
              </w:rPr>
              <w:t>Central Defender</w:t>
            </w:r>
          </w:p>
        </w:tc>
        <w:tc>
          <w:tcPr>
            <w:tcW w:w="1466" w:type="dxa"/>
            <w:tcBorders>
              <w:bottom w:val="single" w:sz="6" w:space="0" w:color="000000"/>
              <w:right w:val="single" w:sz="6" w:space="0" w:color="000000"/>
            </w:tcBorders>
            <w:tcMar>
              <w:top w:w="30" w:type="dxa"/>
              <w:left w:w="45" w:type="dxa"/>
              <w:bottom w:w="30" w:type="dxa"/>
              <w:right w:w="45" w:type="dxa"/>
            </w:tcMar>
            <w:vAlign w:val="bottom"/>
          </w:tcPr>
          <w:p w14:paraId="556D99B6" w14:textId="77777777" w:rsidR="003A3BCA" w:rsidRDefault="008276B6">
            <w:pPr>
              <w:jc w:val="right"/>
              <w:rPr>
                <w:rFonts w:ascii="Arial" w:eastAsia="Arial" w:hAnsi="Arial" w:cs="Arial"/>
                <w:sz w:val="20"/>
                <w:szCs w:val="20"/>
              </w:rPr>
            </w:pPr>
            <w:r>
              <w:rPr>
                <w:rFonts w:ascii="Arial" w:eastAsia="Arial" w:hAnsi="Arial" w:cs="Arial"/>
                <w:sz w:val="20"/>
                <w:szCs w:val="20"/>
              </w:rPr>
              <w:t>4,1</w:t>
            </w:r>
          </w:p>
        </w:tc>
        <w:tc>
          <w:tcPr>
            <w:tcW w:w="1668" w:type="dxa"/>
            <w:tcBorders>
              <w:bottom w:val="single" w:sz="6" w:space="0" w:color="000000"/>
              <w:right w:val="single" w:sz="6" w:space="0" w:color="000000"/>
            </w:tcBorders>
            <w:tcMar>
              <w:top w:w="30" w:type="dxa"/>
              <w:left w:w="45" w:type="dxa"/>
              <w:bottom w:w="30" w:type="dxa"/>
              <w:right w:w="45" w:type="dxa"/>
            </w:tcMar>
            <w:vAlign w:val="bottom"/>
          </w:tcPr>
          <w:p w14:paraId="68AEBDF2" w14:textId="77777777" w:rsidR="003A3BCA" w:rsidRDefault="008276B6">
            <w:pPr>
              <w:jc w:val="right"/>
              <w:rPr>
                <w:rFonts w:ascii="Arial" w:eastAsia="Arial" w:hAnsi="Arial" w:cs="Arial"/>
                <w:sz w:val="20"/>
                <w:szCs w:val="20"/>
              </w:rPr>
            </w:pPr>
            <w:r>
              <w:rPr>
                <w:rFonts w:ascii="Arial" w:eastAsia="Arial" w:hAnsi="Arial" w:cs="Arial"/>
                <w:sz w:val="20"/>
                <w:szCs w:val="20"/>
              </w:rPr>
              <w:t>83,5%</w:t>
            </w:r>
          </w:p>
        </w:tc>
      </w:tr>
      <w:tr w:rsidR="003A3BCA" w14:paraId="48ECD6B5" w14:textId="77777777">
        <w:trPr>
          <w:trHeight w:val="361"/>
        </w:trPr>
        <w:tc>
          <w:tcPr>
            <w:tcW w:w="2841" w:type="dxa"/>
            <w:tcBorders>
              <w:left w:val="single" w:sz="6" w:space="0" w:color="000000"/>
              <w:bottom w:val="single" w:sz="6" w:space="0" w:color="000000"/>
              <w:right w:val="single" w:sz="6" w:space="0" w:color="000000"/>
            </w:tcBorders>
            <w:tcMar>
              <w:top w:w="30" w:type="dxa"/>
              <w:left w:w="45" w:type="dxa"/>
              <w:bottom w:w="30" w:type="dxa"/>
              <w:right w:w="45" w:type="dxa"/>
            </w:tcMar>
            <w:vAlign w:val="bottom"/>
          </w:tcPr>
          <w:p w14:paraId="7F66251D" w14:textId="77777777" w:rsidR="003A3BCA" w:rsidRDefault="008276B6">
            <w:pPr>
              <w:rPr>
                <w:rFonts w:ascii="Arial" w:eastAsia="Arial" w:hAnsi="Arial" w:cs="Arial"/>
                <w:sz w:val="20"/>
                <w:szCs w:val="20"/>
              </w:rPr>
            </w:pPr>
            <w:r>
              <w:rPr>
                <w:rFonts w:ascii="Arial" w:eastAsia="Arial" w:hAnsi="Arial" w:cs="Arial"/>
                <w:sz w:val="20"/>
                <w:szCs w:val="20"/>
              </w:rPr>
              <w:t>Donny van de Beek</w:t>
            </w:r>
          </w:p>
        </w:tc>
        <w:tc>
          <w:tcPr>
            <w:tcW w:w="2953" w:type="dxa"/>
            <w:tcBorders>
              <w:bottom w:val="single" w:sz="6" w:space="0" w:color="000000"/>
              <w:right w:val="single" w:sz="6" w:space="0" w:color="000000"/>
            </w:tcBorders>
            <w:tcMar>
              <w:top w:w="30" w:type="dxa"/>
              <w:left w:w="45" w:type="dxa"/>
              <w:bottom w:w="30" w:type="dxa"/>
              <w:right w:w="45" w:type="dxa"/>
            </w:tcMar>
            <w:vAlign w:val="bottom"/>
          </w:tcPr>
          <w:p w14:paraId="0CAAC4B9" w14:textId="77777777" w:rsidR="003A3BCA" w:rsidRDefault="008276B6">
            <w:pPr>
              <w:rPr>
                <w:rFonts w:ascii="Arial" w:eastAsia="Arial" w:hAnsi="Arial" w:cs="Arial"/>
                <w:sz w:val="20"/>
                <w:szCs w:val="20"/>
              </w:rPr>
            </w:pPr>
            <w:r>
              <w:rPr>
                <w:rFonts w:ascii="Arial" w:eastAsia="Arial" w:hAnsi="Arial" w:cs="Arial"/>
                <w:sz w:val="20"/>
                <w:szCs w:val="20"/>
              </w:rPr>
              <w:t>Midfielder</w:t>
            </w:r>
          </w:p>
        </w:tc>
        <w:tc>
          <w:tcPr>
            <w:tcW w:w="1466" w:type="dxa"/>
            <w:tcBorders>
              <w:bottom w:val="single" w:sz="6" w:space="0" w:color="000000"/>
              <w:right w:val="single" w:sz="6" w:space="0" w:color="000000"/>
            </w:tcBorders>
            <w:tcMar>
              <w:top w:w="30" w:type="dxa"/>
              <w:left w:w="45" w:type="dxa"/>
              <w:bottom w:w="30" w:type="dxa"/>
              <w:right w:w="45" w:type="dxa"/>
            </w:tcMar>
            <w:vAlign w:val="bottom"/>
          </w:tcPr>
          <w:p w14:paraId="0E499200" w14:textId="77777777" w:rsidR="003A3BCA" w:rsidRDefault="008276B6">
            <w:pPr>
              <w:jc w:val="right"/>
              <w:rPr>
                <w:rFonts w:ascii="Arial" w:eastAsia="Arial" w:hAnsi="Arial" w:cs="Arial"/>
                <w:sz w:val="20"/>
                <w:szCs w:val="20"/>
              </w:rPr>
            </w:pPr>
            <w:r>
              <w:rPr>
                <w:rFonts w:ascii="Arial" w:eastAsia="Arial" w:hAnsi="Arial" w:cs="Arial"/>
                <w:sz w:val="20"/>
                <w:szCs w:val="20"/>
              </w:rPr>
              <w:t>3,1</w:t>
            </w:r>
          </w:p>
        </w:tc>
        <w:tc>
          <w:tcPr>
            <w:tcW w:w="1668" w:type="dxa"/>
            <w:tcBorders>
              <w:bottom w:val="single" w:sz="6" w:space="0" w:color="000000"/>
              <w:right w:val="single" w:sz="6" w:space="0" w:color="000000"/>
            </w:tcBorders>
            <w:tcMar>
              <w:top w:w="30" w:type="dxa"/>
              <w:left w:w="45" w:type="dxa"/>
              <w:bottom w:w="30" w:type="dxa"/>
              <w:right w:w="45" w:type="dxa"/>
            </w:tcMar>
            <w:vAlign w:val="bottom"/>
          </w:tcPr>
          <w:p w14:paraId="3772C498" w14:textId="77777777" w:rsidR="003A3BCA" w:rsidRDefault="008276B6">
            <w:pPr>
              <w:jc w:val="right"/>
              <w:rPr>
                <w:rFonts w:ascii="Arial" w:eastAsia="Arial" w:hAnsi="Arial" w:cs="Arial"/>
                <w:sz w:val="20"/>
                <w:szCs w:val="20"/>
              </w:rPr>
            </w:pPr>
            <w:r>
              <w:rPr>
                <w:rFonts w:ascii="Arial" w:eastAsia="Arial" w:hAnsi="Arial" w:cs="Arial"/>
                <w:sz w:val="20"/>
                <w:szCs w:val="20"/>
              </w:rPr>
              <w:t>47,7%</w:t>
            </w:r>
          </w:p>
        </w:tc>
      </w:tr>
      <w:tr w:rsidR="003A3BCA" w14:paraId="250FF7D6" w14:textId="77777777">
        <w:trPr>
          <w:trHeight w:val="361"/>
        </w:trPr>
        <w:tc>
          <w:tcPr>
            <w:tcW w:w="2841" w:type="dxa"/>
            <w:tcMar>
              <w:top w:w="30" w:type="dxa"/>
              <w:left w:w="45" w:type="dxa"/>
              <w:bottom w:w="30" w:type="dxa"/>
              <w:right w:w="45" w:type="dxa"/>
            </w:tcMar>
            <w:vAlign w:val="bottom"/>
          </w:tcPr>
          <w:p w14:paraId="40F5AF47" w14:textId="77777777" w:rsidR="003A3BCA" w:rsidRDefault="003A3BCA">
            <w:pPr>
              <w:jc w:val="right"/>
              <w:rPr>
                <w:rFonts w:ascii="Arial" w:eastAsia="Arial" w:hAnsi="Arial" w:cs="Arial"/>
                <w:sz w:val="20"/>
                <w:szCs w:val="20"/>
              </w:rPr>
            </w:pPr>
          </w:p>
        </w:tc>
        <w:tc>
          <w:tcPr>
            <w:tcW w:w="2953" w:type="dxa"/>
            <w:tcBorders>
              <w:right w:val="single" w:sz="6" w:space="0" w:color="000000"/>
            </w:tcBorders>
            <w:tcMar>
              <w:top w:w="30" w:type="dxa"/>
              <w:left w:w="45" w:type="dxa"/>
              <w:bottom w:w="30" w:type="dxa"/>
              <w:right w:w="45" w:type="dxa"/>
            </w:tcMar>
            <w:vAlign w:val="bottom"/>
          </w:tcPr>
          <w:p w14:paraId="2C52023F" w14:textId="77777777" w:rsidR="003A3BCA" w:rsidRDefault="003A3BCA">
            <w:pPr>
              <w:rPr>
                <w:sz w:val="20"/>
                <w:szCs w:val="20"/>
              </w:rPr>
            </w:pPr>
          </w:p>
        </w:tc>
        <w:tc>
          <w:tcPr>
            <w:tcW w:w="1466" w:type="dxa"/>
            <w:tcBorders>
              <w:bottom w:val="single" w:sz="6" w:space="0" w:color="000000"/>
              <w:right w:val="single" w:sz="6" w:space="0" w:color="000000"/>
            </w:tcBorders>
            <w:tcMar>
              <w:top w:w="30" w:type="dxa"/>
              <w:left w:w="45" w:type="dxa"/>
              <w:bottom w:w="30" w:type="dxa"/>
              <w:right w:w="45" w:type="dxa"/>
            </w:tcMar>
            <w:vAlign w:val="bottom"/>
          </w:tcPr>
          <w:p w14:paraId="612D015A" w14:textId="77777777" w:rsidR="003A3BCA" w:rsidRDefault="008276B6">
            <w:pPr>
              <w:jc w:val="center"/>
              <w:rPr>
                <w:rFonts w:ascii="Arial" w:eastAsia="Arial" w:hAnsi="Arial" w:cs="Arial"/>
                <w:b/>
                <w:i/>
                <w:sz w:val="22"/>
                <w:szCs w:val="22"/>
              </w:rPr>
            </w:pPr>
            <w:r>
              <w:rPr>
                <w:rFonts w:ascii="Arial" w:eastAsia="Arial" w:hAnsi="Arial" w:cs="Arial"/>
                <w:b/>
                <w:sz w:val="22"/>
                <w:szCs w:val="22"/>
              </w:rPr>
              <w:t>Average</w:t>
            </w:r>
          </w:p>
        </w:tc>
        <w:tc>
          <w:tcPr>
            <w:tcW w:w="1668" w:type="dxa"/>
            <w:tcBorders>
              <w:bottom w:val="single" w:sz="6" w:space="0" w:color="000000"/>
              <w:right w:val="single" w:sz="6" w:space="0" w:color="000000"/>
            </w:tcBorders>
            <w:tcMar>
              <w:top w:w="30" w:type="dxa"/>
              <w:left w:w="45" w:type="dxa"/>
              <w:bottom w:w="30" w:type="dxa"/>
              <w:right w:w="45" w:type="dxa"/>
            </w:tcMar>
            <w:vAlign w:val="bottom"/>
          </w:tcPr>
          <w:p w14:paraId="1699CB11" w14:textId="77777777" w:rsidR="003A3BCA" w:rsidRDefault="008276B6">
            <w:pPr>
              <w:jc w:val="right"/>
              <w:rPr>
                <w:rFonts w:ascii="Arial" w:eastAsia="Arial" w:hAnsi="Arial" w:cs="Arial"/>
                <w:sz w:val="20"/>
                <w:szCs w:val="20"/>
              </w:rPr>
            </w:pPr>
            <w:r>
              <w:rPr>
                <w:rFonts w:ascii="Arial" w:eastAsia="Arial" w:hAnsi="Arial" w:cs="Arial"/>
                <w:sz w:val="20"/>
                <w:szCs w:val="20"/>
              </w:rPr>
              <w:t>53,3%</w:t>
            </w:r>
          </w:p>
        </w:tc>
      </w:tr>
    </w:tbl>
    <w:p w14:paraId="70A38A1B" w14:textId="77777777" w:rsidR="003A3BCA" w:rsidRDefault="008276B6">
      <w:pPr>
        <w:pBdr>
          <w:top w:val="nil"/>
          <w:left w:val="nil"/>
          <w:bottom w:val="nil"/>
          <w:right w:val="nil"/>
          <w:between w:val="nil"/>
        </w:pBdr>
        <w:spacing w:after="200"/>
        <w:rPr>
          <w:rFonts w:ascii="Calibri" w:eastAsia="Calibri" w:hAnsi="Calibri" w:cs="Calibri"/>
          <w:i/>
          <w:color w:val="44546A"/>
          <w:sz w:val="18"/>
          <w:szCs w:val="18"/>
        </w:rPr>
      </w:pPr>
      <w:r>
        <w:rPr>
          <w:rFonts w:ascii="Calibri" w:eastAsia="Calibri" w:hAnsi="Calibri" w:cs="Calibri"/>
          <w:i/>
          <w:color w:val="44546A"/>
          <w:sz w:val="18"/>
          <w:szCs w:val="18"/>
        </w:rPr>
        <w:t>Table 12. Respondents' evaluation of United players' grades by PEM</w:t>
      </w:r>
    </w:p>
    <w:p w14:paraId="4CF624F2" w14:textId="77777777" w:rsidR="003A3BCA" w:rsidRDefault="008276B6">
      <w:pPr>
        <w:spacing w:line="360" w:lineRule="auto"/>
        <w:ind w:firstLine="720"/>
        <w:jc w:val="both"/>
      </w:pPr>
      <w:r>
        <w:t xml:space="preserve">On average, more people (53,3%) agreed with the evaluation model’s grades for each player. The more people agree, the better and closer to the “truth” the model is. However, it must be said that the respondents’ own evaluation could be very subjective and biased, thus making it less reliable. It’s also quite impossible to understand whether each respondent evaluated each player’s performance as objectively as possible or based on their own subjective view. Moreover, some players might be evaluated objectively, while others subjectively – many fans have prejudice against certain players, so it’s possible that they didn’t put the bias aside when evaluating said players. </w:t>
      </w:r>
    </w:p>
    <w:p w14:paraId="19F42A90" w14:textId="77777777" w:rsidR="003A3BCA" w:rsidRDefault="008276B6">
      <w:pPr>
        <w:spacing w:line="360" w:lineRule="auto"/>
        <w:ind w:firstLine="720"/>
        <w:jc w:val="both"/>
      </w:pPr>
      <w:r>
        <w:t xml:space="preserve">One interesting thing about Table 12 is that the assumptions made when disclosing the characteristics of the Player Evaluation Model (PEM) – that attacking midfielders/wingers and central defenders are the hardest position to objectively, solely based on statistical output, assess, as many of things these players do aren’t recorded on the statistical sheet, and in the case of the attacking midfielders/wingers – the things they don’t do (mainly evaluating the risk versus award). Bruno Fernandes’ and Harry Maguire’s grades weren’t deemed accurate by the fans taking part in the survey, which confirms the hypothesis that players from these positions might be more difficult to evaluate solely using statistics. Obviously, a single instance from players from both positions doesn’t entirely confirm </w:t>
      </w:r>
      <w:proofErr w:type="gramStart"/>
      <w:r>
        <w:t>nor</w:t>
      </w:r>
      <w:proofErr w:type="gramEnd"/>
      <w:r>
        <w:t xml:space="preserve"> deny a hypothesis, but given the small </w:t>
      </w:r>
      <w:r>
        <w:lastRenderedPageBreak/>
        <w:t xml:space="preserve">sample size of players evaluated, it’s worth considering, given that there were 163 people who felt the same. </w:t>
      </w:r>
    </w:p>
    <w:p w14:paraId="47119733" w14:textId="77777777" w:rsidR="003A3BCA" w:rsidRDefault="008276B6">
      <w:pPr>
        <w:keepNext/>
      </w:pPr>
      <w:r>
        <w:rPr>
          <w:noProof/>
        </w:rPr>
        <w:drawing>
          <wp:inline distT="0" distB="0" distL="0" distR="0" wp14:anchorId="5F49DB3B" wp14:editId="2F6C4C43">
            <wp:extent cx="5731510" cy="3541395"/>
            <wp:effectExtent l="0" t="0" r="0" b="0"/>
            <wp:docPr id="21" name="image9.png" descr="Chart, pie char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9.png" descr="Chart, pie chart&#10;&#10;Description automatically generated"/>
                    <pic:cNvPicPr preferRelativeResize="0"/>
                  </pic:nvPicPr>
                  <pic:blipFill>
                    <a:blip r:embed="rId20"/>
                    <a:srcRect/>
                    <a:stretch>
                      <a:fillRect/>
                    </a:stretch>
                  </pic:blipFill>
                  <pic:spPr>
                    <a:xfrm>
                      <a:off x="0" y="0"/>
                      <a:ext cx="5731510" cy="3541395"/>
                    </a:xfrm>
                    <a:prstGeom prst="rect">
                      <a:avLst/>
                    </a:prstGeom>
                    <a:ln/>
                  </pic:spPr>
                </pic:pic>
              </a:graphicData>
            </a:graphic>
          </wp:inline>
        </w:drawing>
      </w:r>
    </w:p>
    <w:p w14:paraId="08E264E9" w14:textId="77777777" w:rsidR="003A3BCA" w:rsidRDefault="008276B6">
      <w:pPr>
        <w:pBdr>
          <w:top w:val="nil"/>
          <w:left w:val="nil"/>
          <w:bottom w:val="nil"/>
          <w:right w:val="nil"/>
          <w:between w:val="nil"/>
        </w:pBdr>
        <w:spacing w:after="200"/>
        <w:rPr>
          <w:rFonts w:ascii="Calibri" w:eastAsia="Calibri" w:hAnsi="Calibri" w:cs="Calibri"/>
          <w:i/>
          <w:color w:val="44546A"/>
          <w:sz w:val="18"/>
          <w:szCs w:val="18"/>
        </w:rPr>
      </w:pPr>
      <w:r>
        <w:rPr>
          <w:rFonts w:ascii="Calibri" w:eastAsia="Calibri" w:hAnsi="Calibri" w:cs="Calibri"/>
          <w:i/>
          <w:color w:val="44546A"/>
          <w:sz w:val="18"/>
          <w:szCs w:val="18"/>
        </w:rPr>
        <w:t>Figure 10. Breakdown of how the respondents evaluated Harry Maguire's grade</w:t>
      </w:r>
    </w:p>
    <w:p w14:paraId="7045E8E7" w14:textId="77777777" w:rsidR="003A3BCA" w:rsidRDefault="008276B6">
      <w:pPr>
        <w:keepNext/>
      </w:pPr>
      <w:r>
        <w:rPr>
          <w:noProof/>
        </w:rPr>
        <w:drawing>
          <wp:inline distT="0" distB="0" distL="0" distR="0" wp14:anchorId="68B67A68" wp14:editId="3B82E057">
            <wp:extent cx="5731510" cy="3541395"/>
            <wp:effectExtent l="0" t="0" r="0" b="0"/>
            <wp:docPr id="22" name="image6.png" descr="Chart, pie char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6.png" descr="Chart, pie chart&#10;&#10;Description automatically generated"/>
                    <pic:cNvPicPr preferRelativeResize="0"/>
                  </pic:nvPicPr>
                  <pic:blipFill>
                    <a:blip r:embed="rId21"/>
                    <a:srcRect/>
                    <a:stretch>
                      <a:fillRect/>
                    </a:stretch>
                  </pic:blipFill>
                  <pic:spPr>
                    <a:xfrm>
                      <a:off x="0" y="0"/>
                      <a:ext cx="5731510" cy="3541395"/>
                    </a:xfrm>
                    <a:prstGeom prst="rect">
                      <a:avLst/>
                    </a:prstGeom>
                    <a:ln/>
                  </pic:spPr>
                </pic:pic>
              </a:graphicData>
            </a:graphic>
          </wp:inline>
        </w:drawing>
      </w:r>
    </w:p>
    <w:p w14:paraId="4504D0D7" w14:textId="77777777" w:rsidR="003A3BCA" w:rsidRDefault="008276B6">
      <w:pPr>
        <w:pBdr>
          <w:top w:val="nil"/>
          <w:left w:val="nil"/>
          <w:bottom w:val="nil"/>
          <w:right w:val="nil"/>
          <w:between w:val="nil"/>
        </w:pBdr>
        <w:spacing w:after="200"/>
        <w:rPr>
          <w:rFonts w:ascii="Calibri" w:eastAsia="Calibri" w:hAnsi="Calibri" w:cs="Calibri"/>
          <w:i/>
          <w:color w:val="44546A"/>
          <w:sz w:val="18"/>
          <w:szCs w:val="18"/>
        </w:rPr>
      </w:pPr>
      <w:r>
        <w:rPr>
          <w:rFonts w:ascii="Calibri" w:eastAsia="Calibri" w:hAnsi="Calibri" w:cs="Calibri"/>
          <w:i/>
          <w:color w:val="44546A"/>
          <w:sz w:val="18"/>
          <w:szCs w:val="18"/>
        </w:rPr>
        <w:t>Figure 11. Breakdown of how the respondents evaluated Bruno Fernandes' grade</w:t>
      </w:r>
    </w:p>
    <w:p w14:paraId="64CCA9BC" w14:textId="423101A0" w:rsidR="003A3BCA" w:rsidRDefault="008276B6">
      <w:pPr>
        <w:spacing w:line="360" w:lineRule="auto"/>
        <w:ind w:firstLine="720"/>
        <w:jc w:val="both"/>
      </w:pPr>
      <w:r>
        <w:t xml:space="preserve">Figures </w:t>
      </w:r>
      <w:r w:rsidR="00B81760">
        <w:t>10</w:t>
      </w:r>
      <w:r>
        <w:t xml:space="preserve"> and</w:t>
      </w:r>
      <w:r w:rsidR="00B81760">
        <w:t xml:space="preserve"> 11</w:t>
      </w:r>
      <w:r>
        <w:t xml:space="preserve"> show how Maguire and Fernandes were rated by the survey respondents. And although there are many different grades for both players, there are clear patterns: Maguire’s grade of 4,5 out of 5 is way too high for what he deserves, as per the fans. </w:t>
      </w:r>
      <w:r>
        <w:lastRenderedPageBreak/>
        <w:t xml:space="preserve">Just over 58% of the supporters who took part in the survey believe that Maguire deserves a grade between 1 and 2, which is much lower than what the PEM gave him, based on his statistical output. Prejudice could </w:t>
      </w:r>
      <w:proofErr w:type="gramStart"/>
      <w:r>
        <w:t>definitely be</w:t>
      </w:r>
      <w:proofErr w:type="gramEnd"/>
      <w:r>
        <w:t xml:space="preserve"> a cause for this low rating, but it must be noted that only 9,2% feel that a grade between 4 and 4,5 (his actual grade) would be justified and all of the rest feel that he is nowhere worthy of such a high grade. When it comes to Bruno Fernandes, the situation is quite the opposite – almost all fans believe that he has been underdone by the PEM and he deserves much more recognition for his performances than what his statistical output would suggest. Just over 50% of all respondents suggest that a grade between 4,5 and 5 is a much more accurate estimate of his spell at Manchester United. </w:t>
      </w:r>
    </w:p>
    <w:p w14:paraId="1A988523" w14:textId="77777777" w:rsidR="003A3BCA" w:rsidRDefault="008276B6">
      <w:pPr>
        <w:spacing w:line="360" w:lineRule="auto"/>
        <w:ind w:firstLine="720"/>
        <w:jc w:val="both"/>
      </w:pPr>
      <w:r>
        <w:t>Obviously, taking Maguire and Fernandes out of the equation will increase the average percentage of people who agree with the grades set by PEM. And although this could make sense, given that the positions they play are those where the PEM faces limitations, simply taking them out defeats the purpose of the whole statistical evaluation. Statistics and data analysis</w:t>
      </w:r>
      <w:proofErr w:type="gramStart"/>
      <w:r>
        <w:t>, as a whole, are</w:t>
      </w:r>
      <w:proofErr w:type="gramEnd"/>
      <w:r>
        <w:t xml:space="preserve"> growing in popularity and usage in the world of football management/recruitment, but such decisions can’t solely be made based on statistics. Solutions and decisions made via data analysis could, in theory, outweigh what is seen by our own eyes when it comes to management/recruitment, but it can’t be the only tool used. The well-known “eye test” (evaluation based on what is seen) is still very much needed as it allows managers and scouts to see what the statistics can’t tell – the small things that are not recorded on the stats sheet. </w:t>
      </w:r>
      <w:proofErr w:type="gramStart"/>
      <w:r>
        <w:t>All of</w:t>
      </w:r>
      <w:proofErr w:type="gramEnd"/>
      <w:r>
        <w:t xml:space="preserve"> the PEM’s limitations can be “solved” by simply watching the player of interest. </w:t>
      </w:r>
    </w:p>
    <w:p w14:paraId="68386282" w14:textId="77777777" w:rsidR="003A3BCA" w:rsidRDefault="008276B6">
      <w:pPr>
        <w:spacing w:line="360" w:lineRule="auto"/>
        <w:ind w:firstLine="720"/>
        <w:jc w:val="both"/>
      </w:pPr>
      <w:r>
        <w:t xml:space="preserve">Evaluating the Player Evaluation Model is important in terms of being able to analyze its flaws and to see whether it could match what is being seen through the eye test. The more people are in general agreement with the grades that each player has received through PEM, the better. This implies that the tool could be used to supplement the traditional scouting tools when making recruitment decisions. In addition to this, the more people agree with the grades, the better the understanding of the players’ performances get, and the more useful the insights for the management of the club are. </w:t>
      </w:r>
    </w:p>
    <w:p w14:paraId="56280A6A" w14:textId="34AE1ABF" w:rsidR="003A3BCA" w:rsidRDefault="008276B6">
      <w:pPr>
        <w:spacing w:line="360" w:lineRule="auto"/>
        <w:ind w:firstLine="720"/>
        <w:jc w:val="both"/>
      </w:pPr>
      <w:r>
        <w:t>The final question that the respondents needed to answer related to their recommendations for Manchester United, i.e., what would they recommend changing for the club to restore back to its glory days</w:t>
      </w:r>
      <w:r w:rsidR="002331C5">
        <w:t>, but its results will be shown in the last section.</w:t>
      </w:r>
    </w:p>
    <w:p w14:paraId="428B88F1" w14:textId="255F117B" w:rsidR="003A3BCA" w:rsidRDefault="003A3BCA">
      <w:pPr>
        <w:pBdr>
          <w:top w:val="nil"/>
          <w:left w:val="nil"/>
          <w:bottom w:val="nil"/>
          <w:right w:val="nil"/>
          <w:between w:val="nil"/>
        </w:pBdr>
        <w:spacing w:after="200"/>
        <w:rPr>
          <w:rFonts w:ascii="Calibri" w:eastAsia="Calibri" w:hAnsi="Calibri" w:cs="Calibri"/>
          <w:i/>
          <w:color w:val="44546A"/>
          <w:sz w:val="18"/>
          <w:szCs w:val="18"/>
        </w:rPr>
      </w:pPr>
    </w:p>
    <w:p w14:paraId="21CEDEE3" w14:textId="77777777" w:rsidR="003A3BCA" w:rsidRDefault="008276B6">
      <w:pPr>
        <w:pStyle w:val="Heading1"/>
        <w:spacing w:line="360" w:lineRule="auto"/>
        <w:ind w:firstLine="720"/>
        <w:jc w:val="both"/>
        <w:rPr>
          <w:rFonts w:ascii="Times New Roman" w:eastAsia="Times New Roman" w:hAnsi="Times New Roman" w:cs="Times New Roman"/>
        </w:rPr>
      </w:pPr>
      <w:bookmarkStart w:id="16" w:name="_Toc136274674"/>
      <w:r>
        <w:rPr>
          <w:rFonts w:ascii="Times New Roman" w:eastAsia="Times New Roman" w:hAnsi="Times New Roman" w:cs="Times New Roman"/>
        </w:rPr>
        <w:lastRenderedPageBreak/>
        <w:t>Strategic Recommendations</w:t>
      </w:r>
      <w:bookmarkEnd w:id="16"/>
    </w:p>
    <w:p w14:paraId="18497E3D" w14:textId="77777777" w:rsidR="003A3BCA" w:rsidRPr="00F04DDA" w:rsidRDefault="008276B6" w:rsidP="00F04DDA">
      <w:pPr>
        <w:pStyle w:val="Heading2"/>
        <w:jc w:val="both"/>
        <w:rPr>
          <w:rFonts w:ascii="Times New Roman" w:hAnsi="Times New Roman" w:cs="Times New Roman"/>
        </w:rPr>
      </w:pPr>
      <w:bookmarkStart w:id="17" w:name="_Toc136274675"/>
      <w:r w:rsidRPr="00F04DDA">
        <w:rPr>
          <w:rFonts w:ascii="Times New Roman" w:hAnsi="Times New Roman" w:cs="Times New Roman"/>
        </w:rPr>
        <w:t>Current state-of-the-art at Manchester United</w:t>
      </w:r>
      <w:bookmarkEnd w:id="17"/>
    </w:p>
    <w:p w14:paraId="567CA07B" w14:textId="77777777" w:rsidR="003A3BCA" w:rsidRDefault="003A3BCA"/>
    <w:p w14:paraId="062582FA" w14:textId="77777777" w:rsidR="003A3BCA" w:rsidRDefault="008276B6">
      <w:pPr>
        <w:spacing w:line="360" w:lineRule="auto"/>
        <w:ind w:firstLine="720"/>
        <w:jc w:val="both"/>
      </w:pPr>
      <w:r>
        <w:t>As of Manchester United’s 34</w:t>
      </w:r>
      <w:r>
        <w:rPr>
          <w:vertAlign w:val="superscript"/>
        </w:rPr>
        <w:t>th</w:t>
      </w:r>
      <w:r>
        <w:t xml:space="preserve"> game week, May 7</w:t>
      </w:r>
      <w:r>
        <w:rPr>
          <w:vertAlign w:val="superscript"/>
        </w:rPr>
        <w:t>th</w:t>
      </w:r>
      <w:r>
        <w:t>, the club is currently in 4</w:t>
      </w:r>
      <w:r>
        <w:rPr>
          <w:vertAlign w:val="superscript"/>
        </w:rPr>
        <w:t>th</w:t>
      </w:r>
      <w:r>
        <w:t xml:space="preserve"> position in the English Premier League, hovering in the last spot that gives qualification to the UEFA Champions League for season 2023/2024. They have 4 more games to play until the end of the season in the EPL. They have also qualified for the FA Cup final on June 3</w:t>
      </w:r>
      <w:r>
        <w:rPr>
          <w:vertAlign w:val="superscript"/>
        </w:rPr>
        <w:t>rd</w:t>
      </w:r>
      <w:r>
        <w:t xml:space="preserve"> where they will be facing the other Manchester giant – Manchester City. </w:t>
      </w:r>
    </w:p>
    <w:p w14:paraId="681E60B3" w14:textId="77777777" w:rsidR="003A3BCA" w:rsidRDefault="008276B6">
      <w:pPr>
        <w:spacing w:line="360" w:lineRule="auto"/>
        <w:ind w:firstLine="720"/>
        <w:jc w:val="both"/>
      </w:pPr>
      <w:r>
        <w:t xml:space="preserve">As far as the current season is concerned, here is how Manchester United have measured against their competition in the English Premier League. </w:t>
      </w:r>
    </w:p>
    <w:tbl>
      <w:tblPr>
        <w:tblStyle w:val="ab"/>
        <w:tblW w:w="9298" w:type="dxa"/>
        <w:tblLayout w:type="fixed"/>
        <w:tblLook w:val="0400" w:firstRow="0" w:lastRow="0" w:firstColumn="0" w:lastColumn="0" w:noHBand="0" w:noVBand="1"/>
      </w:tblPr>
      <w:tblGrid>
        <w:gridCol w:w="1195"/>
        <w:gridCol w:w="927"/>
        <w:gridCol w:w="1531"/>
        <w:gridCol w:w="1103"/>
        <w:gridCol w:w="1066"/>
        <w:gridCol w:w="1453"/>
        <w:gridCol w:w="2023"/>
      </w:tblGrid>
      <w:tr w:rsidR="003A3BCA" w14:paraId="45758EB9" w14:textId="77777777" w:rsidTr="007D0519">
        <w:trPr>
          <w:trHeight w:val="519"/>
        </w:trPr>
        <w:tc>
          <w:tcPr>
            <w:tcW w:w="119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0708F7C" w14:textId="77777777" w:rsidR="003A3BCA" w:rsidRDefault="008276B6">
            <w:pPr>
              <w:rPr>
                <w:rFonts w:ascii="Calibri" w:eastAsia="Calibri" w:hAnsi="Calibri" w:cs="Calibri"/>
                <w:color w:val="000000"/>
              </w:rPr>
            </w:pPr>
            <w:r>
              <w:rPr>
                <w:rFonts w:ascii="Calibri" w:eastAsia="Calibri" w:hAnsi="Calibri" w:cs="Calibri"/>
                <w:color w:val="000000"/>
              </w:rPr>
              <w:t>Club</w:t>
            </w:r>
          </w:p>
        </w:tc>
        <w:tc>
          <w:tcPr>
            <w:tcW w:w="927" w:type="dxa"/>
            <w:tcBorders>
              <w:top w:val="single" w:sz="4" w:space="0" w:color="000000"/>
              <w:left w:val="nil"/>
              <w:bottom w:val="single" w:sz="4" w:space="0" w:color="000000"/>
              <w:right w:val="single" w:sz="4" w:space="0" w:color="000000"/>
            </w:tcBorders>
            <w:shd w:val="clear" w:color="auto" w:fill="auto"/>
            <w:vAlign w:val="bottom"/>
          </w:tcPr>
          <w:p w14:paraId="293D8DCC" w14:textId="77777777" w:rsidR="003A3BCA" w:rsidRDefault="008276B6">
            <w:pPr>
              <w:rPr>
                <w:rFonts w:ascii="Calibri" w:eastAsia="Calibri" w:hAnsi="Calibri" w:cs="Calibri"/>
                <w:color w:val="000000"/>
              </w:rPr>
            </w:pPr>
            <w:r>
              <w:rPr>
                <w:rFonts w:ascii="Calibri" w:eastAsia="Calibri" w:hAnsi="Calibri" w:cs="Calibri"/>
                <w:color w:val="000000"/>
              </w:rPr>
              <w:t>Season</w:t>
            </w:r>
          </w:p>
        </w:tc>
        <w:tc>
          <w:tcPr>
            <w:tcW w:w="1531" w:type="dxa"/>
            <w:tcBorders>
              <w:top w:val="single" w:sz="4" w:space="0" w:color="000000"/>
              <w:left w:val="nil"/>
              <w:bottom w:val="single" w:sz="4" w:space="0" w:color="000000"/>
              <w:right w:val="single" w:sz="4" w:space="0" w:color="000000"/>
            </w:tcBorders>
            <w:shd w:val="clear" w:color="auto" w:fill="auto"/>
            <w:vAlign w:val="bottom"/>
          </w:tcPr>
          <w:p w14:paraId="3975876D" w14:textId="69A9E28D" w:rsidR="003A3BCA" w:rsidRDefault="007D0519">
            <w:pPr>
              <w:rPr>
                <w:rFonts w:ascii="Calibri" w:eastAsia="Calibri" w:hAnsi="Calibri" w:cs="Calibri"/>
                <w:color w:val="000000"/>
              </w:rPr>
            </w:pPr>
            <w:r>
              <w:rPr>
                <w:rFonts w:ascii="Calibri" w:eastAsia="Calibri" w:hAnsi="Calibri" w:cs="Calibri"/>
                <w:color w:val="000000"/>
              </w:rPr>
              <w:t>Possession</w:t>
            </w:r>
            <w:r w:rsidR="008276B6">
              <w:rPr>
                <w:rFonts w:ascii="Calibri" w:eastAsia="Calibri" w:hAnsi="Calibri" w:cs="Calibri"/>
                <w:color w:val="000000"/>
              </w:rPr>
              <w:t xml:space="preserve"> %</w:t>
            </w:r>
          </w:p>
        </w:tc>
        <w:tc>
          <w:tcPr>
            <w:tcW w:w="1103" w:type="dxa"/>
            <w:tcBorders>
              <w:top w:val="single" w:sz="4" w:space="0" w:color="000000"/>
              <w:left w:val="nil"/>
              <w:bottom w:val="single" w:sz="4" w:space="0" w:color="000000"/>
              <w:right w:val="single" w:sz="4" w:space="0" w:color="000000"/>
            </w:tcBorders>
            <w:shd w:val="clear" w:color="auto" w:fill="auto"/>
            <w:vAlign w:val="bottom"/>
          </w:tcPr>
          <w:p w14:paraId="6CD942E7" w14:textId="77777777" w:rsidR="003A3BCA" w:rsidRDefault="008276B6">
            <w:pPr>
              <w:rPr>
                <w:rFonts w:ascii="Calibri" w:eastAsia="Calibri" w:hAnsi="Calibri" w:cs="Calibri"/>
                <w:color w:val="000000"/>
              </w:rPr>
            </w:pPr>
            <w:r>
              <w:rPr>
                <w:rFonts w:ascii="Calibri" w:eastAsia="Calibri" w:hAnsi="Calibri" w:cs="Calibri"/>
                <w:color w:val="000000"/>
              </w:rPr>
              <w:t>Key Passes</w:t>
            </w:r>
          </w:p>
        </w:tc>
        <w:tc>
          <w:tcPr>
            <w:tcW w:w="1066" w:type="dxa"/>
            <w:tcBorders>
              <w:top w:val="single" w:sz="4" w:space="0" w:color="000000"/>
              <w:left w:val="nil"/>
              <w:bottom w:val="single" w:sz="4" w:space="0" w:color="000000"/>
              <w:right w:val="single" w:sz="4" w:space="0" w:color="000000"/>
            </w:tcBorders>
            <w:shd w:val="clear" w:color="auto" w:fill="auto"/>
            <w:vAlign w:val="bottom"/>
          </w:tcPr>
          <w:p w14:paraId="65E87DBE" w14:textId="77777777" w:rsidR="003A3BCA" w:rsidRDefault="008276B6">
            <w:pPr>
              <w:rPr>
                <w:rFonts w:ascii="Calibri" w:eastAsia="Calibri" w:hAnsi="Calibri" w:cs="Calibri"/>
                <w:color w:val="000000"/>
              </w:rPr>
            </w:pPr>
            <w:r>
              <w:rPr>
                <w:rFonts w:ascii="Calibri" w:eastAsia="Calibri" w:hAnsi="Calibri" w:cs="Calibri"/>
                <w:color w:val="000000"/>
              </w:rPr>
              <w:t xml:space="preserve">Goals - </w:t>
            </w:r>
            <w:proofErr w:type="spellStart"/>
            <w:r>
              <w:rPr>
                <w:rFonts w:ascii="Calibri" w:eastAsia="Calibri" w:hAnsi="Calibri" w:cs="Calibri"/>
                <w:color w:val="000000"/>
              </w:rPr>
              <w:t>xG</w:t>
            </w:r>
            <w:proofErr w:type="spellEnd"/>
          </w:p>
        </w:tc>
        <w:tc>
          <w:tcPr>
            <w:tcW w:w="1453" w:type="dxa"/>
            <w:tcBorders>
              <w:top w:val="single" w:sz="4" w:space="0" w:color="000000"/>
              <w:left w:val="nil"/>
              <w:bottom w:val="single" w:sz="4" w:space="0" w:color="000000"/>
              <w:right w:val="single" w:sz="4" w:space="0" w:color="000000"/>
            </w:tcBorders>
            <w:shd w:val="clear" w:color="auto" w:fill="auto"/>
            <w:vAlign w:val="bottom"/>
          </w:tcPr>
          <w:p w14:paraId="232CDC89" w14:textId="77777777" w:rsidR="003A3BCA" w:rsidRDefault="008276B6">
            <w:pPr>
              <w:rPr>
                <w:rFonts w:ascii="Calibri" w:eastAsia="Calibri" w:hAnsi="Calibri" w:cs="Calibri"/>
                <w:color w:val="000000"/>
              </w:rPr>
            </w:pPr>
            <w:r>
              <w:rPr>
                <w:rFonts w:ascii="Calibri" w:eastAsia="Calibri" w:hAnsi="Calibri" w:cs="Calibri"/>
                <w:color w:val="000000"/>
              </w:rPr>
              <w:t>Aerials Won %</w:t>
            </w:r>
          </w:p>
        </w:tc>
        <w:tc>
          <w:tcPr>
            <w:tcW w:w="2023" w:type="dxa"/>
            <w:tcBorders>
              <w:top w:val="single" w:sz="4" w:space="0" w:color="000000"/>
              <w:left w:val="nil"/>
              <w:bottom w:val="single" w:sz="4" w:space="0" w:color="000000"/>
              <w:right w:val="single" w:sz="4" w:space="0" w:color="000000"/>
            </w:tcBorders>
            <w:shd w:val="clear" w:color="auto" w:fill="auto"/>
            <w:vAlign w:val="bottom"/>
          </w:tcPr>
          <w:p w14:paraId="0B152693" w14:textId="77777777" w:rsidR="003A3BCA" w:rsidRDefault="008276B6">
            <w:pPr>
              <w:rPr>
                <w:rFonts w:ascii="Calibri" w:eastAsia="Calibri" w:hAnsi="Calibri" w:cs="Calibri"/>
                <w:color w:val="000000"/>
              </w:rPr>
            </w:pPr>
            <w:r>
              <w:rPr>
                <w:rFonts w:ascii="Calibri" w:eastAsia="Calibri" w:hAnsi="Calibri" w:cs="Calibri"/>
                <w:color w:val="000000"/>
              </w:rPr>
              <w:t xml:space="preserve">Opponent Goals - </w:t>
            </w:r>
            <w:proofErr w:type="spellStart"/>
            <w:r>
              <w:rPr>
                <w:rFonts w:ascii="Calibri" w:eastAsia="Calibri" w:hAnsi="Calibri" w:cs="Calibri"/>
                <w:color w:val="000000"/>
              </w:rPr>
              <w:t>xG</w:t>
            </w:r>
            <w:proofErr w:type="spellEnd"/>
          </w:p>
        </w:tc>
      </w:tr>
      <w:tr w:rsidR="003A3BCA" w14:paraId="09FAB62A" w14:textId="77777777" w:rsidTr="007D0519">
        <w:trPr>
          <w:trHeight w:val="519"/>
        </w:trPr>
        <w:tc>
          <w:tcPr>
            <w:tcW w:w="1195" w:type="dxa"/>
            <w:tcBorders>
              <w:top w:val="nil"/>
              <w:left w:val="single" w:sz="4" w:space="0" w:color="000000"/>
              <w:bottom w:val="single" w:sz="4" w:space="0" w:color="000000"/>
              <w:right w:val="single" w:sz="4" w:space="0" w:color="000000"/>
            </w:tcBorders>
            <w:shd w:val="clear" w:color="auto" w:fill="auto"/>
            <w:vAlign w:val="center"/>
          </w:tcPr>
          <w:p w14:paraId="49F12753" w14:textId="77777777" w:rsidR="003A3BCA" w:rsidRDefault="008276B6">
            <w:pPr>
              <w:jc w:val="center"/>
              <w:rPr>
                <w:rFonts w:ascii="Calibri" w:eastAsia="Calibri" w:hAnsi="Calibri" w:cs="Calibri"/>
                <w:color w:val="000000"/>
              </w:rPr>
            </w:pPr>
            <w:r>
              <w:rPr>
                <w:rFonts w:ascii="Calibri" w:eastAsia="Calibri" w:hAnsi="Calibri" w:cs="Calibri"/>
                <w:color w:val="000000"/>
              </w:rPr>
              <w:t>Man United</w:t>
            </w:r>
          </w:p>
        </w:tc>
        <w:tc>
          <w:tcPr>
            <w:tcW w:w="927" w:type="dxa"/>
            <w:tcBorders>
              <w:top w:val="nil"/>
              <w:left w:val="nil"/>
              <w:bottom w:val="single" w:sz="4" w:space="0" w:color="000000"/>
              <w:right w:val="single" w:sz="4" w:space="0" w:color="000000"/>
            </w:tcBorders>
            <w:shd w:val="clear" w:color="auto" w:fill="auto"/>
            <w:vAlign w:val="center"/>
          </w:tcPr>
          <w:p w14:paraId="437E6601" w14:textId="77777777" w:rsidR="003A3BCA" w:rsidRDefault="008276B6">
            <w:pPr>
              <w:jc w:val="center"/>
              <w:rPr>
                <w:rFonts w:ascii="Calibri" w:eastAsia="Calibri" w:hAnsi="Calibri" w:cs="Calibri"/>
                <w:color w:val="000000"/>
              </w:rPr>
            </w:pPr>
            <w:r>
              <w:rPr>
                <w:rFonts w:ascii="Calibri" w:eastAsia="Calibri" w:hAnsi="Calibri" w:cs="Calibri"/>
                <w:color w:val="000000"/>
              </w:rPr>
              <w:t>2022/2023</w:t>
            </w:r>
          </w:p>
        </w:tc>
        <w:tc>
          <w:tcPr>
            <w:tcW w:w="1531" w:type="dxa"/>
            <w:tcBorders>
              <w:top w:val="nil"/>
              <w:left w:val="nil"/>
              <w:bottom w:val="single" w:sz="4" w:space="0" w:color="000000"/>
              <w:right w:val="single" w:sz="4" w:space="0" w:color="000000"/>
            </w:tcBorders>
            <w:shd w:val="clear" w:color="auto" w:fill="auto"/>
            <w:vAlign w:val="center"/>
          </w:tcPr>
          <w:p w14:paraId="631C1FCF" w14:textId="77777777" w:rsidR="003A3BCA" w:rsidRDefault="008276B6">
            <w:pPr>
              <w:jc w:val="right"/>
              <w:rPr>
                <w:rFonts w:ascii="Calibri" w:eastAsia="Calibri" w:hAnsi="Calibri" w:cs="Calibri"/>
                <w:color w:val="000000"/>
              </w:rPr>
            </w:pPr>
            <w:r>
              <w:rPr>
                <w:rFonts w:ascii="Calibri" w:eastAsia="Calibri" w:hAnsi="Calibri" w:cs="Calibri"/>
                <w:color w:val="000000"/>
              </w:rPr>
              <w:t>54,1</w:t>
            </w:r>
          </w:p>
        </w:tc>
        <w:tc>
          <w:tcPr>
            <w:tcW w:w="1103" w:type="dxa"/>
            <w:tcBorders>
              <w:top w:val="nil"/>
              <w:left w:val="nil"/>
              <w:bottom w:val="single" w:sz="4" w:space="0" w:color="000000"/>
              <w:right w:val="single" w:sz="4" w:space="0" w:color="000000"/>
            </w:tcBorders>
            <w:shd w:val="clear" w:color="auto" w:fill="auto"/>
            <w:vAlign w:val="center"/>
          </w:tcPr>
          <w:p w14:paraId="48FD342C" w14:textId="77777777" w:rsidR="003A3BCA" w:rsidRDefault="008276B6">
            <w:pPr>
              <w:jc w:val="right"/>
              <w:rPr>
                <w:rFonts w:ascii="Calibri" w:eastAsia="Calibri" w:hAnsi="Calibri" w:cs="Calibri"/>
                <w:color w:val="000000"/>
              </w:rPr>
            </w:pPr>
            <w:r>
              <w:rPr>
                <w:rFonts w:ascii="Calibri" w:eastAsia="Calibri" w:hAnsi="Calibri" w:cs="Calibri"/>
                <w:color w:val="000000"/>
              </w:rPr>
              <w:t>408</w:t>
            </w:r>
          </w:p>
        </w:tc>
        <w:tc>
          <w:tcPr>
            <w:tcW w:w="1066" w:type="dxa"/>
            <w:tcBorders>
              <w:top w:val="nil"/>
              <w:left w:val="nil"/>
              <w:bottom w:val="single" w:sz="4" w:space="0" w:color="000000"/>
              <w:right w:val="single" w:sz="4" w:space="0" w:color="000000"/>
            </w:tcBorders>
            <w:shd w:val="clear" w:color="auto" w:fill="auto"/>
            <w:vAlign w:val="center"/>
          </w:tcPr>
          <w:p w14:paraId="34C74C02" w14:textId="77777777" w:rsidR="003A3BCA" w:rsidRDefault="008276B6">
            <w:pPr>
              <w:jc w:val="right"/>
              <w:rPr>
                <w:rFonts w:ascii="Calibri" w:eastAsia="Calibri" w:hAnsi="Calibri" w:cs="Calibri"/>
                <w:color w:val="000000"/>
              </w:rPr>
            </w:pPr>
            <w:r>
              <w:rPr>
                <w:rFonts w:ascii="Calibri" w:eastAsia="Calibri" w:hAnsi="Calibri" w:cs="Calibri"/>
                <w:color w:val="000000"/>
              </w:rPr>
              <w:t>-8,1</w:t>
            </w:r>
          </w:p>
        </w:tc>
        <w:tc>
          <w:tcPr>
            <w:tcW w:w="1453" w:type="dxa"/>
            <w:tcBorders>
              <w:top w:val="nil"/>
              <w:left w:val="nil"/>
              <w:bottom w:val="single" w:sz="4" w:space="0" w:color="000000"/>
              <w:right w:val="single" w:sz="4" w:space="0" w:color="000000"/>
            </w:tcBorders>
            <w:shd w:val="clear" w:color="auto" w:fill="auto"/>
            <w:vAlign w:val="center"/>
          </w:tcPr>
          <w:p w14:paraId="5CBBC244" w14:textId="77777777" w:rsidR="003A3BCA" w:rsidRDefault="008276B6">
            <w:pPr>
              <w:jc w:val="right"/>
              <w:rPr>
                <w:rFonts w:ascii="Calibri" w:eastAsia="Calibri" w:hAnsi="Calibri" w:cs="Calibri"/>
                <w:color w:val="000000"/>
              </w:rPr>
            </w:pPr>
            <w:r>
              <w:rPr>
                <w:rFonts w:ascii="Calibri" w:eastAsia="Calibri" w:hAnsi="Calibri" w:cs="Calibri"/>
                <w:color w:val="000000"/>
              </w:rPr>
              <w:t>51,8</w:t>
            </w:r>
          </w:p>
        </w:tc>
        <w:tc>
          <w:tcPr>
            <w:tcW w:w="2023" w:type="dxa"/>
            <w:tcBorders>
              <w:top w:val="nil"/>
              <w:left w:val="nil"/>
              <w:bottom w:val="single" w:sz="4" w:space="0" w:color="000000"/>
              <w:right w:val="single" w:sz="4" w:space="0" w:color="000000"/>
            </w:tcBorders>
            <w:shd w:val="clear" w:color="auto" w:fill="auto"/>
            <w:vAlign w:val="center"/>
          </w:tcPr>
          <w:p w14:paraId="2A1886DE" w14:textId="77777777" w:rsidR="003A3BCA" w:rsidRDefault="008276B6">
            <w:pPr>
              <w:jc w:val="right"/>
              <w:rPr>
                <w:rFonts w:ascii="Calibri" w:eastAsia="Calibri" w:hAnsi="Calibri" w:cs="Calibri"/>
                <w:color w:val="000000"/>
              </w:rPr>
            </w:pPr>
            <w:r>
              <w:rPr>
                <w:rFonts w:ascii="Calibri" w:eastAsia="Calibri" w:hAnsi="Calibri" w:cs="Calibri"/>
                <w:color w:val="000000"/>
              </w:rPr>
              <w:t>-5,3</w:t>
            </w:r>
          </w:p>
        </w:tc>
      </w:tr>
    </w:tbl>
    <w:p w14:paraId="722B0F9E" w14:textId="77777777" w:rsidR="003A3BCA" w:rsidRDefault="008276B6">
      <w:pPr>
        <w:pBdr>
          <w:top w:val="nil"/>
          <w:left w:val="nil"/>
          <w:bottom w:val="nil"/>
          <w:right w:val="nil"/>
          <w:between w:val="nil"/>
        </w:pBdr>
        <w:spacing w:after="200"/>
        <w:rPr>
          <w:rFonts w:ascii="Calibri" w:eastAsia="Calibri" w:hAnsi="Calibri" w:cs="Calibri"/>
          <w:i/>
          <w:color w:val="44546A"/>
          <w:sz w:val="18"/>
          <w:szCs w:val="18"/>
        </w:rPr>
      </w:pPr>
      <w:r>
        <w:rPr>
          <w:rFonts w:ascii="Calibri" w:eastAsia="Calibri" w:hAnsi="Calibri" w:cs="Calibri"/>
          <w:i/>
          <w:color w:val="44546A"/>
          <w:sz w:val="18"/>
          <w:szCs w:val="18"/>
        </w:rPr>
        <w:t>Table 13. Descriptive breakdown of Manchester United's season based on key performance variables</w:t>
      </w:r>
    </w:p>
    <w:tbl>
      <w:tblPr>
        <w:tblStyle w:val="ac"/>
        <w:tblW w:w="9306" w:type="dxa"/>
        <w:tblLayout w:type="fixed"/>
        <w:tblLook w:val="0400" w:firstRow="0" w:lastRow="0" w:firstColumn="0" w:lastColumn="0" w:noHBand="0" w:noVBand="1"/>
      </w:tblPr>
      <w:tblGrid>
        <w:gridCol w:w="2046"/>
        <w:gridCol w:w="1103"/>
        <w:gridCol w:w="1203"/>
        <w:gridCol w:w="1163"/>
        <w:gridCol w:w="1584"/>
        <w:gridCol w:w="2207"/>
      </w:tblGrid>
      <w:tr w:rsidR="003A3BCA" w14:paraId="5B34457D" w14:textId="77777777">
        <w:trPr>
          <w:trHeight w:val="405"/>
        </w:trPr>
        <w:tc>
          <w:tcPr>
            <w:tcW w:w="204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tcPr>
          <w:p w14:paraId="79032099" w14:textId="77777777" w:rsidR="003A3BCA" w:rsidRDefault="008276B6">
            <w:pPr>
              <w:rPr>
                <w:rFonts w:ascii="Calibri" w:eastAsia="Calibri" w:hAnsi="Calibri" w:cs="Calibri"/>
                <w:color w:val="000000"/>
              </w:rPr>
            </w:pPr>
            <w:r>
              <w:rPr>
                <w:rFonts w:ascii="Calibri" w:eastAsia="Calibri" w:hAnsi="Calibri" w:cs="Calibri"/>
                <w:color w:val="000000"/>
              </w:rPr>
              <w:t>Club</w:t>
            </w:r>
          </w:p>
        </w:tc>
        <w:tc>
          <w:tcPr>
            <w:tcW w:w="1103" w:type="dxa"/>
            <w:tcBorders>
              <w:top w:val="single" w:sz="4" w:space="0" w:color="000000"/>
              <w:left w:val="nil"/>
              <w:bottom w:val="single" w:sz="4" w:space="0" w:color="000000"/>
              <w:right w:val="single" w:sz="4" w:space="0" w:color="000000"/>
            </w:tcBorders>
            <w:shd w:val="clear" w:color="auto" w:fill="auto"/>
            <w:tcMar>
              <w:top w:w="15" w:type="dxa"/>
              <w:left w:w="15" w:type="dxa"/>
              <w:bottom w:w="0" w:type="dxa"/>
              <w:right w:w="15" w:type="dxa"/>
            </w:tcMar>
            <w:vAlign w:val="bottom"/>
          </w:tcPr>
          <w:p w14:paraId="080685B2" w14:textId="77777777" w:rsidR="003A3BCA" w:rsidRDefault="008276B6">
            <w:pPr>
              <w:rPr>
                <w:rFonts w:ascii="Calibri" w:eastAsia="Calibri" w:hAnsi="Calibri" w:cs="Calibri"/>
                <w:color w:val="000000"/>
              </w:rPr>
            </w:pPr>
            <w:r>
              <w:rPr>
                <w:rFonts w:ascii="Calibri" w:eastAsia="Calibri" w:hAnsi="Calibri" w:cs="Calibri"/>
              </w:rPr>
              <w:t>Possession</w:t>
            </w:r>
          </w:p>
        </w:tc>
        <w:tc>
          <w:tcPr>
            <w:tcW w:w="1203" w:type="dxa"/>
            <w:tcBorders>
              <w:top w:val="single" w:sz="4" w:space="0" w:color="000000"/>
              <w:left w:val="nil"/>
              <w:bottom w:val="single" w:sz="4" w:space="0" w:color="000000"/>
              <w:right w:val="single" w:sz="4" w:space="0" w:color="000000"/>
            </w:tcBorders>
            <w:shd w:val="clear" w:color="auto" w:fill="auto"/>
            <w:tcMar>
              <w:top w:w="15" w:type="dxa"/>
              <w:left w:w="15" w:type="dxa"/>
              <w:bottom w:w="0" w:type="dxa"/>
              <w:right w:w="15" w:type="dxa"/>
            </w:tcMar>
            <w:vAlign w:val="bottom"/>
          </w:tcPr>
          <w:p w14:paraId="7D43B7BB" w14:textId="77777777" w:rsidR="003A3BCA" w:rsidRDefault="008276B6">
            <w:pPr>
              <w:rPr>
                <w:rFonts w:ascii="Calibri" w:eastAsia="Calibri" w:hAnsi="Calibri" w:cs="Calibri"/>
                <w:color w:val="000000"/>
              </w:rPr>
            </w:pPr>
            <w:r>
              <w:rPr>
                <w:rFonts w:ascii="Calibri" w:eastAsia="Calibri" w:hAnsi="Calibri" w:cs="Calibri"/>
                <w:color w:val="000000"/>
              </w:rPr>
              <w:t>Key Passes</w:t>
            </w:r>
          </w:p>
        </w:tc>
        <w:tc>
          <w:tcPr>
            <w:tcW w:w="1163" w:type="dxa"/>
            <w:tcBorders>
              <w:top w:val="single" w:sz="4" w:space="0" w:color="000000"/>
              <w:left w:val="nil"/>
              <w:bottom w:val="single" w:sz="4" w:space="0" w:color="000000"/>
              <w:right w:val="single" w:sz="4" w:space="0" w:color="000000"/>
            </w:tcBorders>
            <w:shd w:val="clear" w:color="auto" w:fill="auto"/>
            <w:tcMar>
              <w:top w:w="15" w:type="dxa"/>
              <w:left w:w="15" w:type="dxa"/>
              <w:bottom w:w="0" w:type="dxa"/>
              <w:right w:w="15" w:type="dxa"/>
            </w:tcMar>
            <w:vAlign w:val="bottom"/>
          </w:tcPr>
          <w:p w14:paraId="29EC785F" w14:textId="77777777" w:rsidR="003A3BCA" w:rsidRDefault="008276B6">
            <w:pPr>
              <w:rPr>
                <w:rFonts w:ascii="Calibri" w:eastAsia="Calibri" w:hAnsi="Calibri" w:cs="Calibri"/>
                <w:color w:val="000000"/>
              </w:rPr>
            </w:pPr>
            <w:r>
              <w:rPr>
                <w:rFonts w:ascii="Calibri" w:eastAsia="Calibri" w:hAnsi="Calibri" w:cs="Calibri"/>
                <w:color w:val="000000"/>
              </w:rPr>
              <w:t xml:space="preserve">Goals - </w:t>
            </w:r>
            <w:proofErr w:type="spellStart"/>
            <w:r>
              <w:rPr>
                <w:rFonts w:ascii="Calibri" w:eastAsia="Calibri" w:hAnsi="Calibri" w:cs="Calibri"/>
                <w:color w:val="000000"/>
              </w:rPr>
              <w:t>xG</w:t>
            </w:r>
            <w:proofErr w:type="spellEnd"/>
          </w:p>
        </w:tc>
        <w:tc>
          <w:tcPr>
            <w:tcW w:w="1584" w:type="dxa"/>
            <w:tcBorders>
              <w:top w:val="single" w:sz="4" w:space="0" w:color="000000"/>
              <w:left w:val="nil"/>
              <w:bottom w:val="single" w:sz="4" w:space="0" w:color="000000"/>
              <w:right w:val="single" w:sz="4" w:space="0" w:color="000000"/>
            </w:tcBorders>
            <w:shd w:val="clear" w:color="auto" w:fill="auto"/>
            <w:tcMar>
              <w:top w:w="15" w:type="dxa"/>
              <w:left w:w="15" w:type="dxa"/>
              <w:bottom w:w="0" w:type="dxa"/>
              <w:right w:w="15" w:type="dxa"/>
            </w:tcMar>
            <w:vAlign w:val="bottom"/>
          </w:tcPr>
          <w:p w14:paraId="6FD29CAA" w14:textId="77777777" w:rsidR="003A3BCA" w:rsidRDefault="008276B6">
            <w:pPr>
              <w:rPr>
                <w:rFonts w:ascii="Calibri" w:eastAsia="Calibri" w:hAnsi="Calibri" w:cs="Calibri"/>
                <w:color w:val="000000"/>
              </w:rPr>
            </w:pPr>
            <w:r>
              <w:rPr>
                <w:rFonts w:ascii="Calibri" w:eastAsia="Calibri" w:hAnsi="Calibri" w:cs="Calibri"/>
                <w:color w:val="000000"/>
              </w:rPr>
              <w:t>Aerials Won %</w:t>
            </w:r>
          </w:p>
        </w:tc>
        <w:tc>
          <w:tcPr>
            <w:tcW w:w="2207" w:type="dxa"/>
            <w:tcBorders>
              <w:top w:val="single" w:sz="4" w:space="0" w:color="000000"/>
              <w:left w:val="nil"/>
              <w:bottom w:val="single" w:sz="4" w:space="0" w:color="000000"/>
              <w:right w:val="single" w:sz="4" w:space="0" w:color="000000"/>
            </w:tcBorders>
            <w:shd w:val="clear" w:color="auto" w:fill="auto"/>
            <w:tcMar>
              <w:top w:w="15" w:type="dxa"/>
              <w:left w:w="15" w:type="dxa"/>
              <w:bottom w:w="0" w:type="dxa"/>
              <w:right w:w="15" w:type="dxa"/>
            </w:tcMar>
            <w:vAlign w:val="bottom"/>
          </w:tcPr>
          <w:p w14:paraId="7DD122E2" w14:textId="77777777" w:rsidR="003A3BCA" w:rsidRDefault="008276B6">
            <w:pPr>
              <w:rPr>
                <w:rFonts w:ascii="Calibri" w:eastAsia="Calibri" w:hAnsi="Calibri" w:cs="Calibri"/>
                <w:color w:val="000000"/>
              </w:rPr>
            </w:pPr>
            <w:r>
              <w:rPr>
                <w:rFonts w:ascii="Calibri" w:eastAsia="Calibri" w:hAnsi="Calibri" w:cs="Calibri"/>
                <w:color w:val="000000"/>
              </w:rPr>
              <w:t xml:space="preserve">Opponent Goals - </w:t>
            </w:r>
            <w:proofErr w:type="spellStart"/>
            <w:r>
              <w:rPr>
                <w:rFonts w:ascii="Calibri" w:eastAsia="Calibri" w:hAnsi="Calibri" w:cs="Calibri"/>
                <w:color w:val="000000"/>
              </w:rPr>
              <w:t>xG</w:t>
            </w:r>
            <w:proofErr w:type="spellEnd"/>
          </w:p>
        </w:tc>
      </w:tr>
      <w:tr w:rsidR="003A3BCA" w14:paraId="3AB62F2A" w14:textId="77777777">
        <w:trPr>
          <w:trHeight w:val="723"/>
        </w:trPr>
        <w:tc>
          <w:tcPr>
            <w:tcW w:w="2046"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7F5AC351" w14:textId="77777777" w:rsidR="003A3BCA" w:rsidRDefault="008276B6">
            <w:pPr>
              <w:jc w:val="center"/>
              <w:rPr>
                <w:rFonts w:ascii="Calibri" w:eastAsia="Calibri" w:hAnsi="Calibri" w:cs="Calibri"/>
                <w:color w:val="000000"/>
              </w:rPr>
            </w:pPr>
            <w:r>
              <w:rPr>
                <w:rFonts w:ascii="Calibri" w:eastAsia="Calibri" w:hAnsi="Calibri" w:cs="Calibri"/>
                <w:color w:val="000000"/>
              </w:rPr>
              <w:t>Man United</w:t>
            </w:r>
          </w:p>
        </w:tc>
        <w:tc>
          <w:tcPr>
            <w:tcW w:w="1103"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tcPr>
          <w:p w14:paraId="580404BE" w14:textId="77777777" w:rsidR="003A3BCA" w:rsidRDefault="008276B6">
            <w:pPr>
              <w:jc w:val="center"/>
              <w:rPr>
                <w:rFonts w:ascii="Calibri" w:eastAsia="Calibri" w:hAnsi="Calibri" w:cs="Calibri"/>
                <w:color w:val="000000"/>
              </w:rPr>
            </w:pPr>
            <w:r>
              <w:rPr>
                <w:rFonts w:ascii="Calibri" w:eastAsia="Calibri" w:hAnsi="Calibri" w:cs="Calibri"/>
                <w:color w:val="000000"/>
              </w:rPr>
              <w:t>6th</w:t>
            </w:r>
          </w:p>
        </w:tc>
        <w:tc>
          <w:tcPr>
            <w:tcW w:w="1203"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tcPr>
          <w:p w14:paraId="2D36D2DA" w14:textId="77777777" w:rsidR="003A3BCA" w:rsidRDefault="008276B6">
            <w:pPr>
              <w:jc w:val="center"/>
              <w:rPr>
                <w:rFonts w:ascii="Calibri" w:eastAsia="Calibri" w:hAnsi="Calibri" w:cs="Calibri"/>
                <w:color w:val="000000"/>
              </w:rPr>
            </w:pPr>
            <w:r>
              <w:rPr>
                <w:rFonts w:ascii="Calibri" w:eastAsia="Calibri" w:hAnsi="Calibri" w:cs="Calibri"/>
                <w:color w:val="000000"/>
              </w:rPr>
              <w:t>4th</w:t>
            </w:r>
          </w:p>
        </w:tc>
        <w:tc>
          <w:tcPr>
            <w:tcW w:w="1163"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tcPr>
          <w:p w14:paraId="2B43C944" w14:textId="77777777" w:rsidR="003A3BCA" w:rsidRDefault="008276B6">
            <w:pPr>
              <w:jc w:val="center"/>
              <w:rPr>
                <w:rFonts w:ascii="Calibri" w:eastAsia="Calibri" w:hAnsi="Calibri" w:cs="Calibri"/>
                <w:color w:val="000000"/>
              </w:rPr>
            </w:pPr>
            <w:r>
              <w:rPr>
                <w:rFonts w:ascii="Calibri" w:eastAsia="Calibri" w:hAnsi="Calibri" w:cs="Calibri"/>
                <w:color w:val="000000"/>
              </w:rPr>
              <w:t>17th</w:t>
            </w:r>
          </w:p>
        </w:tc>
        <w:tc>
          <w:tcPr>
            <w:tcW w:w="1584"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tcPr>
          <w:p w14:paraId="628D07E6" w14:textId="77777777" w:rsidR="003A3BCA" w:rsidRDefault="008276B6">
            <w:pPr>
              <w:jc w:val="center"/>
              <w:rPr>
                <w:rFonts w:ascii="Calibri" w:eastAsia="Calibri" w:hAnsi="Calibri" w:cs="Calibri"/>
                <w:color w:val="000000"/>
              </w:rPr>
            </w:pPr>
            <w:r>
              <w:rPr>
                <w:rFonts w:ascii="Calibri" w:eastAsia="Calibri" w:hAnsi="Calibri" w:cs="Calibri"/>
                <w:color w:val="000000"/>
              </w:rPr>
              <w:t>6th</w:t>
            </w:r>
          </w:p>
        </w:tc>
        <w:tc>
          <w:tcPr>
            <w:tcW w:w="220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tcPr>
          <w:p w14:paraId="5774E65C" w14:textId="77777777" w:rsidR="003A3BCA" w:rsidRDefault="008276B6">
            <w:pPr>
              <w:jc w:val="center"/>
              <w:rPr>
                <w:rFonts w:ascii="Calibri" w:eastAsia="Calibri" w:hAnsi="Calibri" w:cs="Calibri"/>
                <w:color w:val="000000"/>
              </w:rPr>
            </w:pPr>
            <w:r>
              <w:rPr>
                <w:rFonts w:ascii="Calibri" w:eastAsia="Calibri" w:hAnsi="Calibri" w:cs="Calibri"/>
                <w:color w:val="000000"/>
              </w:rPr>
              <w:t>7th</w:t>
            </w:r>
          </w:p>
        </w:tc>
      </w:tr>
    </w:tbl>
    <w:p w14:paraId="7A3C2CA1" w14:textId="77777777" w:rsidR="003A3BCA" w:rsidRDefault="008276B6">
      <w:pPr>
        <w:pBdr>
          <w:top w:val="nil"/>
          <w:left w:val="nil"/>
          <w:bottom w:val="nil"/>
          <w:right w:val="nil"/>
          <w:between w:val="nil"/>
        </w:pBdr>
        <w:spacing w:after="200"/>
        <w:rPr>
          <w:rFonts w:ascii="Calibri" w:eastAsia="Calibri" w:hAnsi="Calibri" w:cs="Calibri"/>
          <w:i/>
          <w:color w:val="44546A"/>
          <w:sz w:val="18"/>
          <w:szCs w:val="18"/>
        </w:rPr>
      </w:pPr>
      <w:r>
        <w:rPr>
          <w:rFonts w:ascii="Calibri" w:eastAsia="Calibri" w:hAnsi="Calibri" w:cs="Calibri"/>
          <w:i/>
          <w:color w:val="44546A"/>
          <w:sz w:val="18"/>
          <w:szCs w:val="18"/>
        </w:rPr>
        <w:t xml:space="preserve"> Table 14. Rank within league; Manchester United's key performance variable.</w:t>
      </w:r>
    </w:p>
    <w:p w14:paraId="71891C8A" w14:textId="77777777" w:rsidR="003A3BCA" w:rsidRDefault="008276B6">
      <w:pPr>
        <w:spacing w:line="360" w:lineRule="auto"/>
        <w:jc w:val="both"/>
      </w:pPr>
      <w:r>
        <w:tab/>
        <w:t>Although United have had a very good campaign in terms of key passes (chance creation), they have been largely disappointing offensively, implying the need for quality attacking players. The club might also benefit from a new defender/defensive player that will help the team become more efficient defensively. Moreover, although United has been “consistent” in terms of finishing 6</w:t>
      </w:r>
      <w:r>
        <w:rPr>
          <w:vertAlign w:val="superscript"/>
        </w:rPr>
        <w:t>th</w:t>
      </w:r>
      <w:r>
        <w:t xml:space="preserve"> for possession, the ability to keep hold of the ball for longer periods is one of, if not the most significant contributors to the regression model, which highlights the importance for a club to be able to control the ball, and subsequently be in control of the games. And although the amount of time a club keeps hold of the ball could be a tactical decision by the coaches of the club, United could </w:t>
      </w:r>
      <w:proofErr w:type="gramStart"/>
      <w:r>
        <w:t>definitely benefit</w:t>
      </w:r>
      <w:proofErr w:type="gramEnd"/>
      <w:r>
        <w:t xml:space="preserve"> from adding a midfielder who is a specialist in keeping the ball under his club’s control, as the importance of this variable is quite high. </w:t>
      </w:r>
    </w:p>
    <w:p w14:paraId="3418C44F" w14:textId="77777777" w:rsidR="003A3BCA" w:rsidRDefault="008276B6">
      <w:pPr>
        <w:spacing w:line="360" w:lineRule="auto"/>
        <w:jc w:val="both"/>
      </w:pPr>
      <w:r>
        <w:tab/>
        <w:t xml:space="preserve">If we apply the regression model equation, </w:t>
      </w:r>
      <w:proofErr w:type="gramStart"/>
      <w:r>
        <w:t>in order to</w:t>
      </w:r>
      <w:proofErr w:type="gramEnd"/>
      <w:r>
        <w:t xml:space="preserve"> determine what the statistics say about where Manchester United should’ve finished the season, versus where they are about to finish it, we get the following:</w:t>
      </w:r>
    </w:p>
    <w:p w14:paraId="352FCD03" w14:textId="77777777" w:rsidR="003A3BCA" w:rsidRDefault="003A3BCA">
      <w:pPr>
        <w:spacing w:line="360" w:lineRule="auto"/>
        <w:jc w:val="both"/>
      </w:pPr>
    </w:p>
    <w:p w14:paraId="05D8BC6B" w14:textId="77777777" w:rsidR="003A3BCA" w:rsidRDefault="003A3BCA">
      <w:pPr>
        <w:spacing w:line="360" w:lineRule="auto"/>
        <w:jc w:val="both"/>
      </w:pPr>
    </w:p>
    <w:tbl>
      <w:tblPr>
        <w:tblStyle w:val="ad"/>
        <w:tblW w:w="9188" w:type="dxa"/>
        <w:tblLayout w:type="fixed"/>
        <w:tblLook w:val="0400" w:firstRow="0" w:lastRow="0" w:firstColumn="0" w:lastColumn="0" w:noHBand="0" w:noVBand="1"/>
      </w:tblPr>
      <w:tblGrid>
        <w:gridCol w:w="1691"/>
        <w:gridCol w:w="2421"/>
        <w:gridCol w:w="2421"/>
        <w:gridCol w:w="2655"/>
      </w:tblGrid>
      <w:tr w:rsidR="003A3BCA" w14:paraId="036EC93A" w14:textId="77777777">
        <w:trPr>
          <w:trHeight w:val="353"/>
        </w:trPr>
        <w:tc>
          <w:tcPr>
            <w:tcW w:w="169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tcPr>
          <w:p w14:paraId="66C0FD8E" w14:textId="77777777" w:rsidR="003A3BCA" w:rsidRDefault="008276B6">
            <w:pPr>
              <w:jc w:val="center"/>
              <w:rPr>
                <w:rFonts w:ascii="Calibri" w:eastAsia="Calibri" w:hAnsi="Calibri" w:cs="Calibri"/>
                <w:color w:val="000000"/>
              </w:rPr>
            </w:pPr>
            <w:r>
              <w:rPr>
                <w:rFonts w:ascii="Calibri" w:eastAsia="Calibri" w:hAnsi="Calibri" w:cs="Calibri"/>
                <w:color w:val="000000"/>
              </w:rPr>
              <w:lastRenderedPageBreak/>
              <w:t>Club</w:t>
            </w:r>
          </w:p>
        </w:tc>
        <w:tc>
          <w:tcPr>
            <w:tcW w:w="2421" w:type="dxa"/>
            <w:tcBorders>
              <w:top w:val="single" w:sz="4" w:space="0" w:color="000000"/>
              <w:left w:val="nil"/>
              <w:bottom w:val="single" w:sz="4" w:space="0" w:color="000000"/>
              <w:right w:val="single" w:sz="4" w:space="0" w:color="000000"/>
            </w:tcBorders>
            <w:shd w:val="clear" w:color="auto" w:fill="auto"/>
            <w:tcMar>
              <w:top w:w="15" w:type="dxa"/>
              <w:left w:w="15" w:type="dxa"/>
              <w:bottom w:w="0" w:type="dxa"/>
              <w:right w:w="15" w:type="dxa"/>
            </w:tcMar>
            <w:vAlign w:val="bottom"/>
          </w:tcPr>
          <w:p w14:paraId="14CC22A1" w14:textId="77777777" w:rsidR="003A3BCA" w:rsidRDefault="008276B6">
            <w:pPr>
              <w:jc w:val="center"/>
              <w:rPr>
                <w:rFonts w:ascii="Calibri" w:eastAsia="Calibri" w:hAnsi="Calibri" w:cs="Calibri"/>
                <w:color w:val="000000"/>
              </w:rPr>
            </w:pPr>
            <w:r>
              <w:rPr>
                <w:rFonts w:ascii="Calibri" w:eastAsia="Calibri" w:hAnsi="Calibri" w:cs="Calibri"/>
                <w:color w:val="000000"/>
              </w:rPr>
              <w:t>Season</w:t>
            </w:r>
          </w:p>
        </w:tc>
        <w:tc>
          <w:tcPr>
            <w:tcW w:w="2421" w:type="dxa"/>
            <w:tcBorders>
              <w:top w:val="single" w:sz="4" w:space="0" w:color="000000"/>
              <w:left w:val="nil"/>
              <w:bottom w:val="single" w:sz="4" w:space="0" w:color="000000"/>
              <w:right w:val="single" w:sz="4" w:space="0" w:color="000000"/>
            </w:tcBorders>
            <w:shd w:val="clear" w:color="auto" w:fill="auto"/>
            <w:tcMar>
              <w:top w:w="15" w:type="dxa"/>
              <w:left w:w="15" w:type="dxa"/>
              <w:bottom w:w="0" w:type="dxa"/>
              <w:right w:w="15" w:type="dxa"/>
            </w:tcMar>
            <w:vAlign w:val="bottom"/>
          </w:tcPr>
          <w:p w14:paraId="76593F7F" w14:textId="77777777" w:rsidR="003A3BCA" w:rsidRDefault="008276B6">
            <w:pPr>
              <w:jc w:val="center"/>
              <w:rPr>
                <w:rFonts w:ascii="Calibri" w:eastAsia="Calibri" w:hAnsi="Calibri" w:cs="Calibri"/>
                <w:color w:val="000000"/>
              </w:rPr>
            </w:pPr>
            <w:r>
              <w:rPr>
                <w:rFonts w:ascii="Calibri" w:eastAsia="Calibri" w:hAnsi="Calibri" w:cs="Calibri"/>
                <w:color w:val="000000"/>
              </w:rPr>
              <w:t>Expected Position</w:t>
            </w:r>
          </w:p>
        </w:tc>
        <w:tc>
          <w:tcPr>
            <w:tcW w:w="2655" w:type="dxa"/>
            <w:tcBorders>
              <w:top w:val="single" w:sz="4" w:space="0" w:color="000000"/>
              <w:left w:val="nil"/>
              <w:bottom w:val="single" w:sz="4" w:space="0" w:color="000000"/>
              <w:right w:val="single" w:sz="4" w:space="0" w:color="000000"/>
            </w:tcBorders>
            <w:shd w:val="clear" w:color="auto" w:fill="auto"/>
            <w:tcMar>
              <w:top w:w="15" w:type="dxa"/>
              <w:left w:w="15" w:type="dxa"/>
              <w:bottom w:w="0" w:type="dxa"/>
              <w:right w:w="15" w:type="dxa"/>
            </w:tcMar>
            <w:vAlign w:val="bottom"/>
          </w:tcPr>
          <w:p w14:paraId="58E5D024" w14:textId="77777777" w:rsidR="003A3BCA" w:rsidRDefault="008276B6">
            <w:pPr>
              <w:jc w:val="center"/>
              <w:rPr>
                <w:rFonts w:ascii="Calibri" w:eastAsia="Calibri" w:hAnsi="Calibri" w:cs="Calibri"/>
                <w:color w:val="000000"/>
              </w:rPr>
            </w:pPr>
            <w:r>
              <w:rPr>
                <w:rFonts w:ascii="Calibri" w:eastAsia="Calibri" w:hAnsi="Calibri" w:cs="Calibri"/>
                <w:color w:val="000000"/>
              </w:rPr>
              <w:t>Final Position</w:t>
            </w:r>
          </w:p>
        </w:tc>
      </w:tr>
      <w:tr w:rsidR="003A3BCA" w14:paraId="3B443BAD" w14:textId="77777777">
        <w:trPr>
          <w:trHeight w:val="376"/>
        </w:trPr>
        <w:tc>
          <w:tcPr>
            <w:tcW w:w="1691"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tcPr>
          <w:p w14:paraId="4C2A68DF" w14:textId="77777777" w:rsidR="003A3BCA" w:rsidRDefault="008276B6">
            <w:pPr>
              <w:jc w:val="center"/>
              <w:rPr>
                <w:rFonts w:ascii="Calibri" w:eastAsia="Calibri" w:hAnsi="Calibri" w:cs="Calibri"/>
                <w:color w:val="000000"/>
              </w:rPr>
            </w:pPr>
            <w:r>
              <w:rPr>
                <w:rFonts w:ascii="Calibri" w:eastAsia="Calibri" w:hAnsi="Calibri" w:cs="Calibri"/>
                <w:color w:val="000000"/>
              </w:rPr>
              <w:t>Man United</w:t>
            </w:r>
          </w:p>
        </w:tc>
        <w:tc>
          <w:tcPr>
            <w:tcW w:w="2421"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tcPr>
          <w:p w14:paraId="120612B3" w14:textId="77777777" w:rsidR="003A3BCA" w:rsidRDefault="008276B6">
            <w:pPr>
              <w:jc w:val="center"/>
              <w:rPr>
                <w:rFonts w:ascii="Calibri" w:eastAsia="Calibri" w:hAnsi="Calibri" w:cs="Calibri"/>
                <w:color w:val="000000"/>
              </w:rPr>
            </w:pPr>
            <w:r>
              <w:rPr>
                <w:rFonts w:ascii="Calibri" w:eastAsia="Calibri" w:hAnsi="Calibri" w:cs="Calibri"/>
                <w:color w:val="000000"/>
              </w:rPr>
              <w:t>2022/2023</w:t>
            </w:r>
          </w:p>
        </w:tc>
        <w:tc>
          <w:tcPr>
            <w:tcW w:w="2421"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tcPr>
          <w:p w14:paraId="0E080EC8" w14:textId="77777777" w:rsidR="003A3BCA" w:rsidRDefault="008276B6">
            <w:pPr>
              <w:jc w:val="center"/>
              <w:rPr>
                <w:rFonts w:ascii="Calibri" w:eastAsia="Calibri" w:hAnsi="Calibri" w:cs="Calibri"/>
                <w:color w:val="000000"/>
              </w:rPr>
            </w:pPr>
            <w:r>
              <w:rPr>
                <w:rFonts w:ascii="Calibri" w:eastAsia="Calibri" w:hAnsi="Calibri" w:cs="Calibri"/>
                <w:color w:val="000000"/>
              </w:rPr>
              <w:t>9th</w:t>
            </w:r>
          </w:p>
        </w:tc>
        <w:tc>
          <w:tcPr>
            <w:tcW w:w="2655"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tcPr>
          <w:p w14:paraId="662BD982" w14:textId="77777777" w:rsidR="003A3BCA" w:rsidRDefault="008276B6">
            <w:pPr>
              <w:jc w:val="center"/>
              <w:rPr>
                <w:rFonts w:ascii="Calibri" w:eastAsia="Calibri" w:hAnsi="Calibri" w:cs="Calibri"/>
                <w:color w:val="000000"/>
              </w:rPr>
            </w:pPr>
            <w:r>
              <w:rPr>
                <w:rFonts w:ascii="Calibri" w:eastAsia="Calibri" w:hAnsi="Calibri" w:cs="Calibri"/>
                <w:color w:val="000000"/>
              </w:rPr>
              <w:t>4th</w:t>
            </w:r>
          </w:p>
        </w:tc>
      </w:tr>
    </w:tbl>
    <w:p w14:paraId="43B22175" w14:textId="77777777" w:rsidR="003A3BCA" w:rsidRDefault="008276B6">
      <w:pPr>
        <w:pBdr>
          <w:top w:val="nil"/>
          <w:left w:val="nil"/>
          <w:bottom w:val="nil"/>
          <w:right w:val="nil"/>
          <w:between w:val="nil"/>
        </w:pBdr>
        <w:spacing w:after="200"/>
        <w:rPr>
          <w:rFonts w:ascii="Calibri" w:eastAsia="Calibri" w:hAnsi="Calibri" w:cs="Calibri"/>
          <w:i/>
          <w:color w:val="44546A"/>
          <w:sz w:val="18"/>
          <w:szCs w:val="18"/>
        </w:rPr>
      </w:pPr>
      <w:r>
        <w:rPr>
          <w:rFonts w:ascii="Calibri" w:eastAsia="Calibri" w:hAnsi="Calibri" w:cs="Calibri"/>
          <w:i/>
          <w:color w:val="44546A"/>
          <w:sz w:val="18"/>
          <w:szCs w:val="18"/>
        </w:rPr>
        <w:t xml:space="preserve"> Table 15. Manchester United's expected vs. final league position in England, based on regression model.</w:t>
      </w:r>
    </w:p>
    <w:p w14:paraId="23BA5588" w14:textId="77777777" w:rsidR="003A3BCA" w:rsidRDefault="008276B6">
      <w:pPr>
        <w:spacing w:line="360" w:lineRule="auto"/>
        <w:jc w:val="both"/>
      </w:pPr>
      <w:r>
        <w:tab/>
        <w:t xml:space="preserve">A lot can be said about United’s current season as well, but the most important thing to mention is that United is probably over-relying on its footballers’ individual class. The club spent a lot of money this season as well, but it’s still a lot of pieces away from competing both in England and in Europe as well. Simply based on statistics, United’s had a very terrifying season, as it’s visible that the club is still buying players, rather than building processes with all the money they spend on the transfer market. If the club doesn’t change that, the individual class of its football players might not be enough for them to achieve such overperformances for longer, as the football players get older, they might get injured and be unavailable for longer periods of time, and lastly – the luck might not be on their side for big portions of the season. </w:t>
      </w:r>
      <w:proofErr w:type="gramStart"/>
      <w:r>
        <w:t>All of</w:t>
      </w:r>
      <w:proofErr w:type="gramEnd"/>
      <w:r>
        <w:t xml:space="preserve"> these variables are hard to predict (bar the players’ ages) and assess the possible effect they might have over the outcome of United’s performances.  </w:t>
      </w:r>
    </w:p>
    <w:p w14:paraId="3E6FF595" w14:textId="77777777" w:rsidR="003A3BCA" w:rsidRDefault="008276B6">
      <w:pPr>
        <w:spacing w:line="360" w:lineRule="auto"/>
        <w:jc w:val="both"/>
      </w:pPr>
      <w:r>
        <w:tab/>
        <w:t xml:space="preserve">As mentioned earlier in the paper, United’s new signings for season 2022/2023 – Lisandro Martinez, Antony, and Casemiro – will be examined separately. </w:t>
      </w:r>
    </w:p>
    <w:tbl>
      <w:tblPr>
        <w:tblStyle w:val="ae"/>
        <w:tblW w:w="9016" w:type="dxa"/>
        <w:tblLayout w:type="fixed"/>
        <w:tblLook w:val="0400" w:firstRow="0" w:lastRow="0" w:firstColumn="0" w:lastColumn="0" w:noHBand="0" w:noVBand="1"/>
      </w:tblPr>
      <w:tblGrid>
        <w:gridCol w:w="1227"/>
        <w:gridCol w:w="1309"/>
        <w:gridCol w:w="1568"/>
        <w:gridCol w:w="1420"/>
        <w:gridCol w:w="1227"/>
        <w:gridCol w:w="755"/>
        <w:gridCol w:w="755"/>
        <w:gridCol w:w="755"/>
      </w:tblGrid>
      <w:tr w:rsidR="003A3BCA" w14:paraId="618E6233" w14:textId="77777777">
        <w:trPr>
          <w:trHeight w:val="480"/>
        </w:trPr>
        <w:tc>
          <w:tcPr>
            <w:tcW w:w="122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682D314A" w14:textId="77777777" w:rsidR="003A3BCA" w:rsidRDefault="008276B6">
            <w:pPr>
              <w:jc w:val="center"/>
              <w:rPr>
                <w:rFonts w:ascii="Calibri" w:eastAsia="Calibri" w:hAnsi="Calibri" w:cs="Calibri"/>
                <w:color w:val="000000"/>
              </w:rPr>
            </w:pPr>
            <w:r>
              <w:rPr>
                <w:rFonts w:ascii="Calibri" w:eastAsia="Calibri" w:hAnsi="Calibri" w:cs="Calibri"/>
                <w:color w:val="000000"/>
              </w:rPr>
              <w:t>Player</w:t>
            </w:r>
          </w:p>
        </w:tc>
        <w:tc>
          <w:tcPr>
            <w:tcW w:w="1309" w:type="dxa"/>
            <w:tcBorders>
              <w:top w:val="single" w:sz="4" w:space="0" w:color="000000"/>
              <w:left w:val="nil"/>
              <w:bottom w:val="single" w:sz="4" w:space="0" w:color="000000"/>
              <w:right w:val="single" w:sz="4" w:space="0" w:color="000000"/>
            </w:tcBorders>
            <w:shd w:val="clear" w:color="auto" w:fill="auto"/>
            <w:tcMar>
              <w:top w:w="15" w:type="dxa"/>
              <w:left w:w="15" w:type="dxa"/>
              <w:bottom w:w="0" w:type="dxa"/>
              <w:right w:w="15" w:type="dxa"/>
            </w:tcMar>
            <w:vAlign w:val="center"/>
          </w:tcPr>
          <w:p w14:paraId="28C8CDC2" w14:textId="77777777" w:rsidR="003A3BCA" w:rsidRDefault="008276B6">
            <w:pPr>
              <w:jc w:val="center"/>
              <w:rPr>
                <w:rFonts w:ascii="Calibri" w:eastAsia="Calibri" w:hAnsi="Calibri" w:cs="Calibri"/>
                <w:color w:val="000000"/>
              </w:rPr>
            </w:pPr>
            <w:r>
              <w:rPr>
                <w:rFonts w:ascii="Calibri" w:eastAsia="Calibri" w:hAnsi="Calibri" w:cs="Calibri"/>
                <w:color w:val="000000"/>
              </w:rPr>
              <w:t>Season</w:t>
            </w:r>
          </w:p>
        </w:tc>
        <w:tc>
          <w:tcPr>
            <w:tcW w:w="1568" w:type="dxa"/>
            <w:tcBorders>
              <w:top w:val="single" w:sz="4" w:space="0" w:color="000000"/>
              <w:left w:val="nil"/>
              <w:bottom w:val="single" w:sz="4" w:space="0" w:color="000000"/>
              <w:right w:val="single" w:sz="4" w:space="0" w:color="000000"/>
            </w:tcBorders>
            <w:shd w:val="clear" w:color="auto" w:fill="auto"/>
            <w:tcMar>
              <w:top w:w="15" w:type="dxa"/>
              <w:left w:w="15" w:type="dxa"/>
              <w:bottom w:w="0" w:type="dxa"/>
              <w:right w:w="15" w:type="dxa"/>
            </w:tcMar>
            <w:vAlign w:val="center"/>
          </w:tcPr>
          <w:p w14:paraId="3A8A5834" w14:textId="77777777" w:rsidR="003A3BCA" w:rsidRDefault="008276B6">
            <w:pPr>
              <w:jc w:val="center"/>
              <w:rPr>
                <w:rFonts w:ascii="Calibri" w:eastAsia="Calibri" w:hAnsi="Calibri" w:cs="Calibri"/>
                <w:color w:val="000000"/>
              </w:rPr>
            </w:pPr>
            <w:r>
              <w:rPr>
                <w:rFonts w:ascii="Calibri" w:eastAsia="Calibri" w:hAnsi="Calibri" w:cs="Calibri"/>
                <w:color w:val="000000"/>
              </w:rPr>
              <w:t>Position</w:t>
            </w:r>
          </w:p>
        </w:tc>
        <w:tc>
          <w:tcPr>
            <w:tcW w:w="1420" w:type="dxa"/>
            <w:tcBorders>
              <w:top w:val="single" w:sz="4" w:space="0" w:color="000000"/>
              <w:left w:val="nil"/>
              <w:bottom w:val="single" w:sz="4" w:space="0" w:color="000000"/>
              <w:right w:val="single" w:sz="4" w:space="0" w:color="000000"/>
            </w:tcBorders>
            <w:shd w:val="clear" w:color="auto" w:fill="auto"/>
            <w:tcMar>
              <w:top w:w="15" w:type="dxa"/>
              <w:left w:w="15" w:type="dxa"/>
              <w:bottom w:w="0" w:type="dxa"/>
              <w:right w:w="15" w:type="dxa"/>
            </w:tcMar>
            <w:vAlign w:val="center"/>
          </w:tcPr>
          <w:p w14:paraId="68669CBA" w14:textId="77777777" w:rsidR="003A3BCA" w:rsidRDefault="008276B6">
            <w:pPr>
              <w:jc w:val="center"/>
              <w:rPr>
                <w:rFonts w:ascii="Calibri" w:eastAsia="Calibri" w:hAnsi="Calibri" w:cs="Calibri"/>
                <w:color w:val="000000"/>
              </w:rPr>
            </w:pPr>
            <w:r>
              <w:rPr>
                <w:rFonts w:ascii="Calibri" w:eastAsia="Calibri" w:hAnsi="Calibri" w:cs="Calibri"/>
                <w:color w:val="000000"/>
              </w:rPr>
              <w:t>Leading DEF Attribute</w:t>
            </w:r>
          </w:p>
        </w:tc>
        <w:tc>
          <w:tcPr>
            <w:tcW w:w="1227" w:type="dxa"/>
            <w:tcBorders>
              <w:top w:val="single" w:sz="4" w:space="0" w:color="000000"/>
              <w:left w:val="nil"/>
              <w:bottom w:val="single" w:sz="4" w:space="0" w:color="000000"/>
              <w:right w:val="single" w:sz="4" w:space="0" w:color="000000"/>
            </w:tcBorders>
            <w:shd w:val="clear" w:color="auto" w:fill="auto"/>
            <w:tcMar>
              <w:top w:w="15" w:type="dxa"/>
              <w:left w:w="15" w:type="dxa"/>
              <w:bottom w:w="0" w:type="dxa"/>
              <w:right w:w="15" w:type="dxa"/>
            </w:tcMar>
            <w:vAlign w:val="center"/>
          </w:tcPr>
          <w:p w14:paraId="4397839B" w14:textId="77777777" w:rsidR="003A3BCA" w:rsidRDefault="008276B6">
            <w:pPr>
              <w:jc w:val="center"/>
              <w:rPr>
                <w:rFonts w:ascii="Calibri" w:eastAsia="Calibri" w:hAnsi="Calibri" w:cs="Calibri"/>
                <w:color w:val="000000"/>
              </w:rPr>
            </w:pPr>
            <w:r>
              <w:rPr>
                <w:rFonts w:ascii="Calibri" w:eastAsia="Calibri" w:hAnsi="Calibri" w:cs="Calibri"/>
                <w:color w:val="000000"/>
              </w:rPr>
              <w:t>Percentile</w:t>
            </w:r>
          </w:p>
        </w:tc>
        <w:tc>
          <w:tcPr>
            <w:tcW w:w="755" w:type="dxa"/>
            <w:tcBorders>
              <w:top w:val="single" w:sz="4" w:space="0" w:color="000000"/>
              <w:left w:val="nil"/>
              <w:bottom w:val="single" w:sz="4" w:space="0" w:color="000000"/>
              <w:right w:val="single" w:sz="4" w:space="0" w:color="000000"/>
            </w:tcBorders>
            <w:shd w:val="clear" w:color="auto" w:fill="auto"/>
            <w:tcMar>
              <w:top w:w="15" w:type="dxa"/>
              <w:left w:w="15" w:type="dxa"/>
              <w:bottom w:w="0" w:type="dxa"/>
              <w:right w:w="15" w:type="dxa"/>
            </w:tcMar>
            <w:vAlign w:val="center"/>
          </w:tcPr>
          <w:p w14:paraId="26A0AAB3" w14:textId="77777777" w:rsidR="003A3BCA" w:rsidRDefault="008276B6">
            <w:pPr>
              <w:jc w:val="center"/>
              <w:rPr>
                <w:rFonts w:ascii="Calibri" w:eastAsia="Calibri" w:hAnsi="Calibri" w:cs="Calibri"/>
                <w:color w:val="000000"/>
              </w:rPr>
            </w:pPr>
            <w:r>
              <w:rPr>
                <w:rFonts w:ascii="Calibri" w:eastAsia="Calibri" w:hAnsi="Calibri" w:cs="Calibri"/>
                <w:color w:val="000000"/>
              </w:rPr>
              <w:t>Avg MID</w:t>
            </w:r>
          </w:p>
        </w:tc>
        <w:tc>
          <w:tcPr>
            <w:tcW w:w="755" w:type="dxa"/>
            <w:tcBorders>
              <w:top w:val="single" w:sz="4" w:space="0" w:color="000000"/>
              <w:left w:val="nil"/>
              <w:bottom w:val="single" w:sz="4" w:space="0" w:color="000000"/>
              <w:right w:val="single" w:sz="4" w:space="0" w:color="000000"/>
            </w:tcBorders>
            <w:shd w:val="clear" w:color="auto" w:fill="auto"/>
            <w:tcMar>
              <w:top w:w="15" w:type="dxa"/>
              <w:left w:w="15" w:type="dxa"/>
              <w:bottom w:w="0" w:type="dxa"/>
              <w:right w:w="15" w:type="dxa"/>
            </w:tcMar>
            <w:vAlign w:val="center"/>
          </w:tcPr>
          <w:p w14:paraId="7CC16340" w14:textId="77777777" w:rsidR="003A3BCA" w:rsidRDefault="008276B6">
            <w:pPr>
              <w:jc w:val="center"/>
              <w:rPr>
                <w:rFonts w:ascii="Calibri" w:eastAsia="Calibri" w:hAnsi="Calibri" w:cs="Calibri"/>
                <w:color w:val="000000"/>
              </w:rPr>
            </w:pPr>
            <w:r>
              <w:rPr>
                <w:rFonts w:ascii="Calibri" w:eastAsia="Calibri" w:hAnsi="Calibri" w:cs="Calibri"/>
                <w:color w:val="000000"/>
              </w:rPr>
              <w:t>Avg ATT</w:t>
            </w:r>
          </w:p>
        </w:tc>
        <w:tc>
          <w:tcPr>
            <w:tcW w:w="755" w:type="dxa"/>
            <w:tcBorders>
              <w:top w:val="single" w:sz="4" w:space="0" w:color="000000"/>
              <w:left w:val="nil"/>
              <w:bottom w:val="single" w:sz="4" w:space="0" w:color="000000"/>
              <w:right w:val="single" w:sz="4" w:space="0" w:color="000000"/>
            </w:tcBorders>
            <w:shd w:val="clear" w:color="auto" w:fill="auto"/>
            <w:tcMar>
              <w:top w:w="15" w:type="dxa"/>
              <w:left w:w="15" w:type="dxa"/>
              <w:bottom w:w="0" w:type="dxa"/>
              <w:right w:w="15" w:type="dxa"/>
            </w:tcMar>
            <w:vAlign w:val="center"/>
          </w:tcPr>
          <w:p w14:paraId="2209805E" w14:textId="77777777" w:rsidR="003A3BCA" w:rsidRDefault="008276B6">
            <w:pPr>
              <w:jc w:val="center"/>
              <w:rPr>
                <w:rFonts w:ascii="Calibri" w:eastAsia="Calibri" w:hAnsi="Calibri" w:cs="Calibri"/>
                <w:color w:val="000000"/>
              </w:rPr>
            </w:pPr>
            <w:r>
              <w:rPr>
                <w:rFonts w:ascii="Calibri" w:eastAsia="Calibri" w:hAnsi="Calibri" w:cs="Calibri"/>
                <w:color w:val="000000"/>
              </w:rPr>
              <w:t>Grade</w:t>
            </w:r>
          </w:p>
        </w:tc>
      </w:tr>
      <w:tr w:rsidR="003A3BCA" w14:paraId="3FCD43BC" w14:textId="77777777">
        <w:trPr>
          <w:trHeight w:val="507"/>
        </w:trPr>
        <w:tc>
          <w:tcPr>
            <w:tcW w:w="1227"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2E5A2661" w14:textId="77777777" w:rsidR="003A3BCA" w:rsidRDefault="008276B6">
            <w:pPr>
              <w:jc w:val="center"/>
              <w:rPr>
                <w:rFonts w:ascii="Calibri" w:eastAsia="Calibri" w:hAnsi="Calibri" w:cs="Calibri"/>
                <w:color w:val="000000"/>
              </w:rPr>
            </w:pPr>
            <w:r>
              <w:rPr>
                <w:rFonts w:ascii="Calibri" w:eastAsia="Calibri" w:hAnsi="Calibri" w:cs="Calibri"/>
                <w:color w:val="000000"/>
              </w:rPr>
              <w:t>Lisandro Martinez</w:t>
            </w:r>
          </w:p>
        </w:tc>
        <w:tc>
          <w:tcPr>
            <w:tcW w:w="1309"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tcPr>
          <w:p w14:paraId="537F27A3" w14:textId="77777777" w:rsidR="003A3BCA" w:rsidRDefault="008276B6">
            <w:pPr>
              <w:jc w:val="center"/>
              <w:rPr>
                <w:rFonts w:ascii="Calibri" w:eastAsia="Calibri" w:hAnsi="Calibri" w:cs="Calibri"/>
                <w:color w:val="000000"/>
              </w:rPr>
            </w:pPr>
            <w:r>
              <w:rPr>
                <w:rFonts w:ascii="Calibri" w:eastAsia="Calibri" w:hAnsi="Calibri" w:cs="Calibri"/>
                <w:color w:val="000000"/>
              </w:rPr>
              <w:t>2022/2023</w:t>
            </w:r>
          </w:p>
        </w:tc>
        <w:tc>
          <w:tcPr>
            <w:tcW w:w="1568"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tcPr>
          <w:p w14:paraId="50206E3B" w14:textId="77777777" w:rsidR="003A3BCA" w:rsidRDefault="008276B6">
            <w:pPr>
              <w:jc w:val="center"/>
              <w:rPr>
                <w:rFonts w:ascii="Calibri" w:eastAsia="Calibri" w:hAnsi="Calibri" w:cs="Calibri"/>
                <w:color w:val="000000"/>
              </w:rPr>
            </w:pPr>
            <w:r>
              <w:rPr>
                <w:rFonts w:ascii="Calibri" w:eastAsia="Calibri" w:hAnsi="Calibri" w:cs="Calibri"/>
                <w:color w:val="000000"/>
              </w:rPr>
              <w:t>Central Defender</w:t>
            </w:r>
          </w:p>
        </w:tc>
        <w:tc>
          <w:tcPr>
            <w:tcW w:w="142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tcPr>
          <w:p w14:paraId="0731BB5B" w14:textId="77777777" w:rsidR="003A3BCA" w:rsidRDefault="008276B6">
            <w:pPr>
              <w:jc w:val="center"/>
              <w:rPr>
                <w:rFonts w:ascii="Calibri" w:eastAsia="Calibri" w:hAnsi="Calibri" w:cs="Calibri"/>
                <w:color w:val="000000"/>
              </w:rPr>
            </w:pPr>
            <w:r>
              <w:rPr>
                <w:rFonts w:ascii="Calibri" w:eastAsia="Calibri" w:hAnsi="Calibri" w:cs="Calibri"/>
                <w:color w:val="000000"/>
              </w:rPr>
              <w:t>Blocks</w:t>
            </w:r>
          </w:p>
        </w:tc>
        <w:tc>
          <w:tcPr>
            <w:tcW w:w="122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tcPr>
          <w:p w14:paraId="19ED5772" w14:textId="77777777" w:rsidR="003A3BCA" w:rsidRDefault="008276B6">
            <w:pPr>
              <w:jc w:val="right"/>
              <w:rPr>
                <w:rFonts w:ascii="Calibri" w:eastAsia="Calibri" w:hAnsi="Calibri" w:cs="Calibri"/>
                <w:color w:val="000000"/>
              </w:rPr>
            </w:pPr>
            <w:r>
              <w:rPr>
                <w:rFonts w:ascii="Calibri" w:eastAsia="Calibri" w:hAnsi="Calibri" w:cs="Calibri"/>
                <w:color w:val="000000"/>
              </w:rPr>
              <w:t>96</w:t>
            </w:r>
          </w:p>
        </w:tc>
        <w:tc>
          <w:tcPr>
            <w:tcW w:w="755"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tcPr>
          <w:p w14:paraId="41406B88" w14:textId="77777777" w:rsidR="003A3BCA" w:rsidRDefault="008276B6">
            <w:pPr>
              <w:jc w:val="right"/>
              <w:rPr>
                <w:rFonts w:ascii="Calibri" w:eastAsia="Calibri" w:hAnsi="Calibri" w:cs="Calibri"/>
                <w:color w:val="000000"/>
              </w:rPr>
            </w:pPr>
            <w:r>
              <w:rPr>
                <w:rFonts w:ascii="Calibri" w:eastAsia="Calibri" w:hAnsi="Calibri" w:cs="Calibri"/>
                <w:color w:val="000000"/>
              </w:rPr>
              <w:t>54</w:t>
            </w:r>
          </w:p>
        </w:tc>
        <w:tc>
          <w:tcPr>
            <w:tcW w:w="755"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tcPr>
          <w:p w14:paraId="5F6A264F" w14:textId="77777777" w:rsidR="003A3BCA" w:rsidRDefault="008276B6">
            <w:pPr>
              <w:jc w:val="center"/>
              <w:rPr>
                <w:rFonts w:ascii="Calibri" w:eastAsia="Calibri" w:hAnsi="Calibri" w:cs="Calibri"/>
                <w:color w:val="000000"/>
              </w:rPr>
            </w:pPr>
            <w:r>
              <w:rPr>
                <w:rFonts w:ascii="Calibri" w:eastAsia="Calibri" w:hAnsi="Calibri" w:cs="Calibri"/>
                <w:color w:val="000000"/>
              </w:rPr>
              <w:t>-</w:t>
            </w:r>
          </w:p>
        </w:tc>
        <w:tc>
          <w:tcPr>
            <w:tcW w:w="755"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tcPr>
          <w:p w14:paraId="064C7FBE" w14:textId="77777777" w:rsidR="003A3BCA" w:rsidRDefault="008276B6">
            <w:pPr>
              <w:jc w:val="right"/>
              <w:rPr>
                <w:rFonts w:ascii="Calibri" w:eastAsia="Calibri" w:hAnsi="Calibri" w:cs="Calibri"/>
                <w:color w:val="000000"/>
              </w:rPr>
            </w:pPr>
            <w:r>
              <w:rPr>
                <w:rFonts w:ascii="Calibri" w:eastAsia="Calibri" w:hAnsi="Calibri" w:cs="Calibri"/>
                <w:color w:val="000000"/>
              </w:rPr>
              <w:t>4,7</w:t>
            </w:r>
          </w:p>
        </w:tc>
      </w:tr>
    </w:tbl>
    <w:p w14:paraId="40AC677A" w14:textId="77777777" w:rsidR="003A3BCA" w:rsidRDefault="008276B6">
      <w:pPr>
        <w:pBdr>
          <w:top w:val="nil"/>
          <w:left w:val="nil"/>
          <w:bottom w:val="nil"/>
          <w:right w:val="nil"/>
          <w:between w:val="nil"/>
        </w:pBdr>
        <w:spacing w:after="200"/>
        <w:rPr>
          <w:rFonts w:ascii="Calibri" w:eastAsia="Calibri" w:hAnsi="Calibri" w:cs="Calibri"/>
          <w:i/>
          <w:color w:val="44546A"/>
          <w:sz w:val="18"/>
          <w:szCs w:val="18"/>
        </w:rPr>
      </w:pPr>
      <w:r>
        <w:rPr>
          <w:rFonts w:ascii="Calibri" w:eastAsia="Calibri" w:hAnsi="Calibri" w:cs="Calibri"/>
          <w:i/>
          <w:color w:val="44546A"/>
          <w:sz w:val="18"/>
          <w:szCs w:val="18"/>
        </w:rPr>
        <w:t>Table 16. Lisandro Martinez's evaluation breakdown</w:t>
      </w:r>
    </w:p>
    <w:tbl>
      <w:tblPr>
        <w:tblStyle w:val="af"/>
        <w:tblW w:w="9016" w:type="dxa"/>
        <w:tblLayout w:type="fixed"/>
        <w:tblLook w:val="0400" w:firstRow="0" w:lastRow="0" w:firstColumn="0" w:lastColumn="0" w:noHBand="0" w:noVBand="1"/>
      </w:tblPr>
      <w:tblGrid>
        <w:gridCol w:w="1555"/>
        <w:gridCol w:w="1507"/>
        <w:gridCol w:w="1466"/>
        <w:gridCol w:w="1122"/>
        <w:gridCol w:w="1122"/>
        <w:gridCol w:w="1122"/>
        <w:gridCol w:w="1122"/>
      </w:tblGrid>
      <w:tr w:rsidR="003A3BCA" w14:paraId="59D3BE7A" w14:textId="77777777">
        <w:trPr>
          <w:trHeight w:val="290"/>
        </w:trPr>
        <w:tc>
          <w:tcPr>
            <w:tcW w:w="155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10A878A" w14:textId="77777777" w:rsidR="003A3BCA" w:rsidRDefault="008276B6">
            <w:pPr>
              <w:jc w:val="center"/>
              <w:rPr>
                <w:rFonts w:ascii="Calibri" w:eastAsia="Calibri" w:hAnsi="Calibri" w:cs="Calibri"/>
                <w:color w:val="000000"/>
              </w:rPr>
            </w:pPr>
            <w:r>
              <w:rPr>
                <w:rFonts w:ascii="Calibri" w:eastAsia="Calibri" w:hAnsi="Calibri" w:cs="Calibri"/>
                <w:color w:val="000000"/>
              </w:rPr>
              <w:t>Player</w:t>
            </w:r>
          </w:p>
        </w:tc>
        <w:tc>
          <w:tcPr>
            <w:tcW w:w="1507" w:type="dxa"/>
            <w:tcBorders>
              <w:top w:val="single" w:sz="4" w:space="0" w:color="000000"/>
              <w:left w:val="nil"/>
              <w:bottom w:val="single" w:sz="4" w:space="0" w:color="000000"/>
              <w:right w:val="single" w:sz="4" w:space="0" w:color="000000"/>
            </w:tcBorders>
            <w:shd w:val="clear" w:color="auto" w:fill="auto"/>
            <w:vAlign w:val="bottom"/>
          </w:tcPr>
          <w:p w14:paraId="7BFE9943" w14:textId="77777777" w:rsidR="003A3BCA" w:rsidRDefault="008276B6">
            <w:pPr>
              <w:jc w:val="center"/>
              <w:rPr>
                <w:rFonts w:ascii="Calibri" w:eastAsia="Calibri" w:hAnsi="Calibri" w:cs="Calibri"/>
                <w:color w:val="000000"/>
              </w:rPr>
            </w:pPr>
            <w:r>
              <w:rPr>
                <w:rFonts w:ascii="Calibri" w:eastAsia="Calibri" w:hAnsi="Calibri" w:cs="Calibri"/>
                <w:color w:val="000000"/>
              </w:rPr>
              <w:t>Season</w:t>
            </w:r>
          </w:p>
        </w:tc>
        <w:tc>
          <w:tcPr>
            <w:tcW w:w="1466" w:type="dxa"/>
            <w:tcBorders>
              <w:top w:val="single" w:sz="4" w:space="0" w:color="000000"/>
              <w:left w:val="nil"/>
              <w:bottom w:val="single" w:sz="4" w:space="0" w:color="000000"/>
              <w:right w:val="single" w:sz="4" w:space="0" w:color="000000"/>
            </w:tcBorders>
            <w:shd w:val="clear" w:color="auto" w:fill="auto"/>
            <w:vAlign w:val="bottom"/>
          </w:tcPr>
          <w:p w14:paraId="714AA143" w14:textId="77777777" w:rsidR="003A3BCA" w:rsidRDefault="008276B6">
            <w:pPr>
              <w:jc w:val="center"/>
              <w:rPr>
                <w:rFonts w:ascii="Calibri" w:eastAsia="Calibri" w:hAnsi="Calibri" w:cs="Calibri"/>
                <w:color w:val="000000"/>
              </w:rPr>
            </w:pPr>
            <w:r>
              <w:rPr>
                <w:rFonts w:ascii="Calibri" w:eastAsia="Calibri" w:hAnsi="Calibri" w:cs="Calibri"/>
                <w:color w:val="000000"/>
              </w:rPr>
              <w:t>Position</w:t>
            </w:r>
          </w:p>
        </w:tc>
        <w:tc>
          <w:tcPr>
            <w:tcW w:w="1122" w:type="dxa"/>
            <w:tcBorders>
              <w:top w:val="single" w:sz="4" w:space="0" w:color="000000"/>
              <w:left w:val="nil"/>
              <w:bottom w:val="single" w:sz="4" w:space="0" w:color="000000"/>
              <w:right w:val="single" w:sz="4" w:space="0" w:color="000000"/>
            </w:tcBorders>
            <w:shd w:val="clear" w:color="auto" w:fill="auto"/>
            <w:vAlign w:val="bottom"/>
          </w:tcPr>
          <w:p w14:paraId="57198658" w14:textId="77777777" w:rsidR="003A3BCA" w:rsidRDefault="008276B6">
            <w:pPr>
              <w:jc w:val="center"/>
              <w:rPr>
                <w:rFonts w:ascii="Calibri" w:eastAsia="Calibri" w:hAnsi="Calibri" w:cs="Calibri"/>
                <w:color w:val="000000"/>
              </w:rPr>
            </w:pPr>
            <w:r>
              <w:rPr>
                <w:rFonts w:ascii="Calibri" w:eastAsia="Calibri" w:hAnsi="Calibri" w:cs="Calibri"/>
                <w:color w:val="000000"/>
              </w:rPr>
              <w:t>AVG DEF</w:t>
            </w:r>
          </w:p>
        </w:tc>
        <w:tc>
          <w:tcPr>
            <w:tcW w:w="1122" w:type="dxa"/>
            <w:tcBorders>
              <w:top w:val="single" w:sz="4" w:space="0" w:color="000000"/>
              <w:left w:val="nil"/>
              <w:bottom w:val="single" w:sz="4" w:space="0" w:color="000000"/>
              <w:right w:val="single" w:sz="4" w:space="0" w:color="000000"/>
            </w:tcBorders>
            <w:shd w:val="clear" w:color="auto" w:fill="auto"/>
            <w:vAlign w:val="bottom"/>
          </w:tcPr>
          <w:p w14:paraId="0943B351" w14:textId="77777777" w:rsidR="003A3BCA" w:rsidRDefault="008276B6">
            <w:pPr>
              <w:jc w:val="center"/>
              <w:rPr>
                <w:rFonts w:ascii="Calibri" w:eastAsia="Calibri" w:hAnsi="Calibri" w:cs="Calibri"/>
                <w:color w:val="000000"/>
              </w:rPr>
            </w:pPr>
            <w:r>
              <w:rPr>
                <w:rFonts w:ascii="Calibri" w:eastAsia="Calibri" w:hAnsi="Calibri" w:cs="Calibri"/>
                <w:color w:val="000000"/>
              </w:rPr>
              <w:t>AVG MID</w:t>
            </w:r>
          </w:p>
        </w:tc>
        <w:tc>
          <w:tcPr>
            <w:tcW w:w="1122" w:type="dxa"/>
            <w:tcBorders>
              <w:top w:val="single" w:sz="4" w:space="0" w:color="000000"/>
              <w:left w:val="nil"/>
              <w:bottom w:val="single" w:sz="4" w:space="0" w:color="000000"/>
              <w:right w:val="single" w:sz="4" w:space="0" w:color="000000"/>
            </w:tcBorders>
            <w:shd w:val="clear" w:color="auto" w:fill="auto"/>
            <w:vAlign w:val="bottom"/>
          </w:tcPr>
          <w:p w14:paraId="0542D9A2" w14:textId="77777777" w:rsidR="003A3BCA" w:rsidRDefault="008276B6">
            <w:pPr>
              <w:jc w:val="center"/>
              <w:rPr>
                <w:rFonts w:ascii="Calibri" w:eastAsia="Calibri" w:hAnsi="Calibri" w:cs="Calibri"/>
                <w:color w:val="000000"/>
              </w:rPr>
            </w:pPr>
            <w:r>
              <w:rPr>
                <w:rFonts w:ascii="Calibri" w:eastAsia="Calibri" w:hAnsi="Calibri" w:cs="Calibri"/>
                <w:color w:val="000000"/>
              </w:rPr>
              <w:t>AVG ATT</w:t>
            </w:r>
          </w:p>
        </w:tc>
        <w:tc>
          <w:tcPr>
            <w:tcW w:w="1122" w:type="dxa"/>
            <w:tcBorders>
              <w:top w:val="single" w:sz="4" w:space="0" w:color="000000"/>
              <w:left w:val="nil"/>
              <w:bottom w:val="single" w:sz="4" w:space="0" w:color="000000"/>
              <w:right w:val="single" w:sz="4" w:space="0" w:color="000000"/>
            </w:tcBorders>
            <w:shd w:val="clear" w:color="auto" w:fill="auto"/>
            <w:vAlign w:val="bottom"/>
          </w:tcPr>
          <w:p w14:paraId="70A3DFF5" w14:textId="77777777" w:rsidR="003A3BCA" w:rsidRDefault="008276B6">
            <w:pPr>
              <w:jc w:val="center"/>
              <w:rPr>
                <w:rFonts w:ascii="Calibri" w:eastAsia="Calibri" w:hAnsi="Calibri" w:cs="Calibri"/>
                <w:color w:val="000000"/>
              </w:rPr>
            </w:pPr>
            <w:r>
              <w:rPr>
                <w:rFonts w:ascii="Calibri" w:eastAsia="Calibri" w:hAnsi="Calibri" w:cs="Calibri"/>
                <w:color w:val="000000"/>
              </w:rPr>
              <w:t>Grade</w:t>
            </w:r>
          </w:p>
        </w:tc>
      </w:tr>
      <w:tr w:rsidR="003A3BCA" w14:paraId="13B22C20" w14:textId="77777777">
        <w:trPr>
          <w:trHeight w:val="444"/>
        </w:trPr>
        <w:tc>
          <w:tcPr>
            <w:tcW w:w="1555" w:type="dxa"/>
            <w:tcBorders>
              <w:top w:val="nil"/>
              <w:left w:val="single" w:sz="4" w:space="0" w:color="000000"/>
              <w:bottom w:val="single" w:sz="4" w:space="0" w:color="000000"/>
              <w:right w:val="single" w:sz="4" w:space="0" w:color="000000"/>
            </w:tcBorders>
            <w:shd w:val="clear" w:color="auto" w:fill="auto"/>
            <w:vAlign w:val="bottom"/>
          </w:tcPr>
          <w:p w14:paraId="2B3F2D8E" w14:textId="77777777" w:rsidR="003A3BCA" w:rsidRDefault="008276B6">
            <w:pPr>
              <w:jc w:val="center"/>
              <w:rPr>
                <w:rFonts w:ascii="Calibri" w:eastAsia="Calibri" w:hAnsi="Calibri" w:cs="Calibri"/>
                <w:color w:val="000000"/>
              </w:rPr>
            </w:pPr>
            <w:r>
              <w:rPr>
                <w:rFonts w:ascii="Calibri" w:eastAsia="Calibri" w:hAnsi="Calibri" w:cs="Calibri"/>
                <w:color w:val="000000"/>
              </w:rPr>
              <w:t>Antony</w:t>
            </w:r>
          </w:p>
        </w:tc>
        <w:tc>
          <w:tcPr>
            <w:tcW w:w="1507" w:type="dxa"/>
            <w:tcBorders>
              <w:top w:val="nil"/>
              <w:left w:val="nil"/>
              <w:bottom w:val="single" w:sz="4" w:space="0" w:color="000000"/>
              <w:right w:val="single" w:sz="4" w:space="0" w:color="000000"/>
            </w:tcBorders>
            <w:shd w:val="clear" w:color="auto" w:fill="auto"/>
            <w:vAlign w:val="bottom"/>
          </w:tcPr>
          <w:p w14:paraId="31C37542" w14:textId="77777777" w:rsidR="003A3BCA" w:rsidRDefault="008276B6">
            <w:pPr>
              <w:jc w:val="center"/>
              <w:rPr>
                <w:rFonts w:ascii="Calibri" w:eastAsia="Calibri" w:hAnsi="Calibri" w:cs="Calibri"/>
                <w:color w:val="000000"/>
              </w:rPr>
            </w:pPr>
            <w:r>
              <w:rPr>
                <w:rFonts w:ascii="Calibri" w:eastAsia="Calibri" w:hAnsi="Calibri" w:cs="Calibri"/>
                <w:color w:val="000000"/>
              </w:rPr>
              <w:t>2022/2023</w:t>
            </w:r>
          </w:p>
        </w:tc>
        <w:tc>
          <w:tcPr>
            <w:tcW w:w="1466" w:type="dxa"/>
            <w:tcBorders>
              <w:top w:val="nil"/>
              <w:left w:val="nil"/>
              <w:bottom w:val="single" w:sz="4" w:space="0" w:color="000000"/>
              <w:right w:val="single" w:sz="4" w:space="0" w:color="000000"/>
            </w:tcBorders>
            <w:shd w:val="clear" w:color="auto" w:fill="auto"/>
            <w:vAlign w:val="bottom"/>
          </w:tcPr>
          <w:p w14:paraId="32762232" w14:textId="77777777" w:rsidR="003A3BCA" w:rsidRDefault="008276B6">
            <w:pPr>
              <w:jc w:val="center"/>
              <w:rPr>
                <w:rFonts w:ascii="Calibri" w:eastAsia="Calibri" w:hAnsi="Calibri" w:cs="Calibri"/>
                <w:color w:val="000000"/>
              </w:rPr>
            </w:pPr>
            <w:r>
              <w:rPr>
                <w:rFonts w:ascii="Calibri" w:eastAsia="Calibri" w:hAnsi="Calibri" w:cs="Calibri"/>
                <w:color w:val="000000"/>
              </w:rPr>
              <w:t>Winger</w:t>
            </w:r>
          </w:p>
        </w:tc>
        <w:tc>
          <w:tcPr>
            <w:tcW w:w="1122" w:type="dxa"/>
            <w:tcBorders>
              <w:top w:val="nil"/>
              <w:left w:val="nil"/>
              <w:bottom w:val="single" w:sz="4" w:space="0" w:color="000000"/>
              <w:right w:val="single" w:sz="4" w:space="0" w:color="000000"/>
            </w:tcBorders>
            <w:shd w:val="clear" w:color="auto" w:fill="auto"/>
            <w:vAlign w:val="bottom"/>
          </w:tcPr>
          <w:p w14:paraId="790A9AFF" w14:textId="77777777" w:rsidR="003A3BCA" w:rsidRDefault="008276B6">
            <w:pPr>
              <w:jc w:val="right"/>
              <w:rPr>
                <w:rFonts w:ascii="Calibri" w:eastAsia="Calibri" w:hAnsi="Calibri" w:cs="Calibri"/>
                <w:color w:val="000000"/>
              </w:rPr>
            </w:pPr>
            <w:r>
              <w:rPr>
                <w:rFonts w:ascii="Calibri" w:eastAsia="Calibri" w:hAnsi="Calibri" w:cs="Calibri"/>
                <w:color w:val="000000"/>
              </w:rPr>
              <w:t>34</w:t>
            </w:r>
          </w:p>
        </w:tc>
        <w:tc>
          <w:tcPr>
            <w:tcW w:w="1122" w:type="dxa"/>
            <w:tcBorders>
              <w:top w:val="nil"/>
              <w:left w:val="nil"/>
              <w:bottom w:val="single" w:sz="4" w:space="0" w:color="000000"/>
              <w:right w:val="single" w:sz="4" w:space="0" w:color="000000"/>
            </w:tcBorders>
            <w:shd w:val="clear" w:color="auto" w:fill="auto"/>
            <w:vAlign w:val="bottom"/>
          </w:tcPr>
          <w:p w14:paraId="26E929BD" w14:textId="77777777" w:rsidR="003A3BCA" w:rsidRDefault="008276B6">
            <w:pPr>
              <w:jc w:val="right"/>
              <w:rPr>
                <w:rFonts w:ascii="Calibri" w:eastAsia="Calibri" w:hAnsi="Calibri" w:cs="Calibri"/>
                <w:color w:val="000000"/>
              </w:rPr>
            </w:pPr>
            <w:r>
              <w:rPr>
                <w:rFonts w:ascii="Calibri" w:eastAsia="Calibri" w:hAnsi="Calibri" w:cs="Calibri"/>
                <w:color w:val="000000"/>
              </w:rPr>
              <w:t>68</w:t>
            </w:r>
          </w:p>
        </w:tc>
        <w:tc>
          <w:tcPr>
            <w:tcW w:w="1122" w:type="dxa"/>
            <w:tcBorders>
              <w:top w:val="nil"/>
              <w:left w:val="nil"/>
              <w:bottom w:val="single" w:sz="4" w:space="0" w:color="000000"/>
              <w:right w:val="single" w:sz="4" w:space="0" w:color="000000"/>
            </w:tcBorders>
            <w:shd w:val="clear" w:color="auto" w:fill="auto"/>
            <w:vAlign w:val="bottom"/>
          </w:tcPr>
          <w:p w14:paraId="59F3104D" w14:textId="77777777" w:rsidR="003A3BCA" w:rsidRDefault="008276B6">
            <w:pPr>
              <w:jc w:val="right"/>
              <w:rPr>
                <w:rFonts w:ascii="Calibri" w:eastAsia="Calibri" w:hAnsi="Calibri" w:cs="Calibri"/>
                <w:color w:val="000000"/>
              </w:rPr>
            </w:pPr>
            <w:r>
              <w:rPr>
                <w:rFonts w:ascii="Calibri" w:eastAsia="Calibri" w:hAnsi="Calibri" w:cs="Calibri"/>
                <w:color w:val="000000"/>
              </w:rPr>
              <w:t>63</w:t>
            </w:r>
          </w:p>
        </w:tc>
        <w:tc>
          <w:tcPr>
            <w:tcW w:w="1122" w:type="dxa"/>
            <w:tcBorders>
              <w:top w:val="nil"/>
              <w:left w:val="nil"/>
              <w:bottom w:val="single" w:sz="4" w:space="0" w:color="000000"/>
              <w:right w:val="single" w:sz="4" w:space="0" w:color="000000"/>
            </w:tcBorders>
            <w:shd w:val="clear" w:color="auto" w:fill="auto"/>
            <w:vAlign w:val="bottom"/>
          </w:tcPr>
          <w:p w14:paraId="5CC52F3D" w14:textId="77777777" w:rsidR="003A3BCA" w:rsidRDefault="008276B6">
            <w:pPr>
              <w:jc w:val="right"/>
              <w:rPr>
                <w:rFonts w:ascii="Calibri" w:eastAsia="Calibri" w:hAnsi="Calibri" w:cs="Calibri"/>
                <w:color w:val="000000"/>
              </w:rPr>
            </w:pPr>
            <w:r>
              <w:rPr>
                <w:rFonts w:ascii="Calibri" w:eastAsia="Calibri" w:hAnsi="Calibri" w:cs="Calibri"/>
                <w:color w:val="000000"/>
              </w:rPr>
              <w:t>3,4</w:t>
            </w:r>
          </w:p>
        </w:tc>
      </w:tr>
      <w:tr w:rsidR="003A3BCA" w14:paraId="2A2D64AC" w14:textId="77777777">
        <w:trPr>
          <w:trHeight w:val="444"/>
        </w:trPr>
        <w:tc>
          <w:tcPr>
            <w:tcW w:w="1555" w:type="dxa"/>
            <w:tcBorders>
              <w:top w:val="nil"/>
              <w:left w:val="single" w:sz="4" w:space="0" w:color="000000"/>
              <w:bottom w:val="single" w:sz="4" w:space="0" w:color="000000"/>
              <w:right w:val="single" w:sz="4" w:space="0" w:color="000000"/>
            </w:tcBorders>
            <w:shd w:val="clear" w:color="auto" w:fill="auto"/>
            <w:vAlign w:val="bottom"/>
          </w:tcPr>
          <w:p w14:paraId="35538FDB" w14:textId="77777777" w:rsidR="003A3BCA" w:rsidRDefault="008276B6">
            <w:pPr>
              <w:jc w:val="center"/>
              <w:rPr>
                <w:rFonts w:ascii="Calibri" w:eastAsia="Calibri" w:hAnsi="Calibri" w:cs="Calibri"/>
                <w:color w:val="000000"/>
              </w:rPr>
            </w:pPr>
            <w:r>
              <w:rPr>
                <w:rFonts w:ascii="Calibri" w:eastAsia="Calibri" w:hAnsi="Calibri" w:cs="Calibri"/>
                <w:color w:val="000000"/>
              </w:rPr>
              <w:t>Casemiro</w:t>
            </w:r>
          </w:p>
        </w:tc>
        <w:tc>
          <w:tcPr>
            <w:tcW w:w="1507" w:type="dxa"/>
            <w:tcBorders>
              <w:top w:val="nil"/>
              <w:left w:val="nil"/>
              <w:bottom w:val="single" w:sz="4" w:space="0" w:color="000000"/>
              <w:right w:val="single" w:sz="4" w:space="0" w:color="000000"/>
            </w:tcBorders>
            <w:shd w:val="clear" w:color="auto" w:fill="auto"/>
            <w:vAlign w:val="bottom"/>
          </w:tcPr>
          <w:p w14:paraId="61C2A24B" w14:textId="77777777" w:rsidR="003A3BCA" w:rsidRDefault="008276B6">
            <w:pPr>
              <w:jc w:val="center"/>
              <w:rPr>
                <w:rFonts w:ascii="Calibri" w:eastAsia="Calibri" w:hAnsi="Calibri" w:cs="Calibri"/>
                <w:color w:val="000000"/>
              </w:rPr>
            </w:pPr>
            <w:r>
              <w:rPr>
                <w:rFonts w:ascii="Calibri" w:eastAsia="Calibri" w:hAnsi="Calibri" w:cs="Calibri"/>
                <w:color w:val="000000"/>
              </w:rPr>
              <w:t>2022/2023</w:t>
            </w:r>
          </w:p>
        </w:tc>
        <w:tc>
          <w:tcPr>
            <w:tcW w:w="1466" w:type="dxa"/>
            <w:tcBorders>
              <w:top w:val="nil"/>
              <w:left w:val="nil"/>
              <w:bottom w:val="single" w:sz="4" w:space="0" w:color="000000"/>
              <w:right w:val="single" w:sz="4" w:space="0" w:color="000000"/>
            </w:tcBorders>
            <w:shd w:val="clear" w:color="auto" w:fill="auto"/>
            <w:vAlign w:val="bottom"/>
          </w:tcPr>
          <w:p w14:paraId="02D8FA01" w14:textId="77777777" w:rsidR="003A3BCA" w:rsidRDefault="008276B6">
            <w:pPr>
              <w:jc w:val="center"/>
              <w:rPr>
                <w:rFonts w:ascii="Calibri" w:eastAsia="Calibri" w:hAnsi="Calibri" w:cs="Calibri"/>
                <w:color w:val="000000"/>
              </w:rPr>
            </w:pPr>
            <w:r>
              <w:rPr>
                <w:rFonts w:ascii="Calibri" w:eastAsia="Calibri" w:hAnsi="Calibri" w:cs="Calibri"/>
                <w:color w:val="000000"/>
              </w:rPr>
              <w:t>Midfielder</w:t>
            </w:r>
          </w:p>
        </w:tc>
        <w:tc>
          <w:tcPr>
            <w:tcW w:w="1122" w:type="dxa"/>
            <w:tcBorders>
              <w:top w:val="nil"/>
              <w:left w:val="nil"/>
              <w:bottom w:val="single" w:sz="4" w:space="0" w:color="000000"/>
              <w:right w:val="single" w:sz="4" w:space="0" w:color="000000"/>
            </w:tcBorders>
            <w:shd w:val="clear" w:color="auto" w:fill="auto"/>
            <w:vAlign w:val="bottom"/>
          </w:tcPr>
          <w:p w14:paraId="58FBBB46" w14:textId="77777777" w:rsidR="003A3BCA" w:rsidRDefault="008276B6">
            <w:pPr>
              <w:jc w:val="right"/>
              <w:rPr>
                <w:rFonts w:ascii="Calibri" w:eastAsia="Calibri" w:hAnsi="Calibri" w:cs="Calibri"/>
                <w:color w:val="000000"/>
              </w:rPr>
            </w:pPr>
            <w:r>
              <w:rPr>
                <w:rFonts w:ascii="Calibri" w:eastAsia="Calibri" w:hAnsi="Calibri" w:cs="Calibri"/>
                <w:color w:val="000000"/>
              </w:rPr>
              <w:t>93</w:t>
            </w:r>
          </w:p>
        </w:tc>
        <w:tc>
          <w:tcPr>
            <w:tcW w:w="1122" w:type="dxa"/>
            <w:tcBorders>
              <w:top w:val="nil"/>
              <w:left w:val="nil"/>
              <w:bottom w:val="single" w:sz="4" w:space="0" w:color="000000"/>
              <w:right w:val="single" w:sz="4" w:space="0" w:color="000000"/>
            </w:tcBorders>
            <w:shd w:val="clear" w:color="auto" w:fill="auto"/>
            <w:vAlign w:val="bottom"/>
          </w:tcPr>
          <w:p w14:paraId="4C4C4E23" w14:textId="77777777" w:rsidR="003A3BCA" w:rsidRDefault="008276B6">
            <w:pPr>
              <w:jc w:val="right"/>
              <w:rPr>
                <w:rFonts w:ascii="Calibri" w:eastAsia="Calibri" w:hAnsi="Calibri" w:cs="Calibri"/>
                <w:color w:val="000000"/>
              </w:rPr>
            </w:pPr>
            <w:r>
              <w:rPr>
                <w:rFonts w:ascii="Calibri" w:eastAsia="Calibri" w:hAnsi="Calibri" w:cs="Calibri"/>
                <w:color w:val="000000"/>
              </w:rPr>
              <w:t>43</w:t>
            </w:r>
          </w:p>
        </w:tc>
        <w:tc>
          <w:tcPr>
            <w:tcW w:w="1122" w:type="dxa"/>
            <w:tcBorders>
              <w:top w:val="nil"/>
              <w:left w:val="nil"/>
              <w:bottom w:val="single" w:sz="4" w:space="0" w:color="000000"/>
              <w:right w:val="single" w:sz="4" w:space="0" w:color="000000"/>
            </w:tcBorders>
            <w:shd w:val="clear" w:color="auto" w:fill="auto"/>
            <w:vAlign w:val="bottom"/>
          </w:tcPr>
          <w:p w14:paraId="265E802A" w14:textId="77777777" w:rsidR="003A3BCA" w:rsidRDefault="008276B6">
            <w:pPr>
              <w:jc w:val="right"/>
              <w:rPr>
                <w:rFonts w:ascii="Calibri" w:eastAsia="Calibri" w:hAnsi="Calibri" w:cs="Calibri"/>
                <w:color w:val="000000"/>
              </w:rPr>
            </w:pPr>
            <w:r>
              <w:rPr>
                <w:rFonts w:ascii="Calibri" w:eastAsia="Calibri" w:hAnsi="Calibri" w:cs="Calibri"/>
                <w:color w:val="000000"/>
              </w:rPr>
              <w:t>64</w:t>
            </w:r>
          </w:p>
        </w:tc>
        <w:tc>
          <w:tcPr>
            <w:tcW w:w="1122" w:type="dxa"/>
            <w:tcBorders>
              <w:top w:val="nil"/>
              <w:left w:val="nil"/>
              <w:bottom w:val="single" w:sz="4" w:space="0" w:color="000000"/>
              <w:right w:val="single" w:sz="4" w:space="0" w:color="000000"/>
            </w:tcBorders>
            <w:shd w:val="clear" w:color="auto" w:fill="auto"/>
            <w:vAlign w:val="bottom"/>
          </w:tcPr>
          <w:p w14:paraId="126790DF" w14:textId="77777777" w:rsidR="003A3BCA" w:rsidRDefault="008276B6">
            <w:pPr>
              <w:jc w:val="right"/>
              <w:rPr>
                <w:rFonts w:ascii="Calibri" w:eastAsia="Calibri" w:hAnsi="Calibri" w:cs="Calibri"/>
                <w:color w:val="000000"/>
              </w:rPr>
            </w:pPr>
            <w:r>
              <w:rPr>
                <w:rFonts w:ascii="Calibri" w:eastAsia="Calibri" w:hAnsi="Calibri" w:cs="Calibri"/>
                <w:color w:val="000000"/>
              </w:rPr>
              <w:t>3,1</w:t>
            </w:r>
          </w:p>
        </w:tc>
      </w:tr>
    </w:tbl>
    <w:p w14:paraId="2A7BF406" w14:textId="77777777" w:rsidR="003A3BCA" w:rsidRDefault="008276B6">
      <w:pPr>
        <w:pBdr>
          <w:top w:val="nil"/>
          <w:left w:val="nil"/>
          <w:bottom w:val="nil"/>
          <w:right w:val="nil"/>
          <w:between w:val="nil"/>
        </w:pBdr>
        <w:spacing w:after="200"/>
        <w:rPr>
          <w:rFonts w:ascii="Calibri" w:eastAsia="Calibri" w:hAnsi="Calibri" w:cs="Calibri"/>
          <w:i/>
          <w:color w:val="44546A"/>
          <w:sz w:val="18"/>
          <w:szCs w:val="18"/>
        </w:rPr>
      </w:pPr>
      <w:r>
        <w:rPr>
          <w:rFonts w:ascii="Calibri" w:eastAsia="Calibri" w:hAnsi="Calibri" w:cs="Calibri"/>
          <w:i/>
          <w:color w:val="44546A"/>
          <w:sz w:val="18"/>
          <w:szCs w:val="18"/>
        </w:rPr>
        <w:t xml:space="preserve">Table 17. Antony and Casemiro's evaluation breakdown </w:t>
      </w:r>
    </w:p>
    <w:p w14:paraId="38B1987C" w14:textId="0E3F696C" w:rsidR="003A3BCA" w:rsidRDefault="008276B6" w:rsidP="00DC1BBB">
      <w:pPr>
        <w:spacing w:line="360" w:lineRule="auto"/>
        <w:jc w:val="both"/>
        <w:rPr>
          <w:rFonts w:ascii="Calibri" w:eastAsia="Calibri" w:hAnsi="Calibri" w:cs="Calibri"/>
          <w:color w:val="2F5496"/>
          <w:sz w:val="26"/>
          <w:szCs w:val="26"/>
        </w:rPr>
      </w:pPr>
      <w:r>
        <w:tab/>
        <w:t xml:space="preserve">So far, Lisandro Martinez’s been the best-performing signing that Manchester United made last summer with a grade of 4,7 out of 5. On the other hand, Casemiro and Antony, based on their statistical outputs, seem to be more of above-average acquisitions. Nothing wrong with being above average but given their price tags (Antony was bought for 95 million EUR and Casemiro for 70 million EUR) one ought to expect a little bit more. Perhaps they need more time to fully adapt and integrate to the English Premier League, but they will need to do that soon, as United’s had another season of severe statistical underperformance, all the while relying on its players’ individual class to make the season look good on paper. </w:t>
      </w:r>
      <w:r w:rsidR="00DC1BBB">
        <w:t>The club’s management needs to focus on the issue of underperforming, yet costly to recruit players.</w:t>
      </w:r>
    </w:p>
    <w:p w14:paraId="1033ADDC" w14:textId="77B4E4E8" w:rsidR="003A3BCA" w:rsidRDefault="00E70A2E">
      <w:pPr>
        <w:pStyle w:val="Heading2"/>
      </w:pPr>
      <w:bookmarkStart w:id="18" w:name="_Toc136274676"/>
      <w:r>
        <w:lastRenderedPageBreak/>
        <w:t>Strategic recommendations outline</w:t>
      </w:r>
      <w:bookmarkEnd w:id="18"/>
    </w:p>
    <w:p w14:paraId="29A1781C" w14:textId="77777777" w:rsidR="003A3BCA" w:rsidRDefault="003A3BCA">
      <w:pPr>
        <w:spacing w:line="360" w:lineRule="auto"/>
        <w:jc w:val="both"/>
      </w:pPr>
    </w:p>
    <w:p w14:paraId="3289A3F0" w14:textId="1FF57ACF" w:rsidR="003A3BCA" w:rsidRDefault="008276B6">
      <w:pPr>
        <w:spacing w:line="360" w:lineRule="auto"/>
        <w:jc w:val="both"/>
      </w:pPr>
      <w:r>
        <w:tab/>
        <w:t>Manchester United</w:t>
      </w:r>
      <w:r w:rsidR="00E70A2E">
        <w:t>’s management</w:t>
      </w:r>
      <w:r>
        <w:t xml:space="preserve"> could be faced with slight complications in terms of recruiting foreign players due to Brexit, as the club</w:t>
      </w:r>
      <w:r w:rsidR="00DC1BBB">
        <w:t>’s management</w:t>
      </w:r>
      <w:r>
        <w:t xml:space="preserve"> now needs to issue work visas for all incoming players, regardless of whether they’re from the EU or not. This, obviously, doesn’t mean that they won’t be able to recruit anybody outside the UK, but it could make the negotiations slightly more difficult and inefficient. There is an easy fix for this – United could, in theory, exclusively focus on bringing in players from England/the UK. There are, indeed, trade-offs that are to be experienced should such a decision is taken, as the literature suggests (given the high number of foreign players playing the English Premier League) that foreign talent is perceived to be of more quality than domestic one. Should United focus on recruiting more domestic talent, this could help the club financially, especially if the hypothesis that foreign players exceed domestic ones in terms of quality. This absence of financial loss can allow Manchester United to invest the surplus in their infrastructure, given that this is a significant weakness of the club.</w:t>
      </w:r>
    </w:p>
    <w:p w14:paraId="6562F8E4" w14:textId="792D8E9D" w:rsidR="003A3BCA" w:rsidRDefault="008276B6">
      <w:pPr>
        <w:spacing w:line="360" w:lineRule="auto"/>
        <w:jc w:val="both"/>
      </w:pPr>
      <w:r>
        <w:tab/>
        <w:t>United’s biggest weakness</w:t>
      </w:r>
      <w:r w:rsidR="00095009">
        <w:t xml:space="preserve"> (in terms of team performance)</w:t>
      </w:r>
      <w:r>
        <w:t xml:space="preserve"> this season has been their inefficiency in front of the opposition goal, as they have scored 8 goals less than expected, which ranks the club 17</w:t>
      </w:r>
      <w:r>
        <w:rPr>
          <w:vertAlign w:val="superscript"/>
        </w:rPr>
        <w:t>th</w:t>
      </w:r>
      <w:r>
        <w:t xml:space="preserve"> in the league for that category. Therefore, they are in dire need of an efficient striker that can score a lot of goals. This is priority number 1 for Manchester United. The club’s leading goal scorer this season is Marcus Rashford with 16 league goals, hence why one of the criteria will be to search for a striker with a positive Goals minus </w:t>
      </w:r>
      <w:proofErr w:type="spellStart"/>
      <w:r>
        <w:t>xG</w:t>
      </w:r>
      <w:proofErr w:type="spellEnd"/>
      <w:r>
        <w:t xml:space="preserve">, and with a goal tally of around 15 or more league goals, which is </w:t>
      </w:r>
      <w:proofErr w:type="gramStart"/>
      <w:r>
        <w:t>similar to</w:t>
      </w:r>
      <w:proofErr w:type="gramEnd"/>
      <w:r>
        <w:t xml:space="preserve"> Rashford’s. </w:t>
      </w:r>
    </w:p>
    <w:p w14:paraId="20F32057" w14:textId="77777777" w:rsidR="003A3BCA" w:rsidRDefault="008276B6">
      <w:pPr>
        <w:spacing w:line="360" w:lineRule="auto"/>
        <w:jc w:val="both"/>
      </w:pPr>
      <w:r>
        <w:tab/>
        <w:t xml:space="preserve">Secondly, United need to improve their midfield by adding a player that significantly increases the club’s average possession of the ball. That could be done through recruiting for midfielders who rank very high (in terms of percentile) for touches and percentage of completed passes per 90 minutes. It’s also a bonus if said player ranks high in the department of key passes because that way United will be able to improve two different areas of their game with a single recruitment. </w:t>
      </w:r>
    </w:p>
    <w:p w14:paraId="2A2C7775" w14:textId="77777777" w:rsidR="003A3BCA" w:rsidRDefault="008276B6">
      <w:pPr>
        <w:spacing w:line="360" w:lineRule="auto"/>
        <w:jc w:val="both"/>
      </w:pPr>
      <w:r>
        <w:tab/>
        <w:t xml:space="preserve">Thirdly, the club is in big need of a new defender as the defensive performances of the last few seasons haven’t been good enough. It’s worth looking for a defender that ranks very high in one of the major defensive categories, as per </w:t>
      </w:r>
      <w:proofErr w:type="spellStart"/>
      <w:r>
        <w:t>FBref</w:t>
      </w:r>
      <w:proofErr w:type="spellEnd"/>
      <w:r>
        <w:t xml:space="preserve">, as well as has a very high percentage of aerial duels won. Again, with such recruitment, we are trying to cover two problematic areas with a single acquisition. </w:t>
      </w:r>
    </w:p>
    <w:p w14:paraId="0F00BC63" w14:textId="2F1D23F2" w:rsidR="003A3BCA" w:rsidRPr="00E70A2E" w:rsidRDefault="008276B6" w:rsidP="00E70A2E">
      <w:pPr>
        <w:spacing w:line="360" w:lineRule="auto"/>
        <w:jc w:val="both"/>
        <w:rPr>
          <w:rFonts w:ascii="Calibri" w:eastAsia="Calibri" w:hAnsi="Calibri" w:cs="Calibri"/>
          <w:color w:val="2F5496"/>
          <w:sz w:val="26"/>
          <w:szCs w:val="26"/>
        </w:rPr>
      </w:pPr>
      <w:r>
        <w:tab/>
      </w:r>
      <w:r>
        <w:br w:type="page"/>
      </w:r>
    </w:p>
    <w:p w14:paraId="3C4A6FAC" w14:textId="6C7A6D6E" w:rsidR="002331C5" w:rsidRDefault="002331C5" w:rsidP="002331C5">
      <w:pPr>
        <w:spacing w:line="360" w:lineRule="auto"/>
        <w:ind w:firstLine="720"/>
        <w:jc w:val="both"/>
      </w:pPr>
      <w:r>
        <w:lastRenderedPageBreak/>
        <w:t xml:space="preserve">Figure 12 breaks down the list of recommendations that the supporters who took part in the survey indicated. The respondents were able to identify any potential solutions that they would want to see implemented, but almost all of them had a very clear opinion – they think that changing United’s management </w:t>
      </w:r>
      <w:r w:rsidR="001C5246">
        <w:t xml:space="preserve">and the recruiting system it implements </w:t>
      </w:r>
      <w:r>
        <w:t>would be the best recommendation</w:t>
      </w:r>
      <w:r w:rsidR="001C5246">
        <w:t>s</w:t>
      </w:r>
      <w:r>
        <w:t xml:space="preserve"> to ensure the club’s </w:t>
      </w:r>
      <w:r w:rsidR="001C5246">
        <w:t xml:space="preserve">future well-being and </w:t>
      </w:r>
      <w:r>
        <w:t xml:space="preserve">success. </w:t>
      </w:r>
    </w:p>
    <w:p w14:paraId="0EAAF4C0" w14:textId="77777777" w:rsidR="002331C5" w:rsidRDefault="002331C5" w:rsidP="002331C5">
      <w:pPr>
        <w:keepNext/>
      </w:pPr>
      <w:r>
        <w:rPr>
          <w:noProof/>
        </w:rPr>
        <w:drawing>
          <wp:inline distT="0" distB="0" distL="0" distR="0" wp14:anchorId="68D8BBF6" wp14:editId="5DAFC813">
            <wp:extent cx="5731510" cy="3541395"/>
            <wp:effectExtent l="0" t="0" r="0" b="0"/>
            <wp:docPr id="24" name="image3.png" descr="A picture containing text, screenshot, font, desig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A picture containing text, screenshot, font, design&#10;&#10;Description automatically generated"/>
                    <pic:cNvPicPr preferRelativeResize="0"/>
                  </pic:nvPicPr>
                  <pic:blipFill>
                    <a:blip r:embed="rId22"/>
                    <a:srcRect/>
                    <a:stretch>
                      <a:fillRect/>
                    </a:stretch>
                  </pic:blipFill>
                  <pic:spPr>
                    <a:xfrm>
                      <a:off x="0" y="0"/>
                      <a:ext cx="5731510" cy="3541395"/>
                    </a:xfrm>
                    <a:prstGeom prst="rect">
                      <a:avLst/>
                    </a:prstGeom>
                    <a:ln/>
                  </pic:spPr>
                </pic:pic>
              </a:graphicData>
            </a:graphic>
          </wp:inline>
        </w:drawing>
      </w:r>
    </w:p>
    <w:p w14:paraId="4E76BD56" w14:textId="4F7C265E" w:rsidR="002331C5" w:rsidRDefault="002331C5" w:rsidP="002331C5">
      <w:pPr>
        <w:spacing w:line="360" w:lineRule="auto"/>
        <w:jc w:val="both"/>
      </w:pPr>
      <w:r>
        <w:rPr>
          <w:rFonts w:ascii="Calibri" w:eastAsia="Calibri" w:hAnsi="Calibri" w:cs="Calibri"/>
          <w:i/>
          <w:color w:val="44546A"/>
          <w:sz w:val="18"/>
          <w:szCs w:val="18"/>
        </w:rPr>
        <w:t>Figure 12. Manchester United supporters' recommendations</w:t>
      </w:r>
      <w:r w:rsidR="008276B6">
        <w:tab/>
      </w:r>
    </w:p>
    <w:p w14:paraId="2A47E1BB" w14:textId="5E62770F" w:rsidR="003A3BCA" w:rsidRDefault="001C5246" w:rsidP="002331C5">
      <w:pPr>
        <w:spacing w:line="360" w:lineRule="auto"/>
        <w:ind w:firstLine="720"/>
        <w:jc w:val="both"/>
      </w:pPr>
      <w:r>
        <w:t>T</w:t>
      </w:r>
      <w:r w:rsidR="008276B6">
        <w:t xml:space="preserve">he major things learned from the fans </w:t>
      </w:r>
      <w:r>
        <w:t>are</w:t>
      </w:r>
      <w:r w:rsidR="008276B6">
        <w:t xml:space="preserve"> that the club</w:t>
      </w:r>
      <w:r w:rsidR="0098438A">
        <w:t>’s management</w:t>
      </w:r>
      <w:r w:rsidR="008276B6">
        <w:t xml:space="preserve"> needs to change the way they recruit players, and, perhaps, focus on buying more players that </w:t>
      </w:r>
      <w:r>
        <w:t xml:space="preserve">would </w:t>
      </w:r>
      <w:r w:rsidR="004060A4">
        <w:t xml:space="preserve">be </w:t>
      </w:r>
      <w:r>
        <w:t>bringing leadership traits, something the fans have identified to be missing at United</w:t>
      </w:r>
      <w:r w:rsidR="008276B6">
        <w:t xml:space="preserve">. The supporters feel that the club could use a change of culture inside the dressing room, and frankly speaking, recruiting experienced players that United hasn’t broken the bank for will definitely change the culture inside the club, as 1) it will numerically increase the number of leaders and experienced players in the club; and 2) will better (in terms of a realistic point of view) manage the expectations of the players recruited, as well as the club as whole. The second point is particularly important because when a club spends 100 million EUR for a player, everyone will expect that player to perform as a player for 100 million EUR, not </w:t>
      </w:r>
      <w:proofErr w:type="gramStart"/>
      <w:r w:rsidR="008276B6">
        <w:t>taking into account</w:t>
      </w:r>
      <w:proofErr w:type="gramEnd"/>
      <w:r w:rsidR="008276B6">
        <w:t xml:space="preserve"> that said player’s market value is 50 million EUR, twice as low, and that his abilities might be nowhere near enough for the price tag that the club has paid for him. If players are bought for reasonable prices, and prices close to their market value, the expectations from the player and the club will be much different, and much more objective, perhaps. </w:t>
      </w:r>
    </w:p>
    <w:p w14:paraId="22AB8C84" w14:textId="059C0A8E" w:rsidR="003A3BCA" w:rsidRDefault="008276B6">
      <w:pPr>
        <w:spacing w:line="360" w:lineRule="auto"/>
        <w:jc w:val="both"/>
      </w:pPr>
      <w:r>
        <w:lastRenderedPageBreak/>
        <w:tab/>
        <w:t xml:space="preserve">From the perspective of Manchester United’s management, it’s important to deliberate on the fact that almost all supporters share a feeling that the management hasn’t done a good enough job to ensure Manchester United’s competitive position in the past several years, as United have been trying to establish themselves as one of England’s best teams, but with no success to show for it. Moreover, the club’s infrastructure has been quite neglected and United are trailing their biggest rivals in that area. </w:t>
      </w:r>
      <w:r w:rsidR="00372FA7">
        <w:t xml:space="preserve">All </w:t>
      </w:r>
      <w:r>
        <w:t>these combined</w:t>
      </w:r>
      <w:r w:rsidR="00372FA7">
        <w:t>,</w:t>
      </w:r>
      <w:r>
        <w:t xml:space="preserve"> do, indeed, point towards change at the top of the club’s hierarchy.</w:t>
      </w:r>
      <w:r w:rsidR="00B458D9">
        <w:t xml:space="preserve"> Moreover, 20% of the fans feel that the current or new management will have a lot of work to do, as they believe that all of the options above should be undertaken by the United’s management, if the club wants to return to the top of English and </w:t>
      </w:r>
      <w:r w:rsidR="00B63934">
        <w:t>international (European)</w:t>
      </w:r>
      <w:r w:rsidR="00B458D9">
        <w:t xml:space="preserve"> football. </w:t>
      </w:r>
    </w:p>
    <w:p w14:paraId="2A3A65AB" w14:textId="14D65470" w:rsidR="003A3BCA" w:rsidRDefault="008276B6">
      <w:pPr>
        <w:spacing w:line="360" w:lineRule="auto"/>
        <w:jc w:val="both"/>
      </w:pPr>
      <w:r>
        <w:tab/>
        <w:t xml:space="preserve">With everything being said, it’s impossible to suggest concrete managerial changes at Manchester United given the nature of the situation the club is currently in – United just appointed a new first-team manager in Erik ten Hag last summer, and so far, the Dutchman is doing a very decent job, managing United to a top-4 position that gives them a chance to qualify for the UEFA Champions League. Moreover, there are many rumors that Manchester United F.C. is on the verge of a takeover – nothing decided on who will take over the club, when that will happen, and what the new managerial structure will look like. There are two main bidders for the club of Manchester – Sir Jim Ratcliffe (England’s richest man) and Qatar’s Sheik </w:t>
      </w:r>
      <w:proofErr w:type="spellStart"/>
      <w:r>
        <w:t>Jassim</w:t>
      </w:r>
      <w:proofErr w:type="spellEnd"/>
      <w:r>
        <w:t xml:space="preserve">. Both sides offer different deals that will see a completely different structure being implemented into the management of the club – Sir Ratcliffe wants to buy a controlling stake at United and swiftly phase out the current owners of the club in the next couple of years, whereas Sheikh </w:t>
      </w:r>
      <w:proofErr w:type="spellStart"/>
      <w:r>
        <w:t>Jassim</w:t>
      </w:r>
      <w:proofErr w:type="spellEnd"/>
      <w:r>
        <w:t xml:space="preserve"> wants to buy 100% of the club right now (Jackson, 2023). The valuation of both offers is between £5 million and £6 million. A deal seems imminent, however, there are not enough details and information on who is going to be the new owner of the club and what the internal processes will be, when they will take place, etc. Hence why any exact recommendations on changes in the management structure/personnel cannot be made, due to them most likely becoming obsolete in the very near future.</w:t>
      </w:r>
    </w:p>
    <w:p w14:paraId="1A7A118D" w14:textId="7DA23B6E" w:rsidR="00DB7CB1" w:rsidRDefault="00DB7CB1" w:rsidP="00DB7CB1">
      <w:pPr>
        <w:spacing w:line="360" w:lineRule="auto"/>
        <w:ind w:firstLine="720"/>
        <w:jc w:val="both"/>
      </w:pPr>
      <w:r>
        <w:t xml:space="preserve">In conclusion, </w:t>
      </w:r>
      <w:r w:rsidR="00B9389A">
        <w:t xml:space="preserve">Manchester </w:t>
      </w:r>
      <w:r>
        <w:t xml:space="preserve">United’s management needs to recruit players </w:t>
      </w:r>
      <w:r w:rsidR="00B458D9">
        <w:t xml:space="preserve">(and recruit them smarter than usual) </w:t>
      </w:r>
      <w:r>
        <w:t xml:space="preserve">that play in three different positions: Attacker, Midfielder, and a Defender. Each signing comes with a criterion for each position, implying the search for a specific profile of players. The pool of players is the Big 5 leagues of Europe (England, Spain, Italy, Germany, and France). It is reported that Manchester United is going to have somewhere </w:t>
      </w:r>
      <w:r>
        <w:lastRenderedPageBreak/>
        <w:t>around 100 million EUR in transfer budget for the summer unless they sell current players</w:t>
      </w:r>
      <w:r>
        <w:rPr>
          <w:vertAlign w:val="superscript"/>
        </w:rPr>
        <w:footnoteReference w:id="27"/>
      </w:r>
      <w:r>
        <w:t>. Given that it is unknown which players are going to be sold and for how much, the recommendations for player recruitment will be done based on a budget of only 100 million EUR, not more. A couple of desired but not critical criteria are for the players to be over the age of 27, and to be English, if applicable.</w:t>
      </w:r>
    </w:p>
    <w:p w14:paraId="1D5B1010" w14:textId="77777777" w:rsidR="003A3BCA" w:rsidRDefault="003A3BCA">
      <w:pPr>
        <w:spacing w:line="360" w:lineRule="auto"/>
        <w:jc w:val="both"/>
      </w:pPr>
    </w:p>
    <w:p w14:paraId="4983FF77" w14:textId="77777777" w:rsidR="003A3BCA" w:rsidRPr="00372FA7" w:rsidRDefault="008276B6" w:rsidP="00372FA7">
      <w:pPr>
        <w:pStyle w:val="Heading2"/>
        <w:jc w:val="both"/>
        <w:rPr>
          <w:rFonts w:ascii="Times New Roman" w:hAnsi="Times New Roman" w:cs="Times New Roman"/>
        </w:rPr>
      </w:pPr>
      <w:bookmarkStart w:id="19" w:name="_Toc136274677"/>
      <w:r w:rsidRPr="00372FA7">
        <w:rPr>
          <w:rFonts w:ascii="Times New Roman" w:hAnsi="Times New Roman" w:cs="Times New Roman"/>
        </w:rPr>
        <w:t>Strategic Recommendations</w:t>
      </w:r>
      <w:bookmarkEnd w:id="19"/>
    </w:p>
    <w:p w14:paraId="764CE8AD" w14:textId="77777777" w:rsidR="00DB7CB1" w:rsidRDefault="00DB7CB1">
      <w:pPr>
        <w:spacing w:line="360" w:lineRule="auto"/>
        <w:ind w:firstLine="720"/>
        <w:jc w:val="both"/>
      </w:pPr>
    </w:p>
    <w:p w14:paraId="67EC6746" w14:textId="6850940F" w:rsidR="003A3BCA" w:rsidRDefault="008276B6">
      <w:pPr>
        <w:spacing w:line="360" w:lineRule="auto"/>
        <w:ind w:firstLine="720"/>
        <w:jc w:val="both"/>
      </w:pPr>
      <w:r>
        <w:t xml:space="preserve">Finally, after </w:t>
      </w:r>
      <w:proofErr w:type="gramStart"/>
      <w:r w:rsidR="00DB7CB1">
        <w:t>taking into account</w:t>
      </w:r>
      <w:proofErr w:type="gramEnd"/>
      <w:r w:rsidR="00DB7CB1">
        <w:t xml:space="preserve"> the club’s current state-of-the-art and the strategic recommendations outline, we come to the recommendations that will be made to Manchester United’s management, in order to increase the club’s competitive positions domestically and internationally. </w:t>
      </w:r>
    </w:p>
    <w:p w14:paraId="201B8F56" w14:textId="48234494" w:rsidR="003A3BCA" w:rsidRDefault="008276B6">
      <w:pPr>
        <w:numPr>
          <w:ilvl w:val="0"/>
          <w:numId w:val="1"/>
        </w:numPr>
        <w:pBdr>
          <w:top w:val="nil"/>
          <w:left w:val="nil"/>
          <w:bottom w:val="nil"/>
          <w:right w:val="nil"/>
          <w:between w:val="nil"/>
        </w:pBdr>
        <w:spacing w:line="360" w:lineRule="auto"/>
        <w:jc w:val="both"/>
        <w:rPr>
          <w:color w:val="000000"/>
        </w:rPr>
      </w:pPr>
      <w:r>
        <w:rPr>
          <w:color w:val="000000"/>
        </w:rPr>
        <w:t>Manchester United</w:t>
      </w:r>
      <w:r w:rsidR="006917EB">
        <w:rPr>
          <w:color w:val="000000"/>
        </w:rPr>
        <w:t>’s management</w:t>
      </w:r>
      <w:r>
        <w:rPr>
          <w:color w:val="000000"/>
        </w:rPr>
        <w:t xml:space="preserve"> must </w:t>
      </w:r>
      <w:r w:rsidR="00AF1CAB">
        <w:rPr>
          <w:color w:val="000000"/>
        </w:rPr>
        <w:t>implement a new</w:t>
      </w:r>
      <w:r>
        <w:rPr>
          <w:color w:val="000000"/>
        </w:rPr>
        <w:t xml:space="preserve"> recruitment </w:t>
      </w:r>
      <w:r w:rsidR="00AF1CAB">
        <w:rPr>
          <w:color w:val="000000"/>
        </w:rPr>
        <w:t>system</w:t>
      </w:r>
      <w:r>
        <w:rPr>
          <w:color w:val="000000"/>
        </w:rPr>
        <w:t xml:space="preserve">, as the one they have been currently implementing does not add any added value, no matter how much of a premium they pay, </w:t>
      </w:r>
      <w:proofErr w:type="gramStart"/>
      <w:r>
        <w:rPr>
          <w:color w:val="000000"/>
        </w:rPr>
        <w:t>in order to</w:t>
      </w:r>
      <w:proofErr w:type="gramEnd"/>
      <w:r>
        <w:rPr>
          <w:color w:val="000000"/>
        </w:rPr>
        <w:t xml:space="preserve"> lure in talent from other clubs. Manchester United </w:t>
      </w:r>
      <w:r>
        <w:t>needs</w:t>
      </w:r>
      <w:r>
        <w:rPr>
          <w:color w:val="000000"/>
        </w:rPr>
        <w:t xml:space="preserve"> to decrease either the amount of money they invest in players in general, or to restrict themselves to one big/record signings on a sporadic, and not constant basis. The club’s added two more players on average to the list of their most expensive signings each year since 2017, and currently have 5 of the 25 most expensive recruitment deals of all time. Yet, the results that one could expect from such investment deals </w:t>
      </w:r>
      <w:r>
        <w:t>are</w:t>
      </w:r>
      <w:r>
        <w:rPr>
          <w:color w:val="000000"/>
        </w:rPr>
        <w:t xml:space="preserve"> nowhere to be found. Although undoubtedly the club uses data analysis to gather intel on potential signings and to evaluate their current squad, the club might benefit from adding more emphasis on advanced analytics to make their recruitment deals, i.e., focus on players might not entirely suit the playing system when watching them, but suit the team from an advanced statistics point of view. Obviously, it’s very circumstantial as to what exactly the club needs to change, i.e., when grading a player which analysis should weigh more (data analysis versus live watching the player), but United must do something about their recruitment strategy because the club’s been spending way too much, yet zero success to show for it. They have been buying players, and not processes, and even the players they’ve bought weren’t rated as high both by the Player Evaluation </w:t>
      </w:r>
      <w:r>
        <w:rPr>
          <w:color w:val="000000"/>
        </w:rPr>
        <w:lastRenderedPageBreak/>
        <w:t xml:space="preserve">Model and by the supporters of the club – which implies that they have “failed” both the stats and live watching tests. </w:t>
      </w:r>
    </w:p>
    <w:p w14:paraId="5C56A2D1" w14:textId="7E44E133" w:rsidR="003A3BCA" w:rsidRDefault="00124D63">
      <w:pPr>
        <w:numPr>
          <w:ilvl w:val="0"/>
          <w:numId w:val="1"/>
        </w:numPr>
        <w:pBdr>
          <w:top w:val="nil"/>
          <w:left w:val="nil"/>
          <w:bottom w:val="nil"/>
          <w:right w:val="nil"/>
          <w:between w:val="nil"/>
        </w:pBdr>
        <w:spacing w:line="360" w:lineRule="auto"/>
        <w:jc w:val="both"/>
        <w:rPr>
          <w:color w:val="000000"/>
        </w:rPr>
      </w:pPr>
      <w:r>
        <w:rPr>
          <w:color w:val="000000"/>
        </w:rPr>
        <w:t>The club’s management</w:t>
      </w:r>
      <w:r w:rsidR="008276B6">
        <w:rPr>
          <w:color w:val="000000"/>
        </w:rPr>
        <w:t xml:space="preserve"> must </w:t>
      </w:r>
      <w:r w:rsidR="0096766D">
        <w:rPr>
          <w:color w:val="000000"/>
        </w:rPr>
        <w:t xml:space="preserve">search for and </w:t>
      </w:r>
      <w:r w:rsidR="008276B6">
        <w:rPr>
          <w:color w:val="000000"/>
        </w:rPr>
        <w:t>recruit a</w:t>
      </w:r>
      <w:r>
        <w:rPr>
          <w:color w:val="000000"/>
        </w:rPr>
        <w:t xml:space="preserve"> new</w:t>
      </w:r>
      <w:r w:rsidR="008276B6">
        <w:rPr>
          <w:color w:val="000000"/>
        </w:rPr>
        <w:t xml:space="preserve"> striker this summer because for the last two seasons (2021/2022 &amp; 2022/2023) the club has been extremely inefficient when converting chances into goals, and as we know, you cannot win games in football without scoring goals. Not winning games leads to bad results, and the bad results mean that the management of the club is facing pressure, as it hasn’t done </w:t>
      </w:r>
      <w:r w:rsidR="008276B6">
        <w:t>its</w:t>
      </w:r>
      <w:r w:rsidR="008276B6">
        <w:rPr>
          <w:color w:val="000000"/>
        </w:rPr>
        <w:t xml:space="preserve"> job when constructing the team. One could find themselves </w:t>
      </w:r>
      <w:r w:rsidR="008276B6">
        <w:t>in</w:t>
      </w:r>
      <w:r w:rsidR="008276B6">
        <w:rPr>
          <w:color w:val="000000"/>
        </w:rPr>
        <w:t xml:space="preserve"> this vicious circle of bad results, a lot of pressure, and high spending, which fully describes Manchester United’s position since 2017. Following the criteria from the quantitative pre-recommendations, here is a proposed list of strikers and their statistical outputs until May 7th that Manchester United</w:t>
      </w:r>
      <w:r w:rsidR="00E367E6">
        <w:rPr>
          <w:color w:val="000000"/>
        </w:rPr>
        <w:t>’s management</w:t>
      </w:r>
      <w:r w:rsidR="008276B6">
        <w:rPr>
          <w:color w:val="000000"/>
        </w:rPr>
        <w:t xml:space="preserve"> can choose from, </w:t>
      </w:r>
      <w:proofErr w:type="gramStart"/>
      <w:r w:rsidR="008276B6">
        <w:rPr>
          <w:color w:val="000000"/>
        </w:rPr>
        <w:t>in order to</w:t>
      </w:r>
      <w:proofErr w:type="gramEnd"/>
      <w:r w:rsidR="008276B6">
        <w:rPr>
          <w:color w:val="000000"/>
        </w:rPr>
        <w:t xml:space="preserve"> improve their results offensively. Two of the recommendations will be for English players, and for players that are over the age of 27, and two for players that are not English and of any age, </w:t>
      </w:r>
      <w:proofErr w:type="gramStart"/>
      <w:r w:rsidR="008276B6">
        <w:rPr>
          <w:color w:val="000000"/>
        </w:rPr>
        <w:t>in order to</w:t>
      </w:r>
      <w:proofErr w:type="gramEnd"/>
      <w:r w:rsidR="008276B6">
        <w:rPr>
          <w:color w:val="000000"/>
        </w:rPr>
        <w:t xml:space="preserve"> cover every possible preference of the club: </w:t>
      </w:r>
    </w:p>
    <w:p w14:paraId="02B11E32" w14:textId="6B4C79CD" w:rsidR="003A3BCA" w:rsidRDefault="008276B6">
      <w:pPr>
        <w:numPr>
          <w:ilvl w:val="1"/>
          <w:numId w:val="1"/>
        </w:numPr>
        <w:pBdr>
          <w:top w:val="nil"/>
          <w:left w:val="nil"/>
          <w:bottom w:val="nil"/>
          <w:right w:val="nil"/>
          <w:between w:val="nil"/>
        </w:pBdr>
        <w:spacing w:line="360" w:lineRule="auto"/>
        <w:jc w:val="both"/>
        <w:rPr>
          <w:color w:val="000000"/>
        </w:rPr>
      </w:pPr>
      <w:r>
        <w:rPr>
          <w:color w:val="000000"/>
        </w:rPr>
        <w:t>Harry Kane – the Englishman has 26 goals and has outscored his expected output by almost 7 goals in the EPL. He is 29 years old and is the captain of the English national team, hence he ticks the leadership checkbox as well. The only issue is that he plays for Tottenham Hotspur and his estimated market value by Transfermarkt is 90 million EUR</w:t>
      </w:r>
      <w:r>
        <w:rPr>
          <w:color w:val="000000"/>
          <w:vertAlign w:val="superscript"/>
        </w:rPr>
        <w:footnoteReference w:id="28"/>
      </w:r>
      <w:r>
        <w:rPr>
          <w:color w:val="000000"/>
        </w:rPr>
        <w:t>. If Man United only have 100 million EUR to spend in the summer, it’s unlikely they will be able to sing him, unless they sell other players first.</w:t>
      </w:r>
      <w:r w:rsidR="00F42C2D">
        <w:rPr>
          <w:color w:val="000000"/>
        </w:rPr>
        <w:t xml:space="preserve"> If the club, however, has more money to spend in the summer, my recommendation to the club’s management will be to sign Harry Kane, as he is the most prolific striker out of the recommended. </w:t>
      </w:r>
    </w:p>
    <w:p w14:paraId="5FE017B7" w14:textId="72066377" w:rsidR="003A3BCA" w:rsidRDefault="008276B6">
      <w:pPr>
        <w:numPr>
          <w:ilvl w:val="1"/>
          <w:numId w:val="1"/>
        </w:numPr>
        <w:pBdr>
          <w:top w:val="nil"/>
          <w:left w:val="nil"/>
          <w:bottom w:val="nil"/>
          <w:right w:val="nil"/>
          <w:between w:val="nil"/>
        </w:pBdr>
        <w:spacing w:line="360" w:lineRule="auto"/>
        <w:jc w:val="both"/>
        <w:rPr>
          <w:color w:val="000000"/>
        </w:rPr>
      </w:pPr>
      <w:r>
        <w:rPr>
          <w:color w:val="000000"/>
        </w:rPr>
        <w:t>Callum Wilson – the English striker has scored 15 league goals in the EPL this season and has outperformed his expected output by 1,5 goals, up until May 7</w:t>
      </w:r>
      <w:r>
        <w:rPr>
          <w:color w:val="000000"/>
          <w:vertAlign w:val="superscript"/>
        </w:rPr>
        <w:t>th</w:t>
      </w:r>
      <w:r>
        <w:rPr>
          <w:color w:val="000000"/>
        </w:rPr>
        <w:t>. He is 31 years old and has an estimated value of 18 million EUR making him very accessible to recruit. He also checks the leadership box</w:t>
      </w:r>
      <w:r>
        <w:rPr>
          <w:color w:val="000000"/>
          <w:vertAlign w:val="superscript"/>
        </w:rPr>
        <w:footnoteReference w:id="29"/>
      </w:r>
      <w:r>
        <w:rPr>
          <w:color w:val="000000"/>
        </w:rPr>
        <w:t xml:space="preserve">. </w:t>
      </w:r>
      <w:r w:rsidR="00F42C2D">
        <w:rPr>
          <w:color w:val="000000"/>
        </w:rPr>
        <w:t xml:space="preserve">If United’s management </w:t>
      </w:r>
      <w:proofErr w:type="gramStart"/>
      <w:r w:rsidR="00456EDD">
        <w:rPr>
          <w:color w:val="000000"/>
        </w:rPr>
        <w:t>has to</w:t>
      </w:r>
      <w:proofErr w:type="gramEnd"/>
      <w:r w:rsidR="00F42C2D">
        <w:rPr>
          <w:color w:val="000000"/>
        </w:rPr>
        <w:t xml:space="preserve"> operate on a tight budget this summer, my recommendation </w:t>
      </w:r>
      <w:r w:rsidR="00F42C2D">
        <w:rPr>
          <w:color w:val="000000"/>
        </w:rPr>
        <w:lastRenderedPageBreak/>
        <w:t>to it is to sign Callum Wilson, as he fits the profile of the player in need of the club</w:t>
      </w:r>
      <w:r w:rsidR="00456EDD">
        <w:rPr>
          <w:color w:val="000000"/>
        </w:rPr>
        <w:t xml:space="preserve">. </w:t>
      </w:r>
    </w:p>
    <w:p w14:paraId="32FAA020" w14:textId="77777777" w:rsidR="003A3BCA" w:rsidRDefault="008276B6">
      <w:pPr>
        <w:numPr>
          <w:ilvl w:val="1"/>
          <w:numId w:val="1"/>
        </w:numPr>
        <w:pBdr>
          <w:top w:val="nil"/>
          <w:left w:val="nil"/>
          <w:bottom w:val="nil"/>
          <w:right w:val="nil"/>
          <w:between w:val="nil"/>
        </w:pBdr>
        <w:spacing w:line="360" w:lineRule="auto"/>
        <w:jc w:val="both"/>
        <w:rPr>
          <w:color w:val="000000"/>
        </w:rPr>
      </w:pPr>
      <w:proofErr w:type="spellStart"/>
      <w:r>
        <w:rPr>
          <w:color w:val="000000"/>
        </w:rPr>
        <w:t>Terem</w:t>
      </w:r>
      <w:proofErr w:type="spellEnd"/>
      <w:r>
        <w:rPr>
          <w:color w:val="000000"/>
        </w:rPr>
        <w:t xml:space="preserve"> </w:t>
      </w:r>
      <w:proofErr w:type="spellStart"/>
      <w:r>
        <w:rPr>
          <w:color w:val="000000"/>
        </w:rPr>
        <w:t>Moffi</w:t>
      </w:r>
      <w:proofErr w:type="spellEnd"/>
      <w:r>
        <w:rPr>
          <w:color w:val="000000"/>
        </w:rPr>
        <w:t xml:space="preserve"> – the Nigerian striker has scored 17 goals this season in the French league, outperforming his expected output by 3,6 goals. He is 23 years old, which means that United can use him for the short and long terms, should he hit the ground running at Old Trafford. Transfermarkt estimates his market value at 20 million EUR</w:t>
      </w:r>
      <w:r>
        <w:rPr>
          <w:color w:val="000000"/>
          <w:vertAlign w:val="superscript"/>
        </w:rPr>
        <w:footnoteReference w:id="30"/>
      </w:r>
      <w:r>
        <w:rPr>
          <w:color w:val="000000"/>
        </w:rPr>
        <w:t xml:space="preserve">. </w:t>
      </w:r>
    </w:p>
    <w:p w14:paraId="53DDB188" w14:textId="77777777" w:rsidR="003A3BCA" w:rsidRDefault="008276B6">
      <w:pPr>
        <w:numPr>
          <w:ilvl w:val="1"/>
          <w:numId w:val="1"/>
        </w:numPr>
        <w:pBdr>
          <w:top w:val="nil"/>
          <w:left w:val="nil"/>
          <w:bottom w:val="nil"/>
          <w:right w:val="nil"/>
          <w:between w:val="nil"/>
        </w:pBdr>
        <w:spacing w:line="360" w:lineRule="auto"/>
        <w:jc w:val="both"/>
        <w:rPr>
          <w:color w:val="000000"/>
        </w:rPr>
      </w:pPr>
      <w:r>
        <w:rPr>
          <w:color w:val="000000"/>
        </w:rPr>
        <w:t xml:space="preserve">Victor </w:t>
      </w:r>
      <w:proofErr w:type="spellStart"/>
      <w:r>
        <w:rPr>
          <w:color w:val="000000"/>
        </w:rPr>
        <w:t>Osimhen</w:t>
      </w:r>
      <w:proofErr w:type="spellEnd"/>
      <w:r>
        <w:rPr>
          <w:color w:val="000000"/>
        </w:rPr>
        <w:t xml:space="preserve"> – the Nigerian striker has scored 23 league goals in the Italian Serie A for Napoli. He is 24 years old and has outperformed his expected output by 4,1 goals this season. Transfermarkt estimates his market value at 100 million EUR, and just like with Harry Kane, unless Manchester United sell players of value first, it might be difficult to lure into Old Trafford, especially considering that they might have to pay a premium to Napoli for his services, given his age, output, and potential. </w:t>
      </w:r>
    </w:p>
    <w:p w14:paraId="7AF09A4D" w14:textId="7E9DAB33" w:rsidR="003A3BCA" w:rsidRDefault="008276B6">
      <w:pPr>
        <w:numPr>
          <w:ilvl w:val="0"/>
          <w:numId w:val="1"/>
        </w:numPr>
        <w:pBdr>
          <w:top w:val="nil"/>
          <w:left w:val="nil"/>
          <w:bottom w:val="nil"/>
          <w:right w:val="nil"/>
          <w:between w:val="nil"/>
        </w:pBdr>
        <w:spacing w:line="360" w:lineRule="auto"/>
        <w:jc w:val="both"/>
        <w:rPr>
          <w:color w:val="000000"/>
        </w:rPr>
      </w:pPr>
      <w:r>
        <w:rPr>
          <w:color w:val="000000"/>
        </w:rPr>
        <w:t>The next player-related recommendation to Manchester United</w:t>
      </w:r>
      <w:r w:rsidR="00F42C2D">
        <w:rPr>
          <w:color w:val="000000"/>
        </w:rPr>
        <w:t>’s management</w:t>
      </w:r>
      <w:r>
        <w:rPr>
          <w:color w:val="000000"/>
        </w:rPr>
        <w:t xml:space="preserve"> is to sign a quality defender that can make the club’s defense as solid and efficient as possible. If United continue to let their opponents score more goals against them than they’re expected to, this only makes the club’s ideal of success even harder to reach. Having in mind the prerequisites from the quantitative pre-recommendations, here is a list of possible defensive acquisitions Manchester United can make to improve their defensive performances. The same criteria from the previous paragraph applies here too, i.e., two English players and two non-English, two players over the age of 27, and two of any age:</w:t>
      </w:r>
    </w:p>
    <w:p w14:paraId="7B5C6B63" w14:textId="5853D5F5" w:rsidR="003A3BCA" w:rsidRDefault="008276B6">
      <w:pPr>
        <w:numPr>
          <w:ilvl w:val="1"/>
          <w:numId w:val="1"/>
        </w:numPr>
        <w:pBdr>
          <w:top w:val="nil"/>
          <w:left w:val="nil"/>
          <w:bottom w:val="nil"/>
          <w:right w:val="nil"/>
          <w:between w:val="nil"/>
        </w:pBdr>
        <w:spacing w:line="360" w:lineRule="auto"/>
        <w:jc w:val="both"/>
        <w:rPr>
          <w:color w:val="000000"/>
        </w:rPr>
      </w:pPr>
      <w:r>
        <w:rPr>
          <w:color w:val="000000"/>
        </w:rPr>
        <w:t xml:space="preserve">Willi </w:t>
      </w:r>
      <w:proofErr w:type="spellStart"/>
      <w:r>
        <w:rPr>
          <w:color w:val="000000"/>
        </w:rPr>
        <w:t>Orban</w:t>
      </w:r>
      <w:proofErr w:type="spellEnd"/>
      <w:r>
        <w:rPr>
          <w:color w:val="000000"/>
        </w:rPr>
        <w:t xml:space="preserve"> – the Hungarian central defender is 30 years old and plays for RB Leipzig in the German Bundesliga. He checks the box for being a player with a leadership status. He is one of the very best defenders, in terms of total tackles + interceptions, as well as for having won more than 50% of his aerial duels. Moreover, he is one of the central defenders with the highest number of touches, implying that he </w:t>
      </w:r>
      <w:proofErr w:type="gramStart"/>
      <w:r>
        <w:rPr>
          <w:color w:val="000000"/>
        </w:rPr>
        <w:t>is able to</w:t>
      </w:r>
      <w:proofErr w:type="gramEnd"/>
      <w:r>
        <w:rPr>
          <w:color w:val="000000"/>
        </w:rPr>
        <w:t xml:space="preserve"> help the team both defensively and in the control phase of the game, as United have struggled there in that zone as well.  What could be made from this is that he is a very aggressive, but very assured </w:t>
      </w:r>
      <w:r>
        <w:rPr>
          <w:color w:val="000000"/>
        </w:rPr>
        <w:lastRenderedPageBreak/>
        <w:t>defender given the high number of defensive activities, in a team that likes to hold the ball a lot. Moreover, quantity and quality seem to go hand in hand in his scenario, implying his qualities as a defender. His market value is at 10 million EUR by Transfermarkt</w:t>
      </w:r>
      <w:r>
        <w:rPr>
          <w:color w:val="000000"/>
          <w:vertAlign w:val="superscript"/>
        </w:rPr>
        <w:footnoteReference w:id="31"/>
      </w:r>
      <w:r>
        <w:rPr>
          <w:color w:val="000000"/>
        </w:rPr>
        <w:t xml:space="preserve">. </w:t>
      </w:r>
      <w:r w:rsidR="00F42C2D">
        <w:rPr>
          <w:color w:val="000000"/>
        </w:rPr>
        <w:t xml:space="preserve">My recommendation to Manchester United’s management is to exactly sign Willi </w:t>
      </w:r>
      <w:proofErr w:type="spellStart"/>
      <w:r w:rsidR="00F42C2D">
        <w:rPr>
          <w:color w:val="000000"/>
        </w:rPr>
        <w:t>Orban</w:t>
      </w:r>
      <w:proofErr w:type="spellEnd"/>
      <w:r w:rsidR="00F42C2D">
        <w:rPr>
          <w:color w:val="000000"/>
        </w:rPr>
        <w:t xml:space="preserve">, as he is both an experienced player with a lot of leadership, and one of the leading defenders in the areas that the club needs to strengthen. </w:t>
      </w:r>
    </w:p>
    <w:p w14:paraId="2390B911" w14:textId="77777777" w:rsidR="003A3BCA" w:rsidRDefault="008276B6">
      <w:pPr>
        <w:numPr>
          <w:ilvl w:val="1"/>
          <w:numId w:val="1"/>
        </w:numPr>
        <w:pBdr>
          <w:top w:val="nil"/>
          <w:left w:val="nil"/>
          <w:bottom w:val="nil"/>
          <w:right w:val="nil"/>
          <w:between w:val="nil"/>
        </w:pBdr>
        <w:spacing w:line="360" w:lineRule="auto"/>
        <w:jc w:val="both"/>
        <w:rPr>
          <w:color w:val="000000"/>
        </w:rPr>
      </w:pPr>
      <w:r>
        <w:rPr>
          <w:color w:val="000000"/>
        </w:rPr>
        <w:t xml:space="preserve">Hiroki Ito – the 24-year-old Japanese central defender plays for Stuttgart in the German Bundesliga and is one of the better well-rounded defenders, apart from </w:t>
      </w:r>
      <w:proofErr w:type="spellStart"/>
      <w:r>
        <w:rPr>
          <w:color w:val="000000"/>
        </w:rPr>
        <w:t>Orban</w:t>
      </w:r>
      <w:proofErr w:type="spellEnd"/>
      <w:r>
        <w:rPr>
          <w:color w:val="000000"/>
        </w:rPr>
        <w:t>. He ranks very high for total blocks and total tackles and interceptions (both 80</w:t>
      </w:r>
      <w:r>
        <w:rPr>
          <w:color w:val="000000"/>
          <w:vertAlign w:val="superscript"/>
        </w:rPr>
        <w:t>th</w:t>
      </w:r>
      <w:r>
        <w:rPr>
          <w:color w:val="000000"/>
        </w:rPr>
        <w:t xml:space="preserve"> percentile), as well as being one of the defenders with one of the highest number of touches (93</w:t>
      </w:r>
      <w:r>
        <w:rPr>
          <w:color w:val="000000"/>
          <w:vertAlign w:val="superscript"/>
        </w:rPr>
        <w:t>rd</w:t>
      </w:r>
      <w:r>
        <w:rPr>
          <w:color w:val="000000"/>
        </w:rPr>
        <w:t xml:space="preserve"> percentile). Just like </w:t>
      </w:r>
      <w:proofErr w:type="spellStart"/>
      <w:r>
        <w:rPr>
          <w:color w:val="000000"/>
        </w:rPr>
        <w:t>Orban</w:t>
      </w:r>
      <w:proofErr w:type="spellEnd"/>
      <w:r>
        <w:rPr>
          <w:color w:val="000000"/>
        </w:rPr>
        <w:t>, he plays in a very aggressive and defensively engaged roles, all the while being a defender who is comfortable in controlling the ball, assuring that his team keeps possession. His market value is at 7,5 million EUR by Transfermarkt</w:t>
      </w:r>
      <w:r>
        <w:rPr>
          <w:color w:val="000000"/>
          <w:vertAlign w:val="superscript"/>
        </w:rPr>
        <w:footnoteReference w:id="32"/>
      </w:r>
      <w:r>
        <w:rPr>
          <w:color w:val="000000"/>
        </w:rPr>
        <w:t xml:space="preserve">. </w:t>
      </w:r>
    </w:p>
    <w:p w14:paraId="02187DA6" w14:textId="77777777" w:rsidR="003A3BCA" w:rsidRDefault="008276B6">
      <w:pPr>
        <w:numPr>
          <w:ilvl w:val="1"/>
          <w:numId w:val="1"/>
        </w:numPr>
        <w:pBdr>
          <w:top w:val="nil"/>
          <w:left w:val="nil"/>
          <w:bottom w:val="nil"/>
          <w:right w:val="nil"/>
          <w:between w:val="nil"/>
        </w:pBdr>
        <w:spacing w:line="360" w:lineRule="auto"/>
        <w:jc w:val="both"/>
        <w:rPr>
          <w:color w:val="000000"/>
        </w:rPr>
      </w:pPr>
      <w:r>
        <w:rPr>
          <w:color w:val="000000"/>
        </w:rPr>
        <w:t xml:space="preserve">Chris </w:t>
      </w:r>
      <w:proofErr w:type="spellStart"/>
      <w:r>
        <w:rPr>
          <w:color w:val="000000"/>
        </w:rPr>
        <w:t>Mepham</w:t>
      </w:r>
      <w:proofErr w:type="spellEnd"/>
      <w:r>
        <w:rPr>
          <w:color w:val="000000"/>
        </w:rPr>
        <w:t xml:space="preserve"> – the 25-year-old Welsh central defender plays for Bournemouth in the English Premier League, and just like the previous two defenders, he ranks very highly in percentage of aerial duels won, as well as being in the 88</w:t>
      </w:r>
      <w:r>
        <w:rPr>
          <w:color w:val="000000"/>
          <w:vertAlign w:val="superscript"/>
        </w:rPr>
        <w:t>th</w:t>
      </w:r>
      <w:r>
        <w:rPr>
          <w:color w:val="000000"/>
        </w:rPr>
        <w:t xml:space="preserve"> percentile for blocks and 99</w:t>
      </w:r>
      <w:r>
        <w:rPr>
          <w:color w:val="000000"/>
          <w:vertAlign w:val="superscript"/>
        </w:rPr>
        <w:t>th</w:t>
      </w:r>
      <w:r>
        <w:rPr>
          <w:color w:val="000000"/>
        </w:rPr>
        <w:t xml:space="preserve"> for clearances this season. Unlike </w:t>
      </w:r>
      <w:proofErr w:type="spellStart"/>
      <w:r>
        <w:rPr>
          <w:color w:val="000000"/>
        </w:rPr>
        <w:t>Orban</w:t>
      </w:r>
      <w:proofErr w:type="spellEnd"/>
      <w:r>
        <w:rPr>
          <w:color w:val="000000"/>
        </w:rPr>
        <w:t xml:space="preserve"> and Ito, however, </w:t>
      </w:r>
      <w:proofErr w:type="spellStart"/>
      <w:r>
        <w:rPr>
          <w:color w:val="000000"/>
        </w:rPr>
        <w:t>Mepham</w:t>
      </w:r>
      <w:proofErr w:type="spellEnd"/>
      <w:r>
        <w:rPr>
          <w:color w:val="000000"/>
        </w:rPr>
        <w:t xml:space="preserve"> is not that good in possession, as he only ranks in the middle of the pack (56</w:t>
      </w:r>
      <w:r>
        <w:rPr>
          <w:color w:val="000000"/>
          <w:vertAlign w:val="superscript"/>
        </w:rPr>
        <w:t>th</w:t>
      </w:r>
      <w:r>
        <w:rPr>
          <w:color w:val="000000"/>
        </w:rPr>
        <w:t xml:space="preserve"> percentile), but in the right system, the homegrown talent could improve this sphere of his game and prove to be a valuable member of United’s squad. His market value is estimated to be around 6 million EUR</w:t>
      </w:r>
      <w:r>
        <w:rPr>
          <w:color w:val="000000"/>
          <w:vertAlign w:val="superscript"/>
        </w:rPr>
        <w:footnoteReference w:id="33"/>
      </w:r>
      <w:r>
        <w:rPr>
          <w:color w:val="000000"/>
        </w:rPr>
        <w:t xml:space="preserve">. </w:t>
      </w:r>
    </w:p>
    <w:p w14:paraId="0098ECD3" w14:textId="77777777" w:rsidR="003A3BCA" w:rsidRDefault="008276B6">
      <w:pPr>
        <w:numPr>
          <w:ilvl w:val="1"/>
          <w:numId w:val="1"/>
        </w:numPr>
        <w:pBdr>
          <w:top w:val="nil"/>
          <w:left w:val="nil"/>
          <w:bottom w:val="nil"/>
          <w:right w:val="nil"/>
          <w:between w:val="nil"/>
        </w:pBdr>
        <w:spacing w:line="360" w:lineRule="auto"/>
        <w:jc w:val="both"/>
        <w:rPr>
          <w:color w:val="000000"/>
        </w:rPr>
      </w:pPr>
      <w:r>
        <w:rPr>
          <w:color w:val="000000"/>
        </w:rPr>
        <w:t>Chris Smalling – the 33-year-old English defender plays for AS Roma in the Italian Serie A and will most certainly being a surprising target for the United, given that he used to play at Old Trafford and is of a very advanced age. However, the Englishman ranks very high in terms of blocks among all defenders from the top 5 leagues (83</w:t>
      </w:r>
      <w:r>
        <w:rPr>
          <w:color w:val="000000"/>
          <w:vertAlign w:val="superscript"/>
        </w:rPr>
        <w:t>rd</w:t>
      </w:r>
      <w:r>
        <w:rPr>
          <w:color w:val="000000"/>
        </w:rPr>
        <w:t xml:space="preserve"> percentile), as well as being one of the </w:t>
      </w:r>
      <w:r>
        <w:rPr>
          <w:color w:val="000000"/>
        </w:rPr>
        <w:lastRenderedPageBreak/>
        <w:t>best all-around English defenders, given from the pool of English defenders he ranks in the 93</w:t>
      </w:r>
      <w:r>
        <w:rPr>
          <w:color w:val="000000"/>
          <w:vertAlign w:val="superscript"/>
        </w:rPr>
        <w:t>rd</w:t>
      </w:r>
      <w:r>
        <w:rPr>
          <w:color w:val="000000"/>
        </w:rPr>
        <w:t xml:space="preserve"> percentile for total touches, i.e., engagement in the control of game. He is also the English defender with the most clearances and interceptions, implying that he could be a valuable addition to Manchester United, despite his age. One thing should be said however, the English defenders rank lower than other nationalities in the defensive percentiles, i.e., although Smalling ranks in the 93</w:t>
      </w:r>
      <w:r>
        <w:rPr>
          <w:color w:val="000000"/>
          <w:vertAlign w:val="superscript"/>
        </w:rPr>
        <w:t>rd</w:t>
      </w:r>
      <w:r>
        <w:rPr>
          <w:color w:val="000000"/>
        </w:rPr>
        <w:t xml:space="preserve"> percentile for total touches of the ball among English defenders, he only ranks in around the 56</w:t>
      </w:r>
      <w:r>
        <w:rPr>
          <w:color w:val="000000"/>
          <w:vertAlign w:val="superscript"/>
        </w:rPr>
        <w:t>th</w:t>
      </w:r>
      <w:r>
        <w:rPr>
          <w:color w:val="000000"/>
        </w:rPr>
        <w:t xml:space="preserve"> for total touches among all defenders. Hence why United need to thread carefully when choosing a defensive player, with signing with a foreign nationality seems as the more reasonable option. Smalling’s market value is of 8 million EUR by Transfermarkt</w:t>
      </w:r>
      <w:r>
        <w:rPr>
          <w:color w:val="000000"/>
          <w:vertAlign w:val="superscript"/>
        </w:rPr>
        <w:footnoteReference w:id="34"/>
      </w:r>
      <w:r>
        <w:rPr>
          <w:color w:val="000000"/>
        </w:rPr>
        <w:t>.</w:t>
      </w:r>
    </w:p>
    <w:p w14:paraId="05C211E1" w14:textId="405FBB8C" w:rsidR="003A3BCA" w:rsidRDefault="008276B6">
      <w:pPr>
        <w:numPr>
          <w:ilvl w:val="0"/>
          <w:numId w:val="1"/>
        </w:numPr>
        <w:pBdr>
          <w:top w:val="nil"/>
          <w:left w:val="nil"/>
          <w:bottom w:val="nil"/>
          <w:right w:val="nil"/>
          <w:between w:val="nil"/>
        </w:pBdr>
        <w:spacing w:line="360" w:lineRule="auto"/>
        <w:jc w:val="both"/>
        <w:rPr>
          <w:color w:val="000000"/>
        </w:rPr>
      </w:pPr>
      <w:r>
        <w:rPr>
          <w:color w:val="000000"/>
        </w:rPr>
        <w:t>Manchester United, for the past 6 seasons, including the current one, have been struggling to increase their average possession stats and have always hovered around the 6</w:t>
      </w:r>
      <w:r>
        <w:rPr>
          <w:color w:val="000000"/>
          <w:vertAlign w:val="superscript"/>
        </w:rPr>
        <w:t>th</w:t>
      </w:r>
      <w:r>
        <w:rPr>
          <w:color w:val="000000"/>
        </w:rPr>
        <w:t xml:space="preserve"> spot for average possession per game. Yes, it must be said that sometimes the amount of possession a team has is down to its tactics and preferences, but as the regression model has indicated, being able to stay in control of games is an extremely powerful tool to help improve a club’s overall position in the English Premier League. Therefore, Manchester United</w:t>
      </w:r>
      <w:r w:rsidR="00CB3E66">
        <w:rPr>
          <w:color w:val="000000"/>
        </w:rPr>
        <w:t>’s management</w:t>
      </w:r>
      <w:r>
        <w:rPr>
          <w:color w:val="000000"/>
        </w:rPr>
        <w:t xml:space="preserve"> need</w:t>
      </w:r>
      <w:r w:rsidR="00CB3E66">
        <w:rPr>
          <w:color w:val="000000"/>
        </w:rPr>
        <w:t>s</w:t>
      </w:r>
      <w:r>
        <w:rPr>
          <w:color w:val="000000"/>
        </w:rPr>
        <w:t xml:space="preserve"> to </w:t>
      </w:r>
      <w:r w:rsidR="00CB3E66">
        <w:rPr>
          <w:color w:val="000000"/>
        </w:rPr>
        <w:t xml:space="preserve">plan for recruiting </w:t>
      </w:r>
      <w:r>
        <w:rPr>
          <w:color w:val="000000"/>
        </w:rPr>
        <w:t>a midfielder</w:t>
      </w:r>
      <w:r w:rsidR="00CB3E66">
        <w:rPr>
          <w:color w:val="000000"/>
        </w:rPr>
        <w:t xml:space="preserve"> in the summer,</w:t>
      </w:r>
      <w:r>
        <w:rPr>
          <w:color w:val="000000"/>
        </w:rPr>
        <w:t xml:space="preserve"> that is one of the leading players in the world for being able to control the game, dictate the tempo, and not let the opponents have the ball for long periods of time. Applying the criteria from above, here is a list of the possible midfield recommendations </w:t>
      </w:r>
      <w:r w:rsidR="00EE6DA0">
        <w:rPr>
          <w:color w:val="000000"/>
        </w:rPr>
        <w:t xml:space="preserve">to the club’s management </w:t>
      </w:r>
      <w:r>
        <w:rPr>
          <w:color w:val="000000"/>
        </w:rPr>
        <w:t>that would see improvements in United’s overall game:</w:t>
      </w:r>
    </w:p>
    <w:p w14:paraId="0134AA32" w14:textId="5C480D65" w:rsidR="003A3BCA" w:rsidRDefault="008276B6">
      <w:pPr>
        <w:numPr>
          <w:ilvl w:val="1"/>
          <w:numId w:val="1"/>
        </w:numPr>
        <w:pBdr>
          <w:top w:val="nil"/>
          <w:left w:val="nil"/>
          <w:bottom w:val="nil"/>
          <w:right w:val="nil"/>
          <w:between w:val="nil"/>
        </w:pBdr>
        <w:spacing w:line="360" w:lineRule="auto"/>
        <w:jc w:val="both"/>
        <w:rPr>
          <w:color w:val="000000"/>
        </w:rPr>
      </w:pPr>
      <w:r>
        <w:rPr>
          <w:color w:val="000000"/>
        </w:rPr>
        <w:t>Joshua Kimmich – The 28-year-old German national plays for Bayern Munich in the German Bundesliga. Kimmich is a player that ranks very high for successful passes and for overall touches per game, implying that he is a very skilled player who can help United to keep more possession of the ball than they do now. He also ranks in the 98</w:t>
      </w:r>
      <w:r>
        <w:rPr>
          <w:color w:val="000000"/>
          <w:vertAlign w:val="superscript"/>
        </w:rPr>
        <w:t>th</w:t>
      </w:r>
      <w:r>
        <w:rPr>
          <w:color w:val="000000"/>
        </w:rPr>
        <w:t xml:space="preserve"> percentile for assists among all midfielders and in the 98</w:t>
      </w:r>
      <w:r>
        <w:rPr>
          <w:color w:val="000000"/>
          <w:vertAlign w:val="superscript"/>
        </w:rPr>
        <w:t>th</w:t>
      </w:r>
      <w:r>
        <w:rPr>
          <w:color w:val="000000"/>
        </w:rPr>
        <w:t xml:space="preserve"> for key passes, hence, should United decide to </w:t>
      </w:r>
      <w:r>
        <w:rPr>
          <w:color w:val="000000"/>
        </w:rPr>
        <w:lastRenderedPageBreak/>
        <w:t>recruit him, the club will be able to check two boxes off with his signature. Kimmich’s market value is at 80 million EUR per Transfermarkt</w:t>
      </w:r>
      <w:r>
        <w:rPr>
          <w:color w:val="000000"/>
          <w:vertAlign w:val="superscript"/>
        </w:rPr>
        <w:footnoteReference w:id="35"/>
      </w:r>
      <w:r>
        <w:rPr>
          <w:color w:val="000000"/>
        </w:rPr>
        <w:t>.</w:t>
      </w:r>
    </w:p>
    <w:p w14:paraId="5C71EF20" w14:textId="75F4AA71" w:rsidR="003A3BCA" w:rsidRDefault="008276B6">
      <w:pPr>
        <w:numPr>
          <w:ilvl w:val="1"/>
          <w:numId w:val="1"/>
        </w:numPr>
        <w:pBdr>
          <w:top w:val="nil"/>
          <w:left w:val="nil"/>
          <w:bottom w:val="nil"/>
          <w:right w:val="nil"/>
          <w:between w:val="nil"/>
        </w:pBdr>
        <w:spacing w:line="360" w:lineRule="auto"/>
        <w:jc w:val="both"/>
        <w:rPr>
          <w:color w:val="000000"/>
        </w:rPr>
      </w:pPr>
      <w:r>
        <w:rPr>
          <w:color w:val="000000"/>
        </w:rPr>
        <w:t>Enzo Le Fee – the 23-year-old French midfielder plays for Lorient in France and ranks in the 89</w:t>
      </w:r>
      <w:r>
        <w:rPr>
          <w:color w:val="000000"/>
          <w:vertAlign w:val="superscript"/>
        </w:rPr>
        <w:t>th</w:t>
      </w:r>
      <w:r>
        <w:rPr>
          <w:color w:val="000000"/>
        </w:rPr>
        <w:t xml:space="preserve"> percentile for total touches, showcasing his ability to dictate the tempo of a game when he plays. Moreover, Le Fee ranks in the 88</w:t>
      </w:r>
      <w:r>
        <w:rPr>
          <w:color w:val="000000"/>
          <w:vertAlign w:val="superscript"/>
        </w:rPr>
        <w:t>th</w:t>
      </w:r>
      <w:r>
        <w:rPr>
          <w:color w:val="000000"/>
        </w:rPr>
        <w:t xml:space="preserve"> percentile for assists and in the 95</w:t>
      </w:r>
      <w:r>
        <w:rPr>
          <w:color w:val="000000"/>
          <w:vertAlign w:val="superscript"/>
        </w:rPr>
        <w:t>th</w:t>
      </w:r>
      <w:r>
        <w:rPr>
          <w:color w:val="000000"/>
        </w:rPr>
        <w:t xml:space="preserve"> for key passes, making a very reasonable transfer target that will see United’s game improve in two areas with his recruitment. Le Fee is valued at 15 million EUR per Transfermarkt</w:t>
      </w:r>
      <w:r>
        <w:rPr>
          <w:color w:val="000000"/>
          <w:vertAlign w:val="superscript"/>
        </w:rPr>
        <w:footnoteReference w:id="36"/>
      </w:r>
      <w:r>
        <w:rPr>
          <w:color w:val="000000"/>
        </w:rPr>
        <w:t xml:space="preserve">. </w:t>
      </w:r>
      <w:r w:rsidR="005D683D">
        <w:rPr>
          <w:color w:val="000000"/>
        </w:rPr>
        <w:t xml:space="preserve">Should </w:t>
      </w:r>
      <w:r w:rsidR="00692851">
        <w:rPr>
          <w:color w:val="000000"/>
        </w:rPr>
        <w:t xml:space="preserve">Manchester United’s management </w:t>
      </w:r>
      <w:r w:rsidR="005D683D">
        <w:rPr>
          <w:color w:val="000000"/>
        </w:rPr>
        <w:t xml:space="preserve">need to </w:t>
      </w:r>
      <w:r w:rsidR="00692851">
        <w:rPr>
          <w:color w:val="000000"/>
        </w:rPr>
        <w:t xml:space="preserve">operate on a limited budget for recruitment this summer, I would recommend to the club’s management to sign Le Fee as he checks every box that the club’s needs to fill </w:t>
      </w:r>
      <w:proofErr w:type="gramStart"/>
      <w:r w:rsidR="00692851">
        <w:rPr>
          <w:color w:val="000000"/>
        </w:rPr>
        <w:t>in</w:t>
      </w:r>
      <w:r w:rsidR="005D683D">
        <w:rPr>
          <w:color w:val="000000"/>
        </w:rPr>
        <w:t>, and</w:t>
      </w:r>
      <w:proofErr w:type="gramEnd"/>
      <w:r w:rsidR="005D683D">
        <w:rPr>
          <w:color w:val="000000"/>
        </w:rPr>
        <w:t xml:space="preserve"> is also very young with a lot of room to grow. </w:t>
      </w:r>
    </w:p>
    <w:p w14:paraId="19EF7C0C" w14:textId="77777777" w:rsidR="003A3BCA" w:rsidRDefault="008276B6">
      <w:pPr>
        <w:numPr>
          <w:ilvl w:val="1"/>
          <w:numId w:val="1"/>
        </w:numPr>
        <w:pBdr>
          <w:top w:val="nil"/>
          <w:left w:val="nil"/>
          <w:bottom w:val="nil"/>
          <w:right w:val="nil"/>
          <w:between w:val="nil"/>
        </w:pBdr>
        <w:spacing w:line="360" w:lineRule="auto"/>
        <w:jc w:val="both"/>
        <w:rPr>
          <w:color w:val="000000"/>
        </w:rPr>
      </w:pPr>
      <w:r>
        <w:rPr>
          <w:color w:val="000000"/>
        </w:rPr>
        <w:t>Declan Rice – the 24-year-old English midfielder plays for West Ham in England and is one of the best English midfielders overall. Rice ranks in the 81</w:t>
      </w:r>
      <w:r>
        <w:rPr>
          <w:color w:val="000000"/>
          <w:vertAlign w:val="superscript"/>
        </w:rPr>
        <w:t>st</w:t>
      </w:r>
      <w:r>
        <w:rPr>
          <w:color w:val="000000"/>
        </w:rPr>
        <w:t xml:space="preserve"> percentile for percentage of successful passes and in the 73</w:t>
      </w:r>
      <w:r>
        <w:rPr>
          <w:color w:val="000000"/>
          <w:vertAlign w:val="superscript"/>
        </w:rPr>
        <w:t>rd</w:t>
      </w:r>
      <w:r>
        <w:rPr>
          <w:color w:val="000000"/>
        </w:rPr>
        <w:t xml:space="preserve"> for total touches. He is also great at winning the ball aerially, but unlike Kimmich and Le Fee, he isn’t that creative and probably won’t add as much creative value as the other two. Rice’s market value is estimated to be around 80 million EUR</w:t>
      </w:r>
      <w:r>
        <w:rPr>
          <w:color w:val="000000"/>
          <w:vertAlign w:val="superscript"/>
        </w:rPr>
        <w:footnoteReference w:id="37"/>
      </w:r>
      <w:r>
        <w:rPr>
          <w:color w:val="000000"/>
        </w:rPr>
        <w:t>.</w:t>
      </w:r>
    </w:p>
    <w:p w14:paraId="13768C36" w14:textId="77777777" w:rsidR="003A3BCA" w:rsidRDefault="008276B6">
      <w:pPr>
        <w:numPr>
          <w:ilvl w:val="1"/>
          <w:numId w:val="1"/>
        </w:numPr>
        <w:pBdr>
          <w:top w:val="nil"/>
          <w:left w:val="nil"/>
          <w:bottom w:val="nil"/>
          <w:right w:val="nil"/>
          <w:between w:val="nil"/>
        </w:pBdr>
        <w:spacing w:line="360" w:lineRule="auto"/>
        <w:jc w:val="both"/>
        <w:rPr>
          <w:color w:val="000000"/>
        </w:rPr>
      </w:pPr>
      <w:r>
        <w:rPr>
          <w:color w:val="000000"/>
        </w:rPr>
        <w:t>James Ward-Prowse – the 28-year-old English Midfielder plays at Southampton in the English Premier League. Ward-Prowse is not as a controller of the game as the others, as he only ranks in the 69</w:t>
      </w:r>
      <w:r>
        <w:rPr>
          <w:color w:val="000000"/>
          <w:vertAlign w:val="superscript"/>
        </w:rPr>
        <w:t>th</w:t>
      </w:r>
      <w:r>
        <w:rPr>
          <w:color w:val="000000"/>
        </w:rPr>
        <w:t xml:space="preserve"> percentile for total touches, but it’s important to remember that this statistic might be influenced by how his Southampton plays tactically. On the other hand, the Englishman ranks in the 92</w:t>
      </w:r>
      <w:r>
        <w:rPr>
          <w:color w:val="000000"/>
          <w:vertAlign w:val="superscript"/>
        </w:rPr>
        <w:t>nd</w:t>
      </w:r>
      <w:r>
        <w:rPr>
          <w:color w:val="000000"/>
        </w:rPr>
        <w:t xml:space="preserve"> percentile for key passes and in the 93</w:t>
      </w:r>
      <w:r>
        <w:rPr>
          <w:color w:val="000000"/>
          <w:vertAlign w:val="superscript"/>
        </w:rPr>
        <w:t>rd</w:t>
      </w:r>
      <w:r>
        <w:rPr>
          <w:color w:val="000000"/>
        </w:rPr>
        <w:t xml:space="preserve"> for goals, implying that out of the four midfielders suggested, he is the one most likely to help Manchester United creatively, but the least in terms of controlling the game and its tempo. Ward-Prowse is valued at around 38 million EUR by </w:t>
      </w:r>
      <w:proofErr w:type="spellStart"/>
      <w:r>
        <w:rPr>
          <w:color w:val="000000"/>
        </w:rPr>
        <w:t>Transfermarkt’s</w:t>
      </w:r>
      <w:proofErr w:type="spellEnd"/>
      <w:r>
        <w:rPr>
          <w:color w:val="000000"/>
        </w:rPr>
        <w:t xml:space="preserve"> estimations</w:t>
      </w:r>
      <w:r>
        <w:rPr>
          <w:color w:val="000000"/>
          <w:vertAlign w:val="superscript"/>
        </w:rPr>
        <w:footnoteReference w:id="38"/>
      </w:r>
      <w:r>
        <w:rPr>
          <w:color w:val="000000"/>
        </w:rPr>
        <w:t xml:space="preserve">. </w:t>
      </w:r>
    </w:p>
    <w:p w14:paraId="45EDC1C4" w14:textId="4D91669F" w:rsidR="003A3BCA" w:rsidRDefault="008276B6">
      <w:pPr>
        <w:numPr>
          <w:ilvl w:val="0"/>
          <w:numId w:val="1"/>
        </w:numPr>
        <w:pBdr>
          <w:top w:val="nil"/>
          <w:left w:val="nil"/>
          <w:bottom w:val="nil"/>
          <w:right w:val="nil"/>
          <w:between w:val="nil"/>
        </w:pBdr>
        <w:spacing w:line="360" w:lineRule="auto"/>
        <w:jc w:val="both"/>
        <w:rPr>
          <w:color w:val="000000"/>
        </w:rPr>
      </w:pPr>
      <w:r>
        <w:rPr>
          <w:color w:val="000000"/>
        </w:rPr>
        <w:lastRenderedPageBreak/>
        <w:t xml:space="preserve">Manchester United </w:t>
      </w:r>
      <w:r w:rsidR="00187BC3">
        <w:rPr>
          <w:color w:val="000000"/>
        </w:rPr>
        <w:t xml:space="preserve">and its management </w:t>
      </w:r>
      <w:r>
        <w:rPr>
          <w:color w:val="000000"/>
        </w:rPr>
        <w:t xml:space="preserve">should </w:t>
      </w:r>
      <w:r w:rsidR="00D26937">
        <w:rPr>
          <w:color w:val="000000"/>
        </w:rPr>
        <w:t>focus on utilizing their</w:t>
      </w:r>
      <w:r>
        <w:rPr>
          <w:color w:val="000000"/>
        </w:rPr>
        <w:t xml:space="preserve"> strong youth system and promote more players to their first team from within, rather than </w:t>
      </w:r>
      <w:r w:rsidR="00D26937">
        <w:rPr>
          <w:color w:val="000000"/>
        </w:rPr>
        <w:t xml:space="preserve">continue </w:t>
      </w:r>
      <w:r>
        <w:rPr>
          <w:color w:val="000000"/>
        </w:rPr>
        <w:t xml:space="preserve">buying the biggest stars in world football for astronomically high prices. The club is facing the threat of Brexit making </w:t>
      </w:r>
      <w:r>
        <w:t>recruitment</w:t>
      </w:r>
      <w:r>
        <w:rPr>
          <w:color w:val="000000"/>
        </w:rPr>
        <w:t xml:space="preserve"> from Europe more complicated, from a bureaucratic</w:t>
      </w:r>
      <w:r w:rsidR="00D26937">
        <w:rPr>
          <w:color w:val="000000"/>
        </w:rPr>
        <w:t>/administrative</w:t>
      </w:r>
      <w:r>
        <w:rPr>
          <w:color w:val="000000"/>
        </w:rPr>
        <w:t xml:space="preserve"> point of view, and one way to eliminate this threat is to give more chances to the young players that play in the club’s academy. As mentioned, United holds the record for having played youth academy players the most in football </w:t>
      </w:r>
      <w:r w:rsidR="005F437E">
        <w:rPr>
          <w:color w:val="000000"/>
        </w:rPr>
        <w:t>history and</w:t>
      </w:r>
      <w:r>
        <w:rPr>
          <w:color w:val="000000"/>
        </w:rPr>
        <w:t xml:space="preserve"> given some of the names that their academy has produced, it’s worth considering. Moreover, this could save the </w:t>
      </w:r>
      <w:r>
        <w:t>club</w:t>
      </w:r>
      <w:r>
        <w:rPr>
          <w:color w:val="000000"/>
        </w:rPr>
        <w:t xml:space="preserve"> some extra finances, which can </w:t>
      </w:r>
      <w:r>
        <w:t>be spent</w:t>
      </w:r>
      <w:r>
        <w:rPr>
          <w:color w:val="000000"/>
        </w:rPr>
        <w:t xml:space="preserve"> on its infrastructure, something that </w:t>
      </w:r>
      <w:r w:rsidR="00D26937">
        <w:rPr>
          <w:color w:val="000000"/>
        </w:rPr>
        <w:t>the club’s management</w:t>
      </w:r>
      <w:r>
        <w:rPr>
          <w:color w:val="000000"/>
        </w:rPr>
        <w:t xml:space="preserve"> strongly </w:t>
      </w:r>
      <w:r>
        <w:t>needs</w:t>
      </w:r>
      <w:r>
        <w:rPr>
          <w:color w:val="000000"/>
        </w:rPr>
        <w:t xml:space="preserve"> to work on. </w:t>
      </w:r>
    </w:p>
    <w:p w14:paraId="4D2F675A" w14:textId="11154AE1" w:rsidR="003A3BCA" w:rsidRDefault="008276B6">
      <w:pPr>
        <w:numPr>
          <w:ilvl w:val="0"/>
          <w:numId w:val="1"/>
        </w:numPr>
        <w:pBdr>
          <w:top w:val="nil"/>
          <w:left w:val="nil"/>
          <w:bottom w:val="nil"/>
          <w:right w:val="nil"/>
          <w:between w:val="nil"/>
        </w:pBdr>
        <w:spacing w:line="360" w:lineRule="auto"/>
        <w:jc w:val="both"/>
        <w:rPr>
          <w:color w:val="000000"/>
        </w:rPr>
      </w:pPr>
      <w:r>
        <w:rPr>
          <w:color w:val="000000"/>
        </w:rPr>
        <w:t>Although Manchester United is one the most commercially developed, if not the most, clubs in the world they shouldn’t prioritize marketability over data-backed ability when recruiting. Yes, the commercial opportunities are endless right now and not utilizing them is wrong, but United</w:t>
      </w:r>
      <w:r w:rsidR="001F0FE1">
        <w:rPr>
          <w:color w:val="000000"/>
        </w:rPr>
        <w:t>’s management is</w:t>
      </w:r>
      <w:r>
        <w:rPr>
          <w:color w:val="000000"/>
        </w:rPr>
        <w:t xml:space="preserve"> perhaps </w:t>
      </w:r>
      <w:r>
        <w:t>over-relying</w:t>
      </w:r>
      <w:r>
        <w:rPr>
          <w:color w:val="000000"/>
        </w:rPr>
        <w:t xml:space="preserve"> on them, as although the club’s signed many high-profile players, the fans don’t seem as connected to them as they once were. In addition, the club’s focus has shifted from success on the pitch to commercial success, and in fairness, United is one of the clubs that has enjoyed the highest share of commercial revenue, but the club’s seen its position amongst its peers on the Deloitte Money League drop because of their lack of success on the pitch since 2017. Whenever they sign players, they should start prioritizing footballing ability over marketability again, in case they want to return to the top. </w:t>
      </w:r>
      <w:r>
        <w:br w:type="page"/>
      </w:r>
    </w:p>
    <w:p w14:paraId="2E9CB7CC" w14:textId="77777777" w:rsidR="003A3BCA" w:rsidRDefault="008276B6">
      <w:pPr>
        <w:pStyle w:val="Heading1"/>
        <w:spacing w:line="360" w:lineRule="auto"/>
        <w:ind w:firstLine="720"/>
        <w:jc w:val="both"/>
        <w:rPr>
          <w:rFonts w:ascii="Times New Roman" w:eastAsia="Times New Roman" w:hAnsi="Times New Roman" w:cs="Times New Roman"/>
        </w:rPr>
      </w:pPr>
      <w:bookmarkStart w:id="20" w:name="_Toc136274678"/>
      <w:r>
        <w:rPr>
          <w:rFonts w:ascii="Times New Roman" w:eastAsia="Times New Roman" w:hAnsi="Times New Roman" w:cs="Times New Roman"/>
        </w:rPr>
        <w:lastRenderedPageBreak/>
        <w:t>Appendix</w:t>
      </w:r>
      <w:bookmarkEnd w:id="20"/>
    </w:p>
    <w:tbl>
      <w:tblPr>
        <w:tblStyle w:val="af0"/>
        <w:tblW w:w="9708" w:type="dxa"/>
        <w:tblLayout w:type="fixed"/>
        <w:tblLook w:val="0400" w:firstRow="0" w:lastRow="0" w:firstColumn="0" w:lastColumn="0" w:noHBand="0" w:noVBand="1"/>
      </w:tblPr>
      <w:tblGrid>
        <w:gridCol w:w="2785"/>
        <w:gridCol w:w="6923"/>
      </w:tblGrid>
      <w:tr w:rsidR="003A3BCA" w14:paraId="799A50EA" w14:textId="77777777">
        <w:trPr>
          <w:trHeight w:val="358"/>
        </w:trPr>
        <w:tc>
          <w:tcPr>
            <w:tcW w:w="278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D43C741" w14:textId="77777777" w:rsidR="003A3BCA" w:rsidRDefault="008276B6">
            <w:pPr>
              <w:rPr>
                <w:rFonts w:ascii="Calibri" w:eastAsia="Calibri" w:hAnsi="Calibri" w:cs="Calibri"/>
                <w:b/>
                <w:color w:val="000000"/>
                <w:sz w:val="28"/>
                <w:szCs w:val="28"/>
              </w:rPr>
            </w:pPr>
            <w:r>
              <w:rPr>
                <w:rFonts w:ascii="Calibri" w:eastAsia="Calibri" w:hAnsi="Calibri" w:cs="Calibri"/>
                <w:b/>
                <w:color w:val="000000"/>
                <w:sz w:val="28"/>
                <w:szCs w:val="28"/>
              </w:rPr>
              <w:t xml:space="preserve">Club </w:t>
            </w:r>
          </w:p>
        </w:tc>
        <w:tc>
          <w:tcPr>
            <w:tcW w:w="6923" w:type="dxa"/>
            <w:tcBorders>
              <w:top w:val="single" w:sz="4" w:space="0" w:color="000000"/>
              <w:left w:val="nil"/>
              <w:bottom w:val="single" w:sz="4" w:space="0" w:color="000000"/>
              <w:right w:val="single" w:sz="4" w:space="0" w:color="000000"/>
            </w:tcBorders>
            <w:shd w:val="clear" w:color="auto" w:fill="auto"/>
            <w:vAlign w:val="bottom"/>
          </w:tcPr>
          <w:p w14:paraId="3C3FE0A8" w14:textId="77777777" w:rsidR="003A3BCA" w:rsidRDefault="008276B6">
            <w:pPr>
              <w:rPr>
                <w:rFonts w:ascii="Calibri" w:eastAsia="Calibri" w:hAnsi="Calibri" w:cs="Calibri"/>
                <w:b/>
                <w:color w:val="000000"/>
                <w:sz w:val="28"/>
                <w:szCs w:val="28"/>
              </w:rPr>
            </w:pPr>
            <w:r>
              <w:rPr>
                <w:rFonts w:ascii="Calibri" w:eastAsia="Calibri" w:hAnsi="Calibri" w:cs="Calibri"/>
                <w:b/>
                <w:color w:val="000000"/>
                <w:sz w:val="28"/>
                <w:szCs w:val="28"/>
              </w:rPr>
              <w:t>Net Balance in million EUR (2012 to 2022)</w:t>
            </w:r>
          </w:p>
        </w:tc>
      </w:tr>
      <w:tr w:rsidR="003A3BCA" w14:paraId="4E078A6A" w14:textId="77777777">
        <w:trPr>
          <w:trHeight w:val="301"/>
        </w:trPr>
        <w:tc>
          <w:tcPr>
            <w:tcW w:w="2785" w:type="dxa"/>
            <w:tcBorders>
              <w:top w:val="nil"/>
              <w:left w:val="single" w:sz="4" w:space="0" w:color="000000"/>
              <w:bottom w:val="nil"/>
              <w:right w:val="single" w:sz="4" w:space="0" w:color="000000"/>
            </w:tcBorders>
            <w:shd w:val="clear" w:color="auto" w:fill="auto"/>
            <w:vAlign w:val="bottom"/>
          </w:tcPr>
          <w:p w14:paraId="301F1094" w14:textId="77777777" w:rsidR="003A3BCA" w:rsidRDefault="008276B6">
            <w:pPr>
              <w:rPr>
                <w:rFonts w:ascii="Calibri" w:eastAsia="Calibri" w:hAnsi="Calibri" w:cs="Calibri"/>
                <w:color w:val="000000"/>
              </w:rPr>
            </w:pPr>
            <w:r>
              <w:rPr>
                <w:rFonts w:ascii="Calibri" w:eastAsia="Calibri" w:hAnsi="Calibri" w:cs="Calibri"/>
                <w:color w:val="000000"/>
              </w:rPr>
              <w:t>Man Utd</w:t>
            </w:r>
          </w:p>
        </w:tc>
        <w:tc>
          <w:tcPr>
            <w:tcW w:w="6923" w:type="dxa"/>
            <w:tcBorders>
              <w:top w:val="nil"/>
              <w:left w:val="nil"/>
              <w:bottom w:val="nil"/>
              <w:right w:val="single" w:sz="4" w:space="0" w:color="000000"/>
            </w:tcBorders>
            <w:shd w:val="clear" w:color="auto" w:fill="auto"/>
            <w:vAlign w:val="bottom"/>
          </w:tcPr>
          <w:p w14:paraId="32CBC313" w14:textId="77777777" w:rsidR="003A3BCA" w:rsidRDefault="008276B6">
            <w:pPr>
              <w:jc w:val="right"/>
              <w:rPr>
                <w:rFonts w:ascii="Calibri" w:eastAsia="Calibri" w:hAnsi="Calibri" w:cs="Calibri"/>
                <w:color w:val="000000"/>
              </w:rPr>
            </w:pPr>
            <w:r>
              <w:rPr>
                <w:rFonts w:ascii="Calibri" w:eastAsia="Calibri" w:hAnsi="Calibri" w:cs="Calibri"/>
                <w:color w:val="000000"/>
              </w:rPr>
              <w:t>-€ 1018,33</w:t>
            </w:r>
          </w:p>
        </w:tc>
      </w:tr>
      <w:tr w:rsidR="003A3BCA" w14:paraId="4D382E23" w14:textId="77777777">
        <w:trPr>
          <w:trHeight w:val="301"/>
        </w:trPr>
        <w:tc>
          <w:tcPr>
            <w:tcW w:w="2785" w:type="dxa"/>
            <w:tcBorders>
              <w:top w:val="nil"/>
              <w:left w:val="single" w:sz="4" w:space="0" w:color="000000"/>
              <w:bottom w:val="nil"/>
              <w:right w:val="single" w:sz="4" w:space="0" w:color="000000"/>
            </w:tcBorders>
            <w:shd w:val="clear" w:color="auto" w:fill="auto"/>
            <w:vAlign w:val="bottom"/>
          </w:tcPr>
          <w:p w14:paraId="1255EE89" w14:textId="77777777" w:rsidR="003A3BCA" w:rsidRDefault="008276B6">
            <w:pPr>
              <w:rPr>
                <w:rFonts w:ascii="Calibri" w:eastAsia="Calibri" w:hAnsi="Calibri" w:cs="Calibri"/>
                <w:color w:val="000000"/>
              </w:rPr>
            </w:pPr>
            <w:r>
              <w:rPr>
                <w:rFonts w:ascii="Calibri" w:eastAsia="Calibri" w:hAnsi="Calibri" w:cs="Calibri"/>
                <w:color w:val="000000"/>
              </w:rPr>
              <w:t>Man City</w:t>
            </w:r>
          </w:p>
        </w:tc>
        <w:tc>
          <w:tcPr>
            <w:tcW w:w="6923" w:type="dxa"/>
            <w:tcBorders>
              <w:top w:val="nil"/>
              <w:left w:val="nil"/>
              <w:bottom w:val="nil"/>
              <w:right w:val="single" w:sz="4" w:space="0" w:color="000000"/>
            </w:tcBorders>
            <w:shd w:val="clear" w:color="auto" w:fill="auto"/>
            <w:vAlign w:val="bottom"/>
          </w:tcPr>
          <w:p w14:paraId="05ACB213" w14:textId="77777777" w:rsidR="003A3BCA" w:rsidRDefault="008276B6">
            <w:pPr>
              <w:jc w:val="right"/>
              <w:rPr>
                <w:rFonts w:ascii="Calibri" w:eastAsia="Calibri" w:hAnsi="Calibri" w:cs="Calibri"/>
                <w:color w:val="000000"/>
              </w:rPr>
            </w:pPr>
            <w:r>
              <w:rPr>
                <w:rFonts w:ascii="Calibri" w:eastAsia="Calibri" w:hAnsi="Calibri" w:cs="Calibri"/>
                <w:color w:val="000000"/>
              </w:rPr>
              <w:t>-€ 1013,74</w:t>
            </w:r>
          </w:p>
        </w:tc>
      </w:tr>
      <w:tr w:rsidR="003A3BCA" w14:paraId="35EA9D44" w14:textId="77777777">
        <w:trPr>
          <w:trHeight w:val="301"/>
        </w:trPr>
        <w:tc>
          <w:tcPr>
            <w:tcW w:w="2785" w:type="dxa"/>
            <w:tcBorders>
              <w:top w:val="nil"/>
              <w:left w:val="single" w:sz="4" w:space="0" w:color="000000"/>
              <w:bottom w:val="nil"/>
              <w:right w:val="single" w:sz="4" w:space="0" w:color="000000"/>
            </w:tcBorders>
            <w:shd w:val="clear" w:color="auto" w:fill="auto"/>
            <w:vAlign w:val="bottom"/>
          </w:tcPr>
          <w:p w14:paraId="7F4EC722" w14:textId="77777777" w:rsidR="003A3BCA" w:rsidRDefault="008276B6">
            <w:pPr>
              <w:rPr>
                <w:rFonts w:ascii="Calibri" w:eastAsia="Calibri" w:hAnsi="Calibri" w:cs="Calibri"/>
                <w:color w:val="000000"/>
              </w:rPr>
            </w:pPr>
            <w:r>
              <w:rPr>
                <w:rFonts w:ascii="Calibri" w:eastAsia="Calibri" w:hAnsi="Calibri" w:cs="Calibri"/>
                <w:color w:val="000000"/>
              </w:rPr>
              <w:t>PSG</w:t>
            </w:r>
          </w:p>
        </w:tc>
        <w:tc>
          <w:tcPr>
            <w:tcW w:w="6923" w:type="dxa"/>
            <w:tcBorders>
              <w:top w:val="nil"/>
              <w:left w:val="nil"/>
              <w:bottom w:val="nil"/>
              <w:right w:val="single" w:sz="4" w:space="0" w:color="000000"/>
            </w:tcBorders>
            <w:shd w:val="clear" w:color="auto" w:fill="auto"/>
            <w:vAlign w:val="bottom"/>
          </w:tcPr>
          <w:p w14:paraId="0C3A5C11" w14:textId="77777777" w:rsidR="003A3BCA" w:rsidRDefault="008276B6">
            <w:pPr>
              <w:jc w:val="right"/>
              <w:rPr>
                <w:rFonts w:ascii="Calibri" w:eastAsia="Calibri" w:hAnsi="Calibri" w:cs="Calibri"/>
                <w:color w:val="000000"/>
              </w:rPr>
            </w:pPr>
            <w:r>
              <w:rPr>
                <w:rFonts w:ascii="Calibri" w:eastAsia="Calibri" w:hAnsi="Calibri" w:cs="Calibri"/>
                <w:color w:val="000000"/>
              </w:rPr>
              <w:t>-€ 889,15</w:t>
            </w:r>
          </w:p>
        </w:tc>
      </w:tr>
      <w:tr w:rsidR="003A3BCA" w14:paraId="0F45E6EF" w14:textId="77777777">
        <w:trPr>
          <w:trHeight w:val="301"/>
        </w:trPr>
        <w:tc>
          <w:tcPr>
            <w:tcW w:w="2785" w:type="dxa"/>
            <w:tcBorders>
              <w:top w:val="nil"/>
              <w:left w:val="single" w:sz="4" w:space="0" w:color="000000"/>
              <w:bottom w:val="nil"/>
              <w:right w:val="single" w:sz="4" w:space="0" w:color="000000"/>
            </w:tcBorders>
            <w:shd w:val="clear" w:color="auto" w:fill="auto"/>
            <w:vAlign w:val="bottom"/>
          </w:tcPr>
          <w:p w14:paraId="04A0102D" w14:textId="77777777" w:rsidR="003A3BCA" w:rsidRDefault="008276B6">
            <w:pPr>
              <w:rPr>
                <w:rFonts w:ascii="Calibri" w:eastAsia="Calibri" w:hAnsi="Calibri" w:cs="Calibri"/>
                <w:color w:val="000000"/>
              </w:rPr>
            </w:pPr>
            <w:r>
              <w:rPr>
                <w:rFonts w:ascii="Calibri" w:eastAsia="Calibri" w:hAnsi="Calibri" w:cs="Calibri"/>
                <w:color w:val="000000"/>
              </w:rPr>
              <w:t>Arsenal</w:t>
            </w:r>
          </w:p>
        </w:tc>
        <w:tc>
          <w:tcPr>
            <w:tcW w:w="6923" w:type="dxa"/>
            <w:tcBorders>
              <w:top w:val="nil"/>
              <w:left w:val="nil"/>
              <w:bottom w:val="nil"/>
              <w:right w:val="single" w:sz="4" w:space="0" w:color="000000"/>
            </w:tcBorders>
            <w:shd w:val="clear" w:color="auto" w:fill="auto"/>
            <w:vAlign w:val="bottom"/>
          </w:tcPr>
          <w:p w14:paraId="0B9932FE" w14:textId="77777777" w:rsidR="003A3BCA" w:rsidRDefault="008276B6">
            <w:pPr>
              <w:jc w:val="right"/>
              <w:rPr>
                <w:rFonts w:ascii="Calibri" w:eastAsia="Calibri" w:hAnsi="Calibri" w:cs="Calibri"/>
                <w:color w:val="000000"/>
              </w:rPr>
            </w:pPr>
            <w:r>
              <w:rPr>
                <w:rFonts w:ascii="Calibri" w:eastAsia="Calibri" w:hAnsi="Calibri" w:cs="Calibri"/>
                <w:color w:val="000000"/>
              </w:rPr>
              <w:t>-€ 616,98</w:t>
            </w:r>
          </w:p>
        </w:tc>
      </w:tr>
      <w:tr w:rsidR="003A3BCA" w14:paraId="0D685DE7" w14:textId="77777777">
        <w:trPr>
          <w:trHeight w:val="301"/>
        </w:trPr>
        <w:tc>
          <w:tcPr>
            <w:tcW w:w="2785" w:type="dxa"/>
            <w:tcBorders>
              <w:top w:val="nil"/>
              <w:left w:val="single" w:sz="4" w:space="0" w:color="000000"/>
              <w:bottom w:val="nil"/>
              <w:right w:val="single" w:sz="4" w:space="0" w:color="000000"/>
            </w:tcBorders>
            <w:shd w:val="clear" w:color="auto" w:fill="auto"/>
            <w:vAlign w:val="bottom"/>
          </w:tcPr>
          <w:p w14:paraId="07B91C32" w14:textId="77777777" w:rsidR="003A3BCA" w:rsidRDefault="008276B6">
            <w:pPr>
              <w:rPr>
                <w:rFonts w:ascii="Calibri" w:eastAsia="Calibri" w:hAnsi="Calibri" w:cs="Calibri"/>
                <w:color w:val="000000"/>
              </w:rPr>
            </w:pPr>
            <w:r>
              <w:rPr>
                <w:rFonts w:ascii="Calibri" w:eastAsia="Calibri" w:hAnsi="Calibri" w:cs="Calibri"/>
                <w:color w:val="000000"/>
              </w:rPr>
              <w:t>Barcelona</w:t>
            </w:r>
          </w:p>
        </w:tc>
        <w:tc>
          <w:tcPr>
            <w:tcW w:w="6923" w:type="dxa"/>
            <w:tcBorders>
              <w:top w:val="nil"/>
              <w:left w:val="nil"/>
              <w:bottom w:val="nil"/>
              <w:right w:val="single" w:sz="4" w:space="0" w:color="000000"/>
            </w:tcBorders>
            <w:shd w:val="clear" w:color="auto" w:fill="auto"/>
            <w:vAlign w:val="bottom"/>
          </w:tcPr>
          <w:p w14:paraId="637B5492" w14:textId="77777777" w:rsidR="003A3BCA" w:rsidRDefault="008276B6">
            <w:pPr>
              <w:jc w:val="right"/>
              <w:rPr>
                <w:rFonts w:ascii="Calibri" w:eastAsia="Calibri" w:hAnsi="Calibri" w:cs="Calibri"/>
                <w:color w:val="000000"/>
              </w:rPr>
            </w:pPr>
            <w:r>
              <w:rPr>
                <w:rFonts w:ascii="Calibri" w:eastAsia="Calibri" w:hAnsi="Calibri" w:cs="Calibri"/>
                <w:color w:val="000000"/>
              </w:rPr>
              <w:t>-€ 543,16</w:t>
            </w:r>
          </w:p>
        </w:tc>
      </w:tr>
      <w:tr w:rsidR="003A3BCA" w14:paraId="3F32F204" w14:textId="77777777">
        <w:trPr>
          <w:trHeight w:val="301"/>
        </w:trPr>
        <w:tc>
          <w:tcPr>
            <w:tcW w:w="2785" w:type="dxa"/>
            <w:tcBorders>
              <w:top w:val="nil"/>
              <w:left w:val="single" w:sz="4" w:space="0" w:color="000000"/>
              <w:bottom w:val="nil"/>
              <w:right w:val="single" w:sz="4" w:space="0" w:color="000000"/>
            </w:tcBorders>
            <w:shd w:val="clear" w:color="auto" w:fill="auto"/>
            <w:vAlign w:val="bottom"/>
          </w:tcPr>
          <w:p w14:paraId="77E719DE" w14:textId="77777777" w:rsidR="003A3BCA" w:rsidRDefault="008276B6">
            <w:pPr>
              <w:rPr>
                <w:rFonts w:ascii="Calibri" w:eastAsia="Calibri" w:hAnsi="Calibri" w:cs="Calibri"/>
                <w:color w:val="000000"/>
              </w:rPr>
            </w:pPr>
            <w:r>
              <w:rPr>
                <w:rFonts w:ascii="Calibri" w:eastAsia="Calibri" w:hAnsi="Calibri" w:cs="Calibri"/>
                <w:color w:val="000000"/>
              </w:rPr>
              <w:t>Juventus</w:t>
            </w:r>
          </w:p>
        </w:tc>
        <w:tc>
          <w:tcPr>
            <w:tcW w:w="6923" w:type="dxa"/>
            <w:tcBorders>
              <w:top w:val="nil"/>
              <w:left w:val="nil"/>
              <w:bottom w:val="nil"/>
              <w:right w:val="single" w:sz="4" w:space="0" w:color="000000"/>
            </w:tcBorders>
            <w:shd w:val="clear" w:color="auto" w:fill="auto"/>
            <w:vAlign w:val="bottom"/>
          </w:tcPr>
          <w:p w14:paraId="77D84744" w14:textId="77777777" w:rsidR="003A3BCA" w:rsidRDefault="008276B6">
            <w:pPr>
              <w:jc w:val="right"/>
              <w:rPr>
                <w:rFonts w:ascii="Calibri" w:eastAsia="Calibri" w:hAnsi="Calibri" w:cs="Calibri"/>
                <w:color w:val="000000"/>
              </w:rPr>
            </w:pPr>
            <w:r>
              <w:rPr>
                <w:rFonts w:ascii="Calibri" w:eastAsia="Calibri" w:hAnsi="Calibri" w:cs="Calibri"/>
                <w:color w:val="000000"/>
              </w:rPr>
              <w:t>-€ 481,45</w:t>
            </w:r>
          </w:p>
        </w:tc>
      </w:tr>
      <w:tr w:rsidR="003A3BCA" w14:paraId="221E7642" w14:textId="77777777">
        <w:trPr>
          <w:trHeight w:val="301"/>
        </w:trPr>
        <w:tc>
          <w:tcPr>
            <w:tcW w:w="2785" w:type="dxa"/>
            <w:tcBorders>
              <w:top w:val="nil"/>
              <w:left w:val="single" w:sz="4" w:space="0" w:color="000000"/>
              <w:bottom w:val="nil"/>
              <w:right w:val="single" w:sz="4" w:space="0" w:color="000000"/>
            </w:tcBorders>
            <w:shd w:val="clear" w:color="auto" w:fill="auto"/>
            <w:vAlign w:val="bottom"/>
          </w:tcPr>
          <w:p w14:paraId="207B561A" w14:textId="77777777" w:rsidR="003A3BCA" w:rsidRDefault="008276B6">
            <w:pPr>
              <w:rPr>
                <w:rFonts w:ascii="Calibri" w:eastAsia="Calibri" w:hAnsi="Calibri" w:cs="Calibri"/>
                <w:color w:val="000000"/>
              </w:rPr>
            </w:pPr>
            <w:r>
              <w:rPr>
                <w:rFonts w:ascii="Calibri" w:eastAsia="Calibri" w:hAnsi="Calibri" w:cs="Calibri"/>
                <w:color w:val="000000"/>
              </w:rPr>
              <w:t>AC Milan</w:t>
            </w:r>
          </w:p>
        </w:tc>
        <w:tc>
          <w:tcPr>
            <w:tcW w:w="6923" w:type="dxa"/>
            <w:tcBorders>
              <w:top w:val="nil"/>
              <w:left w:val="nil"/>
              <w:bottom w:val="nil"/>
              <w:right w:val="single" w:sz="4" w:space="0" w:color="000000"/>
            </w:tcBorders>
            <w:shd w:val="clear" w:color="auto" w:fill="auto"/>
            <w:vAlign w:val="bottom"/>
          </w:tcPr>
          <w:p w14:paraId="36A2E456" w14:textId="77777777" w:rsidR="003A3BCA" w:rsidRDefault="008276B6">
            <w:pPr>
              <w:jc w:val="right"/>
              <w:rPr>
                <w:rFonts w:ascii="Calibri" w:eastAsia="Calibri" w:hAnsi="Calibri" w:cs="Calibri"/>
                <w:color w:val="000000"/>
              </w:rPr>
            </w:pPr>
            <w:r>
              <w:rPr>
                <w:rFonts w:ascii="Calibri" w:eastAsia="Calibri" w:hAnsi="Calibri" w:cs="Calibri"/>
                <w:color w:val="000000"/>
              </w:rPr>
              <w:t>-€ 470,66</w:t>
            </w:r>
          </w:p>
        </w:tc>
      </w:tr>
      <w:tr w:rsidR="003A3BCA" w14:paraId="55B5506B" w14:textId="77777777">
        <w:trPr>
          <w:trHeight w:val="301"/>
        </w:trPr>
        <w:tc>
          <w:tcPr>
            <w:tcW w:w="2785" w:type="dxa"/>
            <w:tcBorders>
              <w:top w:val="nil"/>
              <w:left w:val="single" w:sz="4" w:space="0" w:color="000000"/>
              <w:bottom w:val="nil"/>
              <w:right w:val="single" w:sz="4" w:space="0" w:color="000000"/>
            </w:tcBorders>
            <w:shd w:val="clear" w:color="auto" w:fill="auto"/>
            <w:vAlign w:val="bottom"/>
          </w:tcPr>
          <w:p w14:paraId="05AB929A" w14:textId="77777777" w:rsidR="003A3BCA" w:rsidRDefault="008276B6">
            <w:pPr>
              <w:rPr>
                <w:rFonts w:ascii="Calibri" w:eastAsia="Calibri" w:hAnsi="Calibri" w:cs="Calibri"/>
                <w:color w:val="000000"/>
              </w:rPr>
            </w:pPr>
            <w:r>
              <w:rPr>
                <w:rFonts w:ascii="Calibri" w:eastAsia="Calibri" w:hAnsi="Calibri" w:cs="Calibri"/>
                <w:color w:val="000000"/>
              </w:rPr>
              <w:t>Chelsea</w:t>
            </w:r>
          </w:p>
        </w:tc>
        <w:tc>
          <w:tcPr>
            <w:tcW w:w="6923" w:type="dxa"/>
            <w:tcBorders>
              <w:top w:val="nil"/>
              <w:left w:val="nil"/>
              <w:bottom w:val="nil"/>
              <w:right w:val="single" w:sz="4" w:space="0" w:color="000000"/>
            </w:tcBorders>
            <w:shd w:val="clear" w:color="auto" w:fill="auto"/>
            <w:vAlign w:val="bottom"/>
          </w:tcPr>
          <w:p w14:paraId="2223E282" w14:textId="77777777" w:rsidR="003A3BCA" w:rsidRDefault="008276B6">
            <w:pPr>
              <w:jc w:val="right"/>
              <w:rPr>
                <w:rFonts w:ascii="Calibri" w:eastAsia="Calibri" w:hAnsi="Calibri" w:cs="Calibri"/>
                <w:color w:val="000000"/>
              </w:rPr>
            </w:pPr>
            <w:r>
              <w:rPr>
                <w:rFonts w:ascii="Calibri" w:eastAsia="Calibri" w:hAnsi="Calibri" w:cs="Calibri"/>
                <w:color w:val="000000"/>
              </w:rPr>
              <w:t>-€ 427,10</w:t>
            </w:r>
          </w:p>
        </w:tc>
      </w:tr>
      <w:tr w:rsidR="003A3BCA" w14:paraId="53948C00" w14:textId="77777777">
        <w:trPr>
          <w:trHeight w:val="301"/>
        </w:trPr>
        <w:tc>
          <w:tcPr>
            <w:tcW w:w="2785" w:type="dxa"/>
            <w:tcBorders>
              <w:top w:val="nil"/>
              <w:left w:val="single" w:sz="4" w:space="0" w:color="000000"/>
              <w:bottom w:val="nil"/>
              <w:right w:val="single" w:sz="4" w:space="0" w:color="000000"/>
            </w:tcBorders>
            <w:shd w:val="clear" w:color="auto" w:fill="auto"/>
            <w:vAlign w:val="bottom"/>
          </w:tcPr>
          <w:p w14:paraId="27DB05BE" w14:textId="77777777" w:rsidR="003A3BCA" w:rsidRDefault="008276B6">
            <w:pPr>
              <w:rPr>
                <w:rFonts w:ascii="Calibri" w:eastAsia="Calibri" w:hAnsi="Calibri" w:cs="Calibri"/>
                <w:color w:val="000000"/>
              </w:rPr>
            </w:pPr>
            <w:r>
              <w:rPr>
                <w:rFonts w:ascii="Calibri" w:eastAsia="Calibri" w:hAnsi="Calibri" w:cs="Calibri"/>
                <w:color w:val="000000"/>
              </w:rPr>
              <w:t>Liverpool</w:t>
            </w:r>
          </w:p>
        </w:tc>
        <w:tc>
          <w:tcPr>
            <w:tcW w:w="6923" w:type="dxa"/>
            <w:tcBorders>
              <w:top w:val="nil"/>
              <w:left w:val="nil"/>
              <w:bottom w:val="nil"/>
              <w:right w:val="single" w:sz="4" w:space="0" w:color="000000"/>
            </w:tcBorders>
            <w:shd w:val="clear" w:color="auto" w:fill="auto"/>
            <w:vAlign w:val="bottom"/>
          </w:tcPr>
          <w:p w14:paraId="187820F1" w14:textId="77777777" w:rsidR="003A3BCA" w:rsidRDefault="008276B6">
            <w:pPr>
              <w:jc w:val="right"/>
              <w:rPr>
                <w:rFonts w:ascii="Calibri" w:eastAsia="Calibri" w:hAnsi="Calibri" w:cs="Calibri"/>
                <w:color w:val="000000"/>
              </w:rPr>
            </w:pPr>
            <w:r>
              <w:rPr>
                <w:rFonts w:ascii="Calibri" w:eastAsia="Calibri" w:hAnsi="Calibri" w:cs="Calibri"/>
                <w:color w:val="000000"/>
              </w:rPr>
              <w:t>-€ 388,61</w:t>
            </w:r>
          </w:p>
        </w:tc>
      </w:tr>
      <w:tr w:rsidR="003A3BCA" w14:paraId="1076B1BC" w14:textId="77777777">
        <w:trPr>
          <w:trHeight w:val="301"/>
        </w:trPr>
        <w:tc>
          <w:tcPr>
            <w:tcW w:w="2785" w:type="dxa"/>
            <w:tcBorders>
              <w:top w:val="nil"/>
              <w:left w:val="single" w:sz="4" w:space="0" w:color="000000"/>
              <w:bottom w:val="nil"/>
              <w:right w:val="single" w:sz="4" w:space="0" w:color="000000"/>
            </w:tcBorders>
            <w:shd w:val="clear" w:color="auto" w:fill="auto"/>
            <w:vAlign w:val="bottom"/>
          </w:tcPr>
          <w:p w14:paraId="04CBBCA9" w14:textId="77777777" w:rsidR="003A3BCA" w:rsidRDefault="008276B6">
            <w:pPr>
              <w:rPr>
                <w:rFonts w:ascii="Calibri" w:eastAsia="Calibri" w:hAnsi="Calibri" w:cs="Calibri"/>
                <w:color w:val="000000"/>
              </w:rPr>
            </w:pPr>
            <w:r>
              <w:rPr>
                <w:rFonts w:ascii="Calibri" w:eastAsia="Calibri" w:hAnsi="Calibri" w:cs="Calibri"/>
                <w:color w:val="000000"/>
              </w:rPr>
              <w:t>Bayern Munich</w:t>
            </w:r>
          </w:p>
        </w:tc>
        <w:tc>
          <w:tcPr>
            <w:tcW w:w="6923" w:type="dxa"/>
            <w:tcBorders>
              <w:top w:val="nil"/>
              <w:left w:val="nil"/>
              <w:bottom w:val="nil"/>
              <w:right w:val="single" w:sz="4" w:space="0" w:color="000000"/>
            </w:tcBorders>
            <w:shd w:val="clear" w:color="auto" w:fill="auto"/>
            <w:vAlign w:val="bottom"/>
          </w:tcPr>
          <w:p w14:paraId="17115F03" w14:textId="77777777" w:rsidR="003A3BCA" w:rsidRDefault="008276B6">
            <w:pPr>
              <w:jc w:val="right"/>
              <w:rPr>
                <w:rFonts w:ascii="Calibri" w:eastAsia="Calibri" w:hAnsi="Calibri" w:cs="Calibri"/>
                <w:color w:val="000000"/>
              </w:rPr>
            </w:pPr>
            <w:r>
              <w:rPr>
                <w:rFonts w:ascii="Calibri" w:eastAsia="Calibri" w:hAnsi="Calibri" w:cs="Calibri"/>
                <w:color w:val="000000"/>
              </w:rPr>
              <w:t>-€ 369,20</w:t>
            </w:r>
          </w:p>
        </w:tc>
      </w:tr>
      <w:tr w:rsidR="003A3BCA" w14:paraId="52F8F988" w14:textId="77777777">
        <w:trPr>
          <w:trHeight w:val="301"/>
        </w:trPr>
        <w:tc>
          <w:tcPr>
            <w:tcW w:w="2785" w:type="dxa"/>
            <w:tcBorders>
              <w:top w:val="nil"/>
              <w:left w:val="single" w:sz="4" w:space="0" w:color="000000"/>
              <w:bottom w:val="nil"/>
              <w:right w:val="single" w:sz="4" w:space="0" w:color="000000"/>
            </w:tcBorders>
            <w:shd w:val="clear" w:color="auto" w:fill="auto"/>
            <w:vAlign w:val="bottom"/>
          </w:tcPr>
          <w:p w14:paraId="348D4341" w14:textId="77777777" w:rsidR="003A3BCA" w:rsidRDefault="008276B6">
            <w:pPr>
              <w:rPr>
                <w:rFonts w:ascii="Calibri" w:eastAsia="Calibri" w:hAnsi="Calibri" w:cs="Calibri"/>
                <w:color w:val="000000"/>
              </w:rPr>
            </w:pPr>
            <w:r>
              <w:rPr>
                <w:rFonts w:ascii="Calibri" w:eastAsia="Calibri" w:hAnsi="Calibri" w:cs="Calibri"/>
                <w:color w:val="000000"/>
              </w:rPr>
              <w:t>Tottenham</w:t>
            </w:r>
          </w:p>
        </w:tc>
        <w:tc>
          <w:tcPr>
            <w:tcW w:w="6923" w:type="dxa"/>
            <w:tcBorders>
              <w:top w:val="nil"/>
              <w:left w:val="nil"/>
              <w:bottom w:val="nil"/>
              <w:right w:val="single" w:sz="4" w:space="0" w:color="000000"/>
            </w:tcBorders>
            <w:shd w:val="clear" w:color="auto" w:fill="auto"/>
            <w:vAlign w:val="bottom"/>
          </w:tcPr>
          <w:p w14:paraId="2A59D2CE" w14:textId="77777777" w:rsidR="003A3BCA" w:rsidRDefault="008276B6">
            <w:pPr>
              <w:jc w:val="right"/>
              <w:rPr>
                <w:rFonts w:ascii="Calibri" w:eastAsia="Calibri" w:hAnsi="Calibri" w:cs="Calibri"/>
                <w:color w:val="000000"/>
              </w:rPr>
            </w:pPr>
            <w:r>
              <w:rPr>
                <w:rFonts w:ascii="Calibri" w:eastAsia="Calibri" w:hAnsi="Calibri" w:cs="Calibri"/>
                <w:color w:val="000000"/>
              </w:rPr>
              <w:t>-€ 260,23</w:t>
            </w:r>
          </w:p>
        </w:tc>
      </w:tr>
      <w:tr w:rsidR="003A3BCA" w14:paraId="3D5A383E" w14:textId="77777777">
        <w:trPr>
          <w:trHeight w:val="301"/>
        </w:trPr>
        <w:tc>
          <w:tcPr>
            <w:tcW w:w="2785" w:type="dxa"/>
            <w:tcBorders>
              <w:top w:val="nil"/>
              <w:left w:val="single" w:sz="4" w:space="0" w:color="000000"/>
              <w:bottom w:val="nil"/>
              <w:right w:val="single" w:sz="4" w:space="0" w:color="000000"/>
            </w:tcBorders>
            <w:shd w:val="clear" w:color="auto" w:fill="auto"/>
            <w:vAlign w:val="bottom"/>
          </w:tcPr>
          <w:p w14:paraId="3489C84C" w14:textId="77777777" w:rsidR="003A3BCA" w:rsidRDefault="008276B6">
            <w:pPr>
              <w:rPr>
                <w:rFonts w:ascii="Calibri" w:eastAsia="Calibri" w:hAnsi="Calibri" w:cs="Calibri"/>
                <w:color w:val="000000"/>
              </w:rPr>
            </w:pPr>
            <w:r>
              <w:rPr>
                <w:rFonts w:ascii="Calibri" w:eastAsia="Calibri" w:hAnsi="Calibri" w:cs="Calibri"/>
                <w:color w:val="000000"/>
              </w:rPr>
              <w:t>Inter Milan</w:t>
            </w:r>
          </w:p>
        </w:tc>
        <w:tc>
          <w:tcPr>
            <w:tcW w:w="6923" w:type="dxa"/>
            <w:tcBorders>
              <w:top w:val="nil"/>
              <w:left w:val="nil"/>
              <w:bottom w:val="nil"/>
              <w:right w:val="single" w:sz="4" w:space="0" w:color="000000"/>
            </w:tcBorders>
            <w:shd w:val="clear" w:color="auto" w:fill="auto"/>
            <w:vAlign w:val="bottom"/>
          </w:tcPr>
          <w:p w14:paraId="24D5E90C" w14:textId="77777777" w:rsidR="003A3BCA" w:rsidRDefault="008276B6">
            <w:pPr>
              <w:jc w:val="right"/>
              <w:rPr>
                <w:rFonts w:ascii="Calibri" w:eastAsia="Calibri" w:hAnsi="Calibri" w:cs="Calibri"/>
                <w:color w:val="000000"/>
              </w:rPr>
            </w:pPr>
            <w:r>
              <w:rPr>
                <w:rFonts w:ascii="Calibri" w:eastAsia="Calibri" w:hAnsi="Calibri" w:cs="Calibri"/>
                <w:color w:val="000000"/>
              </w:rPr>
              <w:t>-€ 259,99</w:t>
            </w:r>
          </w:p>
        </w:tc>
      </w:tr>
      <w:tr w:rsidR="003A3BCA" w14:paraId="304E484C" w14:textId="77777777">
        <w:trPr>
          <w:trHeight w:val="301"/>
        </w:trPr>
        <w:tc>
          <w:tcPr>
            <w:tcW w:w="2785" w:type="dxa"/>
            <w:tcBorders>
              <w:top w:val="nil"/>
              <w:left w:val="single" w:sz="4" w:space="0" w:color="000000"/>
              <w:bottom w:val="nil"/>
              <w:right w:val="single" w:sz="4" w:space="0" w:color="000000"/>
            </w:tcBorders>
            <w:shd w:val="clear" w:color="auto" w:fill="auto"/>
            <w:vAlign w:val="bottom"/>
          </w:tcPr>
          <w:p w14:paraId="492C75EB" w14:textId="77777777" w:rsidR="003A3BCA" w:rsidRDefault="008276B6">
            <w:pPr>
              <w:rPr>
                <w:rFonts w:ascii="Calibri" w:eastAsia="Calibri" w:hAnsi="Calibri" w:cs="Calibri"/>
                <w:color w:val="000000"/>
              </w:rPr>
            </w:pPr>
            <w:r>
              <w:rPr>
                <w:rFonts w:ascii="Calibri" w:eastAsia="Calibri" w:hAnsi="Calibri" w:cs="Calibri"/>
                <w:color w:val="000000"/>
              </w:rPr>
              <w:t>Real Madrid</w:t>
            </w:r>
          </w:p>
        </w:tc>
        <w:tc>
          <w:tcPr>
            <w:tcW w:w="6923" w:type="dxa"/>
            <w:tcBorders>
              <w:top w:val="nil"/>
              <w:left w:val="nil"/>
              <w:bottom w:val="nil"/>
              <w:right w:val="single" w:sz="4" w:space="0" w:color="000000"/>
            </w:tcBorders>
            <w:shd w:val="clear" w:color="auto" w:fill="auto"/>
            <w:vAlign w:val="bottom"/>
          </w:tcPr>
          <w:p w14:paraId="49B49894" w14:textId="77777777" w:rsidR="003A3BCA" w:rsidRDefault="008276B6">
            <w:pPr>
              <w:jc w:val="right"/>
              <w:rPr>
                <w:rFonts w:ascii="Calibri" w:eastAsia="Calibri" w:hAnsi="Calibri" w:cs="Calibri"/>
                <w:color w:val="000000"/>
              </w:rPr>
            </w:pPr>
            <w:r>
              <w:rPr>
                <w:rFonts w:ascii="Calibri" w:eastAsia="Calibri" w:hAnsi="Calibri" w:cs="Calibri"/>
                <w:color w:val="000000"/>
              </w:rPr>
              <w:t>-€ 138,80</w:t>
            </w:r>
          </w:p>
        </w:tc>
      </w:tr>
      <w:tr w:rsidR="003A3BCA" w14:paraId="18BAE927" w14:textId="77777777">
        <w:trPr>
          <w:trHeight w:val="301"/>
        </w:trPr>
        <w:tc>
          <w:tcPr>
            <w:tcW w:w="2785" w:type="dxa"/>
            <w:tcBorders>
              <w:top w:val="nil"/>
              <w:left w:val="single" w:sz="4" w:space="0" w:color="000000"/>
              <w:bottom w:val="single" w:sz="4" w:space="0" w:color="000000"/>
              <w:right w:val="single" w:sz="4" w:space="0" w:color="000000"/>
            </w:tcBorders>
            <w:shd w:val="clear" w:color="auto" w:fill="auto"/>
            <w:vAlign w:val="bottom"/>
          </w:tcPr>
          <w:p w14:paraId="46385FFB" w14:textId="77777777" w:rsidR="003A3BCA" w:rsidRDefault="008276B6">
            <w:pPr>
              <w:rPr>
                <w:rFonts w:ascii="Calibri" w:eastAsia="Calibri" w:hAnsi="Calibri" w:cs="Calibri"/>
                <w:color w:val="000000"/>
              </w:rPr>
            </w:pPr>
            <w:r>
              <w:rPr>
                <w:rFonts w:ascii="Calibri" w:eastAsia="Calibri" w:hAnsi="Calibri" w:cs="Calibri"/>
                <w:color w:val="000000"/>
              </w:rPr>
              <w:t>AS Roma</w:t>
            </w:r>
          </w:p>
        </w:tc>
        <w:tc>
          <w:tcPr>
            <w:tcW w:w="6923" w:type="dxa"/>
            <w:tcBorders>
              <w:top w:val="nil"/>
              <w:left w:val="nil"/>
              <w:bottom w:val="single" w:sz="4" w:space="0" w:color="000000"/>
              <w:right w:val="single" w:sz="4" w:space="0" w:color="000000"/>
            </w:tcBorders>
            <w:shd w:val="clear" w:color="auto" w:fill="auto"/>
            <w:vAlign w:val="bottom"/>
          </w:tcPr>
          <w:p w14:paraId="7BC6E7E3" w14:textId="77777777" w:rsidR="003A3BCA" w:rsidRDefault="008276B6">
            <w:pPr>
              <w:jc w:val="right"/>
              <w:rPr>
                <w:rFonts w:ascii="Calibri" w:eastAsia="Calibri" w:hAnsi="Calibri" w:cs="Calibri"/>
                <w:color w:val="000000"/>
              </w:rPr>
            </w:pPr>
            <w:r>
              <w:rPr>
                <w:rFonts w:ascii="Calibri" w:eastAsia="Calibri" w:hAnsi="Calibri" w:cs="Calibri"/>
                <w:color w:val="000000"/>
              </w:rPr>
              <w:t>-€ 118,85</w:t>
            </w:r>
          </w:p>
        </w:tc>
      </w:tr>
    </w:tbl>
    <w:p w14:paraId="558F300B" w14:textId="77777777" w:rsidR="003A3BCA" w:rsidRDefault="008276B6">
      <w:pPr>
        <w:pBdr>
          <w:top w:val="nil"/>
          <w:left w:val="nil"/>
          <w:bottom w:val="nil"/>
          <w:right w:val="nil"/>
          <w:between w:val="nil"/>
        </w:pBdr>
        <w:spacing w:after="200"/>
        <w:rPr>
          <w:rFonts w:ascii="Calibri" w:eastAsia="Calibri" w:hAnsi="Calibri" w:cs="Calibri"/>
          <w:i/>
          <w:color w:val="44546A"/>
          <w:sz w:val="18"/>
          <w:szCs w:val="18"/>
        </w:rPr>
      </w:pPr>
      <w:r>
        <w:rPr>
          <w:rFonts w:ascii="Calibri" w:eastAsia="Calibri" w:hAnsi="Calibri" w:cs="Calibri"/>
          <w:i/>
          <w:color w:val="44546A"/>
          <w:sz w:val="18"/>
          <w:szCs w:val="18"/>
        </w:rPr>
        <w:t>Table 18. Net Balance in million EUR of selected European Football Clubs; 2012 - 2022; Source: Transfermarkt</w:t>
      </w:r>
    </w:p>
    <w:tbl>
      <w:tblPr>
        <w:tblStyle w:val="af1"/>
        <w:tblW w:w="9732" w:type="dxa"/>
        <w:tblLayout w:type="fixed"/>
        <w:tblLook w:val="0400" w:firstRow="0" w:lastRow="0" w:firstColumn="0" w:lastColumn="0" w:noHBand="0" w:noVBand="1"/>
      </w:tblPr>
      <w:tblGrid>
        <w:gridCol w:w="1343"/>
        <w:gridCol w:w="1777"/>
        <w:gridCol w:w="1736"/>
        <w:gridCol w:w="2748"/>
        <w:gridCol w:w="2128"/>
      </w:tblGrid>
      <w:tr w:rsidR="003A3BCA" w14:paraId="4AB42753" w14:textId="77777777">
        <w:trPr>
          <w:trHeight w:val="435"/>
        </w:trPr>
        <w:tc>
          <w:tcPr>
            <w:tcW w:w="134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132FCA5" w14:textId="77777777" w:rsidR="003A3BCA" w:rsidRDefault="008276B6">
            <w:pPr>
              <w:rPr>
                <w:rFonts w:ascii="Calibri" w:eastAsia="Calibri" w:hAnsi="Calibri" w:cs="Calibri"/>
                <w:color w:val="000000"/>
              </w:rPr>
            </w:pPr>
            <w:r>
              <w:rPr>
                <w:rFonts w:ascii="Calibri" w:eastAsia="Calibri" w:hAnsi="Calibri" w:cs="Calibri"/>
                <w:color w:val="000000"/>
              </w:rPr>
              <w:t>Club</w:t>
            </w:r>
          </w:p>
        </w:tc>
        <w:tc>
          <w:tcPr>
            <w:tcW w:w="1777" w:type="dxa"/>
            <w:tcBorders>
              <w:top w:val="single" w:sz="4" w:space="0" w:color="000000"/>
              <w:left w:val="nil"/>
              <w:bottom w:val="single" w:sz="4" w:space="0" w:color="000000"/>
              <w:right w:val="single" w:sz="4" w:space="0" w:color="000000"/>
            </w:tcBorders>
            <w:shd w:val="clear" w:color="auto" w:fill="auto"/>
            <w:vAlign w:val="bottom"/>
          </w:tcPr>
          <w:p w14:paraId="4C13404D" w14:textId="77777777" w:rsidR="003A3BCA" w:rsidRDefault="008276B6">
            <w:pPr>
              <w:rPr>
                <w:rFonts w:ascii="Calibri" w:eastAsia="Calibri" w:hAnsi="Calibri" w:cs="Calibri"/>
                <w:color w:val="000000"/>
              </w:rPr>
            </w:pPr>
            <w:r>
              <w:rPr>
                <w:rFonts w:ascii="Calibri" w:eastAsia="Calibri" w:hAnsi="Calibri" w:cs="Calibri"/>
                <w:color w:val="000000"/>
              </w:rPr>
              <w:t>Capacity</w:t>
            </w:r>
          </w:p>
        </w:tc>
        <w:tc>
          <w:tcPr>
            <w:tcW w:w="1736" w:type="dxa"/>
            <w:tcBorders>
              <w:top w:val="single" w:sz="4" w:space="0" w:color="000000"/>
              <w:left w:val="nil"/>
              <w:bottom w:val="single" w:sz="4" w:space="0" w:color="000000"/>
              <w:right w:val="single" w:sz="4" w:space="0" w:color="000000"/>
            </w:tcBorders>
            <w:shd w:val="clear" w:color="auto" w:fill="auto"/>
            <w:vAlign w:val="bottom"/>
          </w:tcPr>
          <w:p w14:paraId="19969547" w14:textId="77777777" w:rsidR="003A3BCA" w:rsidRDefault="008276B6">
            <w:pPr>
              <w:rPr>
                <w:rFonts w:ascii="Calibri" w:eastAsia="Calibri" w:hAnsi="Calibri" w:cs="Calibri"/>
                <w:color w:val="000000"/>
              </w:rPr>
            </w:pPr>
            <w:r>
              <w:rPr>
                <w:rFonts w:ascii="Calibri" w:eastAsia="Calibri" w:hAnsi="Calibri" w:cs="Calibri"/>
                <w:color w:val="000000"/>
              </w:rPr>
              <w:t>Training ground</w:t>
            </w:r>
          </w:p>
        </w:tc>
        <w:tc>
          <w:tcPr>
            <w:tcW w:w="2748" w:type="dxa"/>
            <w:tcBorders>
              <w:top w:val="single" w:sz="4" w:space="0" w:color="000000"/>
              <w:left w:val="nil"/>
              <w:bottom w:val="single" w:sz="4" w:space="0" w:color="000000"/>
              <w:right w:val="single" w:sz="4" w:space="0" w:color="000000"/>
            </w:tcBorders>
            <w:shd w:val="clear" w:color="auto" w:fill="auto"/>
            <w:vAlign w:val="bottom"/>
          </w:tcPr>
          <w:p w14:paraId="40E98D53" w14:textId="77777777" w:rsidR="003A3BCA" w:rsidRDefault="008276B6">
            <w:pPr>
              <w:rPr>
                <w:rFonts w:ascii="Calibri" w:eastAsia="Calibri" w:hAnsi="Calibri" w:cs="Calibri"/>
                <w:color w:val="000000"/>
              </w:rPr>
            </w:pPr>
            <w:r>
              <w:rPr>
                <w:rFonts w:ascii="Calibri" w:eastAsia="Calibri" w:hAnsi="Calibri" w:cs="Calibri"/>
                <w:color w:val="000000"/>
              </w:rPr>
              <w:t>Stadium experience</w:t>
            </w:r>
          </w:p>
        </w:tc>
        <w:tc>
          <w:tcPr>
            <w:tcW w:w="2128" w:type="dxa"/>
            <w:tcBorders>
              <w:top w:val="single" w:sz="4" w:space="0" w:color="000000"/>
              <w:left w:val="nil"/>
              <w:bottom w:val="single" w:sz="4" w:space="0" w:color="000000"/>
              <w:right w:val="single" w:sz="4" w:space="0" w:color="000000"/>
            </w:tcBorders>
            <w:shd w:val="clear" w:color="auto" w:fill="auto"/>
            <w:vAlign w:val="bottom"/>
          </w:tcPr>
          <w:p w14:paraId="5ADF7C65" w14:textId="77777777" w:rsidR="003A3BCA" w:rsidRDefault="008276B6">
            <w:pPr>
              <w:rPr>
                <w:rFonts w:ascii="Calibri" w:eastAsia="Calibri" w:hAnsi="Calibri" w:cs="Calibri"/>
                <w:color w:val="000000"/>
              </w:rPr>
            </w:pPr>
            <w:r>
              <w:rPr>
                <w:rFonts w:ascii="Calibri" w:eastAsia="Calibri" w:hAnsi="Calibri" w:cs="Calibri"/>
                <w:color w:val="000000"/>
              </w:rPr>
              <w:t>Total Infrastructure</w:t>
            </w:r>
          </w:p>
        </w:tc>
      </w:tr>
      <w:tr w:rsidR="003A3BCA" w14:paraId="159546E7" w14:textId="77777777">
        <w:trPr>
          <w:trHeight w:val="435"/>
        </w:trPr>
        <w:tc>
          <w:tcPr>
            <w:tcW w:w="1343" w:type="dxa"/>
            <w:tcBorders>
              <w:top w:val="nil"/>
              <w:left w:val="single" w:sz="4" w:space="0" w:color="000000"/>
              <w:bottom w:val="single" w:sz="4" w:space="0" w:color="000000"/>
              <w:right w:val="single" w:sz="4" w:space="0" w:color="000000"/>
            </w:tcBorders>
            <w:shd w:val="clear" w:color="auto" w:fill="auto"/>
            <w:vAlign w:val="bottom"/>
          </w:tcPr>
          <w:p w14:paraId="7C5585EC" w14:textId="77777777" w:rsidR="003A3BCA" w:rsidRDefault="008276B6">
            <w:pPr>
              <w:rPr>
                <w:rFonts w:ascii="Calibri" w:eastAsia="Calibri" w:hAnsi="Calibri" w:cs="Calibri"/>
                <w:color w:val="000000"/>
              </w:rPr>
            </w:pPr>
            <w:r>
              <w:rPr>
                <w:rFonts w:ascii="Calibri" w:eastAsia="Calibri" w:hAnsi="Calibri" w:cs="Calibri"/>
                <w:color w:val="000000"/>
              </w:rPr>
              <w:t>Man Utd</w:t>
            </w:r>
          </w:p>
        </w:tc>
        <w:tc>
          <w:tcPr>
            <w:tcW w:w="1777" w:type="dxa"/>
            <w:tcBorders>
              <w:top w:val="nil"/>
              <w:left w:val="nil"/>
              <w:bottom w:val="single" w:sz="4" w:space="0" w:color="000000"/>
              <w:right w:val="single" w:sz="4" w:space="0" w:color="000000"/>
            </w:tcBorders>
            <w:shd w:val="clear" w:color="auto" w:fill="auto"/>
            <w:vAlign w:val="bottom"/>
          </w:tcPr>
          <w:p w14:paraId="77FFA8B7" w14:textId="77777777" w:rsidR="003A3BCA" w:rsidRDefault="008276B6">
            <w:pPr>
              <w:jc w:val="right"/>
              <w:rPr>
                <w:rFonts w:ascii="Calibri" w:eastAsia="Calibri" w:hAnsi="Calibri" w:cs="Calibri"/>
                <w:color w:val="000000"/>
              </w:rPr>
            </w:pPr>
            <w:r>
              <w:rPr>
                <w:rFonts w:ascii="Calibri" w:eastAsia="Calibri" w:hAnsi="Calibri" w:cs="Calibri"/>
                <w:color w:val="000000"/>
              </w:rPr>
              <w:t>3</w:t>
            </w:r>
          </w:p>
        </w:tc>
        <w:tc>
          <w:tcPr>
            <w:tcW w:w="1736" w:type="dxa"/>
            <w:tcBorders>
              <w:top w:val="nil"/>
              <w:left w:val="nil"/>
              <w:bottom w:val="single" w:sz="4" w:space="0" w:color="000000"/>
              <w:right w:val="single" w:sz="4" w:space="0" w:color="000000"/>
            </w:tcBorders>
            <w:shd w:val="clear" w:color="auto" w:fill="auto"/>
            <w:vAlign w:val="bottom"/>
          </w:tcPr>
          <w:p w14:paraId="25F86998" w14:textId="77777777" w:rsidR="003A3BCA" w:rsidRDefault="008276B6">
            <w:pPr>
              <w:jc w:val="right"/>
              <w:rPr>
                <w:rFonts w:ascii="Calibri" w:eastAsia="Calibri" w:hAnsi="Calibri" w:cs="Calibri"/>
                <w:color w:val="000000"/>
              </w:rPr>
            </w:pPr>
            <w:r>
              <w:rPr>
                <w:rFonts w:ascii="Calibri" w:eastAsia="Calibri" w:hAnsi="Calibri" w:cs="Calibri"/>
                <w:color w:val="000000"/>
              </w:rPr>
              <w:t>3</w:t>
            </w:r>
          </w:p>
        </w:tc>
        <w:tc>
          <w:tcPr>
            <w:tcW w:w="2748" w:type="dxa"/>
            <w:tcBorders>
              <w:top w:val="nil"/>
              <w:left w:val="nil"/>
              <w:bottom w:val="single" w:sz="4" w:space="0" w:color="000000"/>
              <w:right w:val="single" w:sz="4" w:space="0" w:color="000000"/>
            </w:tcBorders>
            <w:shd w:val="clear" w:color="auto" w:fill="auto"/>
            <w:vAlign w:val="bottom"/>
          </w:tcPr>
          <w:p w14:paraId="45F7C276" w14:textId="77777777" w:rsidR="003A3BCA" w:rsidRDefault="008276B6">
            <w:pPr>
              <w:jc w:val="right"/>
              <w:rPr>
                <w:rFonts w:ascii="Calibri" w:eastAsia="Calibri" w:hAnsi="Calibri" w:cs="Calibri"/>
                <w:color w:val="000000"/>
              </w:rPr>
            </w:pPr>
            <w:r>
              <w:rPr>
                <w:rFonts w:ascii="Calibri" w:eastAsia="Calibri" w:hAnsi="Calibri" w:cs="Calibri"/>
                <w:color w:val="000000"/>
              </w:rPr>
              <w:t>3</w:t>
            </w:r>
          </w:p>
        </w:tc>
        <w:tc>
          <w:tcPr>
            <w:tcW w:w="2128" w:type="dxa"/>
            <w:tcBorders>
              <w:top w:val="nil"/>
              <w:left w:val="nil"/>
              <w:bottom w:val="single" w:sz="4" w:space="0" w:color="000000"/>
              <w:right w:val="single" w:sz="4" w:space="0" w:color="000000"/>
            </w:tcBorders>
            <w:shd w:val="clear" w:color="auto" w:fill="auto"/>
            <w:vAlign w:val="bottom"/>
          </w:tcPr>
          <w:p w14:paraId="4CEC0554" w14:textId="77777777" w:rsidR="003A3BCA" w:rsidRDefault="008276B6">
            <w:pPr>
              <w:jc w:val="right"/>
              <w:rPr>
                <w:rFonts w:ascii="Calibri" w:eastAsia="Calibri" w:hAnsi="Calibri" w:cs="Calibri"/>
                <w:color w:val="000000"/>
              </w:rPr>
            </w:pPr>
            <w:r>
              <w:rPr>
                <w:rFonts w:ascii="Calibri" w:eastAsia="Calibri" w:hAnsi="Calibri" w:cs="Calibri"/>
                <w:color w:val="000000"/>
              </w:rPr>
              <w:t>3</w:t>
            </w:r>
          </w:p>
        </w:tc>
      </w:tr>
      <w:tr w:rsidR="003A3BCA" w14:paraId="18C9C56F" w14:textId="77777777">
        <w:trPr>
          <w:trHeight w:val="435"/>
        </w:trPr>
        <w:tc>
          <w:tcPr>
            <w:tcW w:w="1343" w:type="dxa"/>
            <w:tcBorders>
              <w:top w:val="nil"/>
              <w:left w:val="single" w:sz="4" w:space="0" w:color="000000"/>
              <w:bottom w:val="single" w:sz="4" w:space="0" w:color="000000"/>
              <w:right w:val="single" w:sz="4" w:space="0" w:color="000000"/>
            </w:tcBorders>
            <w:shd w:val="clear" w:color="auto" w:fill="auto"/>
            <w:vAlign w:val="bottom"/>
          </w:tcPr>
          <w:p w14:paraId="1ACDC82A" w14:textId="77777777" w:rsidR="003A3BCA" w:rsidRDefault="008276B6">
            <w:pPr>
              <w:rPr>
                <w:rFonts w:ascii="Calibri" w:eastAsia="Calibri" w:hAnsi="Calibri" w:cs="Calibri"/>
                <w:color w:val="000000"/>
              </w:rPr>
            </w:pPr>
            <w:r>
              <w:rPr>
                <w:rFonts w:ascii="Calibri" w:eastAsia="Calibri" w:hAnsi="Calibri" w:cs="Calibri"/>
                <w:color w:val="000000"/>
              </w:rPr>
              <w:t>Liverpool</w:t>
            </w:r>
          </w:p>
        </w:tc>
        <w:tc>
          <w:tcPr>
            <w:tcW w:w="1777" w:type="dxa"/>
            <w:tcBorders>
              <w:top w:val="nil"/>
              <w:left w:val="nil"/>
              <w:bottom w:val="single" w:sz="4" w:space="0" w:color="000000"/>
              <w:right w:val="single" w:sz="4" w:space="0" w:color="000000"/>
            </w:tcBorders>
            <w:shd w:val="clear" w:color="auto" w:fill="auto"/>
            <w:vAlign w:val="bottom"/>
          </w:tcPr>
          <w:p w14:paraId="6384A83B" w14:textId="77777777" w:rsidR="003A3BCA" w:rsidRDefault="008276B6">
            <w:pPr>
              <w:jc w:val="right"/>
              <w:rPr>
                <w:rFonts w:ascii="Calibri" w:eastAsia="Calibri" w:hAnsi="Calibri" w:cs="Calibri"/>
                <w:color w:val="000000"/>
              </w:rPr>
            </w:pPr>
            <w:r>
              <w:rPr>
                <w:rFonts w:ascii="Calibri" w:eastAsia="Calibri" w:hAnsi="Calibri" w:cs="Calibri"/>
                <w:color w:val="000000"/>
              </w:rPr>
              <w:t>2</w:t>
            </w:r>
          </w:p>
        </w:tc>
        <w:tc>
          <w:tcPr>
            <w:tcW w:w="1736" w:type="dxa"/>
            <w:tcBorders>
              <w:top w:val="nil"/>
              <w:left w:val="nil"/>
              <w:bottom w:val="single" w:sz="4" w:space="0" w:color="000000"/>
              <w:right w:val="single" w:sz="4" w:space="0" w:color="000000"/>
            </w:tcBorders>
            <w:shd w:val="clear" w:color="auto" w:fill="auto"/>
            <w:vAlign w:val="bottom"/>
          </w:tcPr>
          <w:p w14:paraId="7336C961" w14:textId="77777777" w:rsidR="003A3BCA" w:rsidRDefault="008276B6">
            <w:pPr>
              <w:jc w:val="right"/>
              <w:rPr>
                <w:rFonts w:ascii="Calibri" w:eastAsia="Calibri" w:hAnsi="Calibri" w:cs="Calibri"/>
                <w:color w:val="000000"/>
              </w:rPr>
            </w:pPr>
            <w:r>
              <w:rPr>
                <w:rFonts w:ascii="Calibri" w:eastAsia="Calibri" w:hAnsi="Calibri" w:cs="Calibri"/>
                <w:color w:val="000000"/>
              </w:rPr>
              <w:t>3</w:t>
            </w:r>
          </w:p>
        </w:tc>
        <w:tc>
          <w:tcPr>
            <w:tcW w:w="2748" w:type="dxa"/>
            <w:tcBorders>
              <w:top w:val="nil"/>
              <w:left w:val="nil"/>
              <w:bottom w:val="single" w:sz="4" w:space="0" w:color="000000"/>
              <w:right w:val="single" w:sz="4" w:space="0" w:color="000000"/>
            </w:tcBorders>
            <w:shd w:val="clear" w:color="auto" w:fill="auto"/>
            <w:vAlign w:val="bottom"/>
          </w:tcPr>
          <w:p w14:paraId="17D8884D" w14:textId="77777777" w:rsidR="003A3BCA" w:rsidRDefault="008276B6">
            <w:pPr>
              <w:jc w:val="right"/>
              <w:rPr>
                <w:rFonts w:ascii="Calibri" w:eastAsia="Calibri" w:hAnsi="Calibri" w:cs="Calibri"/>
                <w:color w:val="000000"/>
              </w:rPr>
            </w:pPr>
            <w:r>
              <w:rPr>
                <w:rFonts w:ascii="Calibri" w:eastAsia="Calibri" w:hAnsi="Calibri" w:cs="Calibri"/>
                <w:color w:val="000000"/>
              </w:rPr>
              <w:t>2</w:t>
            </w:r>
          </w:p>
        </w:tc>
        <w:tc>
          <w:tcPr>
            <w:tcW w:w="2128" w:type="dxa"/>
            <w:tcBorders>
              <w:top w:val="nil"/>
              <w:left w:val="nil"/>
              <w:bottom w:val="single" w:sz="4" w:space="0" w:color="000000"/>
              <w:right w:val="single" w:sz="4" w:space="0" w:color="000000"/>
            </w:tcBorders>
            <w:shd w:val="clear" w:color="auto" w:fill="auto"/>
            <w:vAlign w:val="bottom"/>
          </w:tcPr>
          <w:p w14:paraId="68F1A166" w14:textId="77777777" w:rsidR="003A3BCA" w:rsidRDefault="008276B6">
            <w:pPr>
              <w:jc w:val="right"/>
              <w:rPr>
                <w:rFonts w:ascii="Calibri" w:eastAsia="Calibri" w:hAnsi="Calibri" w:cs="Calibri"/>
                <w:color w:val="000000"/>
              </w:rPr>
            </w:pPr>
            <w:r>
              <w:rPr>
                <w:rFonts w:ascii="Calibri" w:eastAsia="Calibri" w:hAnsi="Calibri" w:cs="Calibri"/>
                <w:color w:val="000000"/>
              </w:rPr>
              <w:t>2,3</w:t>
            </w:r>
          </w:p>
        </w:tc>
      </w:tr>
      <w:tr w:rsidR="003A3BCA" w14:paraId="5702C2FE" w14:textId="77777777">
        <w:trPr>
          <w:trHeight w:val="435"/>
        </w:trPr>
        <w:tc>
          <w:tcPr>
            <w:tcW w:w="1343" w:type="dxa"/>
            <w:tcBorders>
              <w:top w:val="nil"/>
              <w:left w:val="single" w:sz="4" w:space="0" w:color="000000"/>
              <w:bottom w:val="single" w:sz="4" w:space="0" w:color="000000"/>
              <w:right w:val="single" w:sz="4" w:space="0" w:color="000000"/>
            </w:tcBorders>
            <w:shd w:val="clear" w:color="auto" w:fill="auto"/>
            <w:vAlign w:val="bottom"/>
          </w:tcPr>
          <w:p w14:paraId="0FA80513" w14:textId="77777777" w:rsidR="003A3BCA" w:rsidRDefault="008276B6">
            <w:pPr>
              <w:rPr>
                <w:rFonts w:ascii="Calibri" w:eastAsia="Calibri" w:hAnsi="Calibri" w:cs="Calibri"/>
                <w:color w:val="000000"/>
              </w:rPr>
            </w:pPr>
            <w:r>
              <w:rPr>
                <w:rFonts w:ascii="Calibri" w:eastAsia="Calibri" w:hAnsi="Calibri" w:cs="Calibri"/>
                <w:color w:val="000000"/>
              </w:rPr>
              <w:t>Man City</w:t>
            </w:r>
          </w:p>
        </w:tc>
        <w:tc>
          <w:tcPr>
            <w:tcW w:w="1777" w:type="dxa"/>
            <w:tcBorders>
              <w:top w:val="nil"/>
              <w:left w:val="nil"/>
              <w:bottom w:val="single" w:sz="4" w:space="0" w:color="000000"/>
              <w:right w:val="single" w:sz="4" w:space="0" w:color="000000"/>
            </w:tcBorders>
            <w:shd w:val="clear" w:color="auto" w:fill="auto"/>
            <w:vAlign w:val="bottom"/>
          </w:tcPr>
          <w:p w14:paraId="3BD763E6" w14:textId="77777777" w:rsidR="003A3BCA" w:rsidRDefault="008276B6">
            <w:pPr>
              <w:jc w:val="right"/>
              <w:rPr>
                <w:rFonts w:ascii="Calibri" w:eastAsia="Calibri" w:hAnsi="Calibri" w:cs="Calibri"/>
                <w:color w:val="000000"/>
              </w:rPr>
            </w:pPr>
            <w:r>
              <w:rPr>
                <w:rFonts w:ascii="Calibri" w:eastAsia="Calibri" w:hAnsi="Calibri" w:cs="Calibri"/>
                <w:color w:val="000000"/>
              </w:rPr>
              <w:t>2</w:t>
            </w:r>
          </w:p>
        </w:tc>
        <w:tc>
          <w:tcPr>
            <w:tcW w:w="1736" w:type="dxa"/>
            <w:tcBorders>
              <w:top w:val="nil"/>
              <w:left w:val="nil"/>
              <w:bottom w:val="single" w:sz="4" w:space="0" w:color="000000"/>
              <w:right w:val="single" w:sz="4" w:space="0" w:color="000000"/>
            </w:tcBorders>
            <w:shd w:val="clear" w:color="auto" w:fill="auto"/>
            <w:vAlign w:val="bottom"/>
          </w:tcPr>
          <w:p w14:paraId="512038A8" w14:textId="77777777" w:rsidR="003A3BCA" w:rsidRDefault="008276B6">
            <w:pPr>
              <w:jc w:val="right"/>
              <w:rPr>
                <w:rFonts w:ascii="Calibri" w:eastAsia="Calibri" w:hAnsi="Calibri" w:cs="Calibri"/>
                <w:color w:val="000000"/>
              </w:rPr>
            </w:pPr>
            <w:r>
              <w:rPr>
                <w:rFonts w:ascii="Calibri" w:eastAsia="Calibri" w:hAnsi="Calibri" w:cs="Calibri"/>
                <w:color w:val="000000"/>
              </w:rPr>
              <w:t>3</w:t>
            </w:r>
          </w:p>
        </w:tc>
        <w:tc>
          <w:tcPr>
            <w:tcW w:w="2748" w:type="dxa"/>
            <w:tcBorders>
              <w:top w:val="nil"/>
              <w:left w:val="nil"/>
              <w:bottom w:val="single" w:sz="4" w:space="0" w:color="000000"/>
              <w:right w:val="single" w:sz="4" w:space="0" w:color="000000"/>
            </w:tcBorders>
            <w:shd w:val="clear" w:color="auto" w:fill="auto"/>
            <w:vAlign w:val="bottom"/>
          </w:tcPr>
          <w:p w14:paraId="5C2A7785" w14:textId="77777777" w:rsidR="003A3BCA" w:rsidRDefault="008276B6">
            <w:pPr>
              <w:jc w:val="right"/>
              <w:rPr>
                <w:rFonts w:ascii="Calibri" w:eastAsia="Calibri" w:hAnsi="Calibri" w:cs="Calibri"/>
                <w:color w:val="000000"/>
              </w:rPr>
            </w:pPr>
            <w:r>
              <w:rPr>
                <w:rFonts w:ascii="Calibri" w:eastAsia="Calibri" w:hAnsi="Calibri" w:cs="Calibri"/>
                <w:color w:val="000000"/>
              </w:rPr>
              <w:t>2,5</w:t>
            </w:r>
          </w:p>
        </w:tc>
        <w:tc>
          <w:tcPr>
            <w:tcW w:w="2128" w:type="dxa"/>
            <w:tcBorders>
              <w:top w:val="nil"/>
              <w:left w:val="nil"/>
              <w:bottom w:val="single" w:sz="4" w:space="0" w:color="000000"/>
              <w:right w:val="single" w:sz="4" w:space="0" w:color="000000"/>
            </w:tcBorders>
            <w:shd w:val="clear" w:color="auto" w:fill="auto"/>
            <w:vAlign w:val="bottom"/>
          </w:tcPr>
          <w:p w14:paraId="64381822" w14:textId="77777777" w:rsidR="003A3BCA" w:rsidRDefault="008276B6">
            <w:pPr>
              <w:jc w:val="right"/>
              <w:rPr>
                <w:rFonts w:ascii="Calibri" w:eastAsia="Calibri" w:hAnsi="Calibri" w:cs="Calibri"/>
                <w:color w:val="000000"/>
              </w:rPr>
            </w:pPr>
            <w:r>
              <w:rPr>
                <w:rFonts w:ascii="Calibri" w:eastAsia="Calibri" w:hAnsi="Calibri" w:cs="Calibri"/>
                <w:color w:val="000000"/>
              </w:rPr>
              <w:t>2,5</w:t>
            </w:r>
          </w:p>
        </w:tc>
      </w:tr>
      <w:tr w:rsidR="003A3BCA" w14:paraId="70ACA9E5" w14:textId="77777777">
        <w:trPr>
          <w:trHeight w:val="435"/>
        </w:trPr>
        <w:tc>
          <w:tcPr>
            <w:tcW w:w="1343" w:type="dxa"/>
            <w:tcBorders>
              <w:top w:val="nil"/>
              <w:left w:val="single" w:sz="4" w:space="0" w:color="000000"/>
              <w:bottom w:val="single" w:sz="4" w:space="0" w:color="000000"/>
              <w:right w:val="single" w:sz="4" w:space="0" w:color="000000"/>
            </w:tcBorders>
            <w:shd w:val="clear" w:color="auto" w:fill="auto"/>
            <w:vAlign w:val="bottom"/>
          </w:tcPr>
          <w:p w14:paraId="1FFF60AB" w14:textId="77777777" w:rsidR="003A3BCA" w:rsidRDefault="008276B6">
            <w:pPr>
              <w:rPr>
                <w:rFonts w:ascii="Calibri" w:eastAsia="Calibri" w:hAnsi="Calibri" w:cs="Calibri"/>
                <w:color w:val="000000"/>
              </w:rPr>
            </w:pPr>
            <w:r>
              <w:rPr>
                <w:rFonts w:ascii="Calibri" w:eastAsia="Calibri" w:hAnsi="Calibri" w:cs="Calibri"/>
                <w:color w:val="000000"/>
              </w:rPr>
              <w:t>Arsenal</w:t>
            </w:r>
          </w:p>
        </w:tc>
        <w:tc>
          <w:tcPr>
            <w:tcW w:w="1777" w:type="dxa"/>
            <w:tcBorders>
              <w:top w:val="nil"/>
              <w:left w:val="nil"/>
              <w:bottom w:val="single" w:sz="4" w:space="0" w:color="000000"/>
              <w:right w:val="single" w:sz="4" w:space="0" w:color="000000"/>
            </w:tcBorders>
            <w:shd w:val="clear" w:color="auto" w:fill="auto"/>
            <w:vAlign w:val="bottom"/>
          </w:tcPr>
          <w:p w14:paraId="232C4428" w14:textId="77777777" w:rsidR="003A3BCA" w:rsidRDefault="008276B6">
            <w:pPr>
              <w:jc w:val="right"/>
              <w:rPr>
                <w:rFonts w:ascii="Calibri" w:eastAsia="Calibri" w:hAnsi="Calibri" w:cs="Calibri"/>
                <w:color w:val="000000"/>
              </w:rPr>
            </w:pPr>
            <w:r>
              <w:rPr>
                <w:rFonts w:ascii="Calibri" w:eastAsia="Calibri" w:hAnsi="Calibri" w:cs="Calibri"/>
                <w:color w:val="000000"/>
              </w:rPr>
              <w:t>2</w:t>
            </w:r>
          </w:p>
        </w:tc>
        <w:tc>
          <w:tcPr>
            <w:tcW w:w="1736" w:type="dxa"/>
            <w:tcBorders>
              <w:top w:val="nil"/>
              <w:left w:val="nil"/>
              <w:bottom w:val="single" w:sz="4" w:space="0" w:color="000000"/>
              <w:right w:val="single" w:sz="4" w:space="0" w:color="000000"/>
            </w:tcBorders>
            <w:shd w:val="clear" w:color="auto" w:fill="auto"/>
            <w:vAlign w:val="bottom"/>
          </w:tcPr>
          <w:p w14:paraId="743F89AC" w14:textId="77777777" w:rsidR="003A3BCA" w:rsidRDefault="008276B6">
            <w:pPr>
              <w:jc w:val="right"/>
              <w:rPr>
                <w:rFonts w:ascii="Calibri" w:eastAsia="Calibri" w:hAnsi="Calibri" w:cs="Calibri"/>
                <w:color w:val="000000"/>
              </w:rPr>
            </w:pPr>
            <w:r>
              <w:rPr>
                <w:rFonts w:ascii="Calibri" w:eastAsia="Calibri" w:hAnsi="Calibri" w:cs="Calibri"/>
                <w:color w:val="000000"/>
              </w:rPr>
              <w:t>3</w:t>
            </w:r>
          </w:p>
        </w:tc>
        <w:tc>
          <w:tcPr>
            <w:tcW w:w="2748" w:type="dxa"/>
            <w:tcBorders>
              <w:top w:val="nil"/>
              <w:left w:val="nil"/>
              <w:bottom w:val="single" w:sz="4" w:space="0" w:color="000000"/>
              <w:right w:val="single" w:sz="4" w:space="0" w:color="000000"/>
            </w:tcBorders>
            <w:shd w:val="clear" w:color="auto" w:fill="auto"/>
            <w:vAlign w:val="bottom"/>
          </w:tcPr>
          <w:p w14:paraId="44916ED7" w14:textId="77777777" w:rsidR="003A3BCA" w:rsidRDefault="008276B6">
            <w:pPr>
              <w:jc w:val="right"/>
              <w:rPr>
                <w:rFonts w:ascii="Calibri" w:eastAsia="Calibri" w:hAnsi="Calibri" w:cs="Calibri"/>
                <w:color w:val="000000"/>
              </w:rPr>
            </w:pPr>
            <w:r>
              <w:rPr>
                <w:rFonts w:ascii="Calibri" w:eastAsia="Calibri" w:hAnsi="Calibri" w:cs="Calibri"/>
                <w:color w:val="000000"/>
              </w:rPr>
              <w:t>1</w:t>
            </w:r>
          </w:p>
        </w:tc>
        <w:tc>
          <w:tcPr>
            <w:tcW w:w="2128" w:type="dxa"/>
            <w:tcBorders>
              <w:top w:val="nil"/>
              <w:left w:val="nil"/>
              <w:bottom w:val="single" w:sz="4" w:space="0" w:color="000000"/>
              <w:right w:val="single" w:sz="4" w:space="0" w:color="000000"/>
            </w:tcBorders>
            <w:shd w:val="clear" w:color="auto" w:fill="auto"/>
            <w:vAlign w:val="bottom"/>
          </w:tcPr>
          <w:p w14:paraId="1A56028D" w14:textId="77777777" w:rsidR="003A3BCA" w:rsidRDefault="008276B6">
            <w:pPr>
              <w:jc w:val="right"/>
              <w:rPr>
                <w:rFonts w:ascii="Calibri" w:eastAsia="Calibri" w:hAnsi="Calibri" w:cs="Calibri"/>
                <w:color w:val="000000"/>
              </w:rPr>
            </w:pPr>
            <w:r>
              <w:rPr>
                <w:rFonts w:ascii="Calibri" w:eastAsia="Calibri" w:hAnsi="Calibri" w:cs="Calibri"/>
                <w:color w:val="000000"/>
              </w:rPr>
              <w:t>2</w:t>
            </w:r>
          </w:p>
        </w:tc>
      </w:tr>
      <w:tr w:rsidR="003A3BCA" w14:paraId="34AAB72A" w14:textId="77777777">
        <w:trPr>
          <w:trHeight w:val="435"/>
        </w:trPr>
        <w:tc>
          <w:tcPr>
            <w:tcW w:w="1343" w:type="dxa"/>
            <w:tcBorders>
              <w:top w:val="nil"/>
              <w:left w:val="single" w:sz="4" w:space="0" w:color="000000"/>
              <w:bottom w:val="single" w:sz="4" w:space="0" w:color="000000"/>
              <w:right w:val="single" w:sz="4" w:space="0" w:color="000000"/>
            </w:tcBorders>
            <w:shd w:val="clear" w:color="auto" w:fill="auto"/>
            <w:vAlign w:val="bottom"/>
          </w:tcPr>
          <w:p w14:paraId="2AFEABC1" w14:textId="77777777" w:rsidR="003A3BCA" w:rsidRDefault="008276B6">
            <w:pPr>
              <w:rPr>
                <w:rFonts w:ascii="Calibri" w:eastAsia="Calibri" w:hAnsi="Calibri" w:cs="Calibri"/>
                <w:color w:val="000000"/>
              </w:rPr>
            </w:pPr>
            <w:r>
              <w:rPr>
                <w:rFonts w:ascii="Calibri" w:eastAsia="Calibri" w:hAnsi="Calibri" w:cs="Calibri"/>
                <w:color w:val="000000"/>
              </w:rPr>
              <w:t>Spurs</w:t>
            </w:r>
          </w:p>
        </w:tc>
        <w:tc>
          <w:tcPr>
            <w:tcW w:w="1777" w:type="dxa"/>
            <w:tcBorders>
              <w:top w:val="nil"/>
              <w:left w:val="nil"/>
              <w:bottom w:val="single" w:sz="4" w:space="0" w:color="000000"/>
              <w:right w:val="single" w:sz="4" w:space="0" w:color="000000"/>
            </w:tcBorders>
            <w:shd w:val="clear" w:color="auto" w:fill="auto"/>
            <w:vAlign w:val="bottom"/>
          </w:tcPr>
          <w:p w14:paraId="070FE4CE" w14:textId="77777777" w:rsidR="003A3BCA" w:rsidRDefault="008276B6">
            <w:pPr>
              <w:jc w:val="right"/>
              <w:rPr>
                <w:rFonts w:ascii="Calibri" w:eastAsia="Calibri" w:hAnsi="Calibri" w:cs="Calibri"/>
                <w:color w:val="000000"/>
              </w:rPr>
            </w:pPr>
            <w:r>
              <w:rPr>
                <w:rFonts w:ascii="Calibri" w:eastAsia="Calibri" w:hAnsi="Calibri" w:cs="Calibri"/>
                <w:color w:val="000000"/>
              </w:rPr>
              <w:t>3</w:t>
            </w:r>
          </w:p>
        </w:tc>
        <w:tc>
          <w:tcPr>
            <w:tcW w:w="1736" w:type="dxa"/>
            <w:tcBorders>
              <w:top w:val="nil"/>
              <w:left w:val="nil"/>
              <w:bottom w:val="single" w:sz="4" w:space="0" w:color="000000"/>
              <w:right w:val="single" w:sz="4" w:space="0" w:color="000000"/>
            </w:tcBorders>
            <w:shd w:val="clear" w:color="auto" w:fill="auto"/>
            <w:vAlign w:val="bottom"/>
          </w:tcPr>
          <w:p w14:paraId="07C97693" w14:textId="77777777" w:rsidR="003A3BCA" w:rsidRDefault="008276B6">
            <w:pPr>
              <w:jc w:val="right"/>
              <w:rPr>
                <w:rFonts w:ascii="Calibri" w:eastAsia="Calibri" w:hAnsi="Calibri" w:cs="Calibri"/>
                <w:color w:val="000000"/>
              </w:rPr>
            </w:pPr>
            <w:r>
              <w:rPr>
                <w:rFonts w:ascii="Calibri" w:eastAsia="Calibri" w:hAnsi="Calibri" w:cs="Calibri"/>
                <w:color w:val="000000"/>
              </w:rPr>
              <w:t>1</w:t>
            </w:r>
          </w:p>
        </w:tc>
        <w:tc>
          <w:tcPr>
            <w:tcW w:w="2748" w:type="dxa"/>
            <w:tcBorders>
              <w:top w:val="nil"/>
              <w:left w:val="nil"/>
              <w:bottom w:val="single" w:sz="4" w:space="0" w:color="000000"/>
              <w:right w:val="single" w:sz="4" w:space="0" w:color="000000"/>
            </w:tcBorders>
            <w:shd w:val="clear" w:color="auto" w:fill="auto"/>
            <w:vAlign w:val="bottom"/>
          </w:tcPr>
          <w:p w14:paraId="56D6A0AB" w14:textId="77777777" w:rsidR="003A3BCA" w:rsidRDefault="008276B6">
            <w:pPr>
              <w:jc w:val="right"/>
              <w:rPr>
                <w:rFonts w:ascii="Calibri" w:eastAsia="Calibri" w:hAnsi="Calibri" w:cs="Calibri"/>
                <w:color w:val="000000"/>
              </w:rPr>
            </w:pPr>
            <w:r>
              <w:rPr>
                <w:rFonts w:ascii="Calibri" w:eastAsia="Calibri" w:hAnsi="Calibri" w:cs="Calibri"/>
                <w:color w:val="000000"/>
              </w:rPr>
              <w:t>3</w:t>
            </w:r>
          </w:p>
        </w:tc>
        <w:tc>
          <w:tcPr>
            <w:tcW w:w="2128" w:type="dxa"/>
            <w:tcBorders>
              <w:top w:val="nil"/>
              <w:left w:val="nil"/>
              <w:bottom w:val="single" w:sz="4" w:space="0" w:color="000000"/>
              <w:right w:val="single" w:sz="4" w:space="0" w:color="000000"/>
            </w:tcBorders>
            <w:shd w:val="clear" w:color="auto" w:fill="auto"/>
            <w:vAlign w:val="bottom"/>
          </w:tcPr>
          <w:p w14:paraId="02DEB3F7" w14:textId="77777777" w:rsidR="003A3BCA" w:rsidRDefault="008276B6">
            <w:pPr>
              <w:jc w:val="right"/>
              <w:rPr>
                <w:rFonts w:ascii="Calibri" w:eastAsia="Calibri" w:hAnsi="Calibri" w:cs="Calibri"/>
                <w:color w:val="000000"/>
              </w:rPr>
            </w:pPr>
            <w:r>
              <w:rPr>
                <w:rFonts w:ascii="Calibri" w:eastAsia="Calibri" w:hAnsi="Calibri" w:cs="Calibri"/>
                <w:color w:val="000000"/>
              </w:rPr>
              <w:t>2,3</w:t>
            </w:r>
          </w:p>
        </w:tc>
      </w:tr>
      <w:tr w:rsidR="003A3BCA" w14:paraId="59D76342" w14:textId="77777777">
        <w:trPr>
          <w:trHeight w:val="435"/>
        </w:trPr>
        <w:tc>
          <w:tcPr>
            <w:tcW w:w="1343" w:type="dxa"/>
            <w:tcBorders>
              <w:top w:val="nil"/>
              <w:left w:val="single" w:sz="4" w:space="0" w:color="000000"/>
              <w:bottom w:val="single" w:sz="4" w:space="0" w:color="000000"/>
              <w:right w:val="single" w:sz="4" w:space="0" w:color="000000"/>
            </w:tcBorders>
            <w:shd w:val="clear" w:color="auto" w:fill="auto"/>
            <w:vAlign w:val="bottom"/>
          </w:tcPr>
          <w:p w14:paraId="14419516" w14:textId="77777777" w:rsidR="003A3BCA" w:rsidRDefault="008276B6">
            <w:pPr>
              <w:rPr>
                <w:rFonts w:ascii="Calibri" w:eastAsia="Calibri" w:hAnsi="Calibri" w:cs="Calibri"/>
                <w:color w:val="000000"/>
              </w:rPr>
            </w:pPr>
            <w:r>
              <w:rPr>
                <w:rFonts w:ascii="Calibri" w:eastAsia="Calibri" w:hAnsi="Calibri" w:cs="Calibri"/>
                <w:color w:val="000000"/>
              </w:rPr>
              <w:t>Chelsea</w:t>
            </w:r>
          </w:p>
        </w:tc>
        <w:tc>
          <w:tcPr>
            <w:tcW w:w="1777" w:type="dxa"/>
            <w:tcBorders>
              <w:top w:val="nil"/>
              <w:left w:val="nil"/>
              <w:bottom w:val="single" w:sz="4" w:space="0" w:color="000000"/>
              <w:right w:val="single" w:sz="4" w:space="0" w:color="000000"/>
            </w:tcBorders>
            <w:shd w:val="clear" w:color="auto" w:fill="auto"/>
            <w:vAlign w:val="bottom"/>
          </w:tcPr>
          <w:p w14:paraId="33013AC5" w14:textId="77777777" w:rsidR="003A3BCA" w:rsidRDefault="008276B6">
            <w:pPr>
              <w:jc w:val="right"/>
              <w:rPr>
                <w:rFonts w:ascii="Calibri" w:eastAsia="Calibri" w:hAnsi="Calibri" w:cs="Calibri"/>
                <w:color w:val="000000"/>
              </w:rPr>
            </w:pPr>
            <w:r>
              <w:rPr>
                <w:rFonts w:ascii="Calibri" w:eastAsia="Calibri" w:hAnsi="Calibri" w:cs="Calibri"/>
                <w:color w:val="000000"/>
              </w:rPr>
              <w:t>1</w:t>
            </w:r>
          </w:p>
        </w:tc>
        <w:tc>
          <w:tcPr>
            <w:tcW w:w="1736" w:type="dxa"/>
            <w:tcBorders>
              <w:top w:val="nil"/>
              <w:left w:val="nil"/>
              <w:bottom w:val="single" w:sz="4" w:space="0" w:color="000000"/>
              <w:right w:val="single" w:sz="4" w:space="0" w:color="000000"/>
            </w:tcBorders>
            <w:shd w:val="clear" w:color="auto" w:fill="auto"/>
            <w:vAlign w:val="bottom"/>
          </w:tcPr>
          <w:p w14:paraId="51385FDF" w14:textId="77777777" w:rsidR="003A3BCA" w:rsidRDefault="008276B6">
            <w:pPr>
              <w:jc w:val="right"/>
              <w:rPr>
                <w:rFonts w:ascii="Calibri" w:eastAsia="Calibri" w:hAnsi="Calibri" w:cs="Calibri"/>
                <w:color w:val="000000"/>
              </w:rPr>
            </w:pPr>
            <w:r>
              <w:rPr>
                <w:rFonts w:ascii="Calibri" w:eastAsia="Calibri" w:hAnsi="Calibri" w:cs="Calibri"/>
                <w:color w:val="000000"/>
              </w:rPr>
              <w:t>3</w:t>
            </w:r>
          </w:p>
        </w:tc>
        <w:tc>
          <w:tcPr>
            <w:tcW w:w="2748" w:type="dxa"/>
            <w:tcBorders>
              <w:top w:val="nil"/>
              <w:left w:val="nil"/>
              <w:bottom w:val="single" w:sz="4" w:space="0" w:color="000000"/>
              <w:right w:val="single" w:sz="4" w:space="0" w:color="000000"/>
            </w:tcBorders>
            <w:shd w:val="clear" w:color="auto" w:fill="auto"/>
            <w:vAlign w:val="bottom"/>
          </w:tcPr>
          <w:p w14:paraId="7AC2D2B6" w14:textId="77777777" w:rsidR="003A3BCA" w:rsidRDefault="008276B6">
            <w:pPr>
              <w:jc w:val="right"/>
              <w:rPr>
                <w:rFonts w:ascii="Calibri" w:eastAsia="Calibri" w:hAnsi="Calibri" w:cs="Calibri"/>
                <w:color w:val="000000"/>
              </w:rPr>
            </w:pPr>
            <w:r>
              <w:rPr>
                <w:rFonts w:ascii="Calibri" w:eastAsia="Calibri" w:hAnsi="Calibri" w:cs="Calibri"/>
                <w:color w:val="000000"/>
              </w:rPr>
              <w:t>2</w:t>
            </w:r>
          </w:p>
        </w:tc>
        <w:tc>
          <w:tcPr>
            <w:tcW w:w="2128" w:type="dxa"/>
            <w:tcBorders>
              <w:top w:val="nil"/>
              <w:left w:val="nil"/>
              <w:bottom w:val="single" w:sz="4" w:space="0" w:color="000000"/>
              <w:right w:val="single" w:sz="4" w:space="0" w:color="000000"/>
            </w:tcBorders>
            <w:shd w:val="clear" w:color="auto" w:fill="auto"/>
            <w:vAlign w:val="bottom"/>
          </w:tcPr>
          <w:p w14:paraId="1F1A951E" w14:textId="77777777" w:rsidR="003A3BCA" w:rsidRDefault="008276B6">
            <w:pPr>
              <w:jc w:val="right"/>
              <w:rPr>
                <w:rFonts w:ascii="Calibri" w:eastAsia="Calibri" w:hAnsi="Calibri" w:cs="Calibri"/>
                <w:color w:val="000000"/>
              </w:rPr>
            </w:pPr>
            <w:r>
              <w:rPr>
                <w:rFonts w:ascii="Calibri" w:eastAsia="Calibri" w:hAnsi="Calibri" w:cs="Calibri"/>
                <w:color w:val="000000"/>
              </w:rPr>
              <w:t>2</w:t>
            </w:r>
          </w:p>
        </w:tc>
      </w:tr>
    </w:tbl>
    <w:p w14:paraId="3707C021" w14:textId="77777777" w:rsidR="003A3BCA" w:rsidRDefault="008276B6">
      <w:pPr>
        <w:pBdr>
          <w:top w:val="nil"/>
          <w:left w:val="nil"/>
          <w:bottom w:val="nil"/>
          <w:right w:val="nil"/>
          <w:between w:val="nil"/>
        </w:pBdr>
        <w:spacing w:after="200"/>
        <w:rPr>
          <w:rFonts w:ascii="Calibri" w:eastAsia="Calibri" w:hAnsi="Calibri" w:cs="Calibri"/>
          <w:i/>
          <w:color w:val="44546A"/>
          <w:sz w:val="18"/>
          <w:szCs w:val="18"/>
        </w:rPr>
      </w:pPr>
      <w:r>
        <w:rPr>
          <w:rFonts w:ascii="Calibri" w:eastAsia="Calibri" w:hAnsi="Calibri" w:cs="Calibri"/>
          <w:i/>
          <w:color w:val="44546A"/>
          <w:sz w:val="18"/>
          <w:szCs w:val="18"/>
        </w:rPr>
        <w:t>Table 19. Breakdown of infrastructure as key success factors based on several variables.</w:t>
      </w:r>
    </w:p>
    <w:p w14:paraId="3F629412" w14:textId="77777777" w:rsidR="003A3BCA" w:rsidRDefault="008276B6" w:rsidP="007D0519">
      <w:pPr>
        <w:spacing w:line="360" w:lineRule="auto"/>
        <w:jc w:val="both"/>
      </w:pPr>
      <w:r>
        <w:t xml:space="preserve">The infrastructure as a key success factor was evaluated based on articles and reviews from Odhiambo (2022); McNulty (2022) and </w:t>
      </w:r>
      <w:proofErr w:type="spellStart"/>
      <w:r>
        <w:t>Viquez</w:t>
      </w:r>
      <w:proofErr w:type="spellEnd"/>
      <w:r>
        <w:t xml:space="preserve"> (2022). Each category weighs 33% and for a club to receive the highest grade, it needs to rank within the top 5 of the EPL for each category.</w:t>
      </w:r>
    </w:p>
    <w:p w14:paraId="43D74776" w14:textId="77777777" w:rsidR="003A3BCA" w:rsidRDefault="003A3BCA"/>
    <w:tbl>
      <w:tblPr>
        <w:tblStyle w:val="af2"/>
        <w:tblW w:w="9795" w:type="dxa"/>
        <w:tblLayout w:type="fixed"/>
        <w:tblLook w:val="0400" w:firstRow="0" w:lastRow="0" w:firstColumn="0" w:lastColumn="0" w:noHBand="0" w:noVBand="1"/>
      </w:tblPr>
      <w:tblGrid>
        <w:gridCol w:w="2046"/>
        <w:gridCol w:w="2199"/>
        <w:gridCol w:w="2148"/>
        <w:gridCol w:w="3402"/>
      </w:tblGrid>
      <w:tr w:rsidR="003A3BCA" w14:paraId="661D80F0" w14:textId="77777777">
        <w:trPr>
          <w:trHeight w:val="350"/>
        </w:trPr>
        <w:tc>
          <w:tcPr>
            <w:tcW w:w="204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4DD5A4D" w14:textId="77777777" w:rsidR="003A3BCA" w:rsidRDefault="008276B6">
            <w:pPr>
              <w:rPr>
                <w:rFonts w:ascii="Calibri" w:eastAsia="Calibri" w:hAnsi="Calibri" w:cs="Calibri"/>
                <w:color w:val="000000"/>
              </w:rPr>
            </w:pPr>
            <w:r>
              <w:rPr>
                <w:rFonts w:ascii="Calibri" w:eastAsia="Calibri" w:hAnsi="Calibri" w:cs="Calibri"/>
                <w:color w:val="000000"/>
              </w:rPr>
              <w:t>Club</w:t>
            </w:r>
          </w:p>
        </w:tc>
        <w:tc>
          <w:tcPr>
            <w:tcW w:w="2199" w:type="dxa"/>
            <w:tcBorders>
              <w:top w:val="single" w:sz="4" w:space="0" w:color="000000"/>
              <w:left w:val="nil"/>
              <w:bottom w:val="single" w:sz="4" w:space="0" w:color="000000"/>
              <w:right w:val="single" w:sz="4" w:space="0" w:color="000000"/>
            </w:tcBorders>
            <w:shd w:val="clear" w:color="auto" w:fill="auto"/>
            <w:vAlign w:val="bottom"/>
          </w:tcPr>
          <w:p w14:paraId="2ADE0D0C" w14:textId="77777777" w:rsidR="003A3BCA" w:rsidRDefault="008276B6">
            <w:pPr>
              <w:rPr>
                <w:rFonts w:ascii="Calibri" w:eastAsia="Calibri" w:hAnsi="Calibri" w:cs="Calibri"/>
                <w:color w:val="000000"/>
              </w:rPr>
            </w:pPr>
            <w:r>
              <w:rPr>
                <w:rFonts w:ascii="Calibri" w:eastAsia="Calibri" w:hAnsi="Calibri" w:cs="Calibri"/>
                <w:color w:val="000000"/>
              </w:rPr>
              <w:t>Youth Ranking 1</w:t>
            </w:r>
          </w:p>
        </w:tc>
        <w:tc>
          <w:tcPr>
            <w:tcW w:w="2148" w:type="dxa"/>
            <w:tcBorders>
              <w:top w:val="single" w:sz="4" w:space="0" w:color="000000"/>
              <w:left w:val="nil"/>
              <w:bottom w:val="single" w:sz="4" w:space="0" w:color="000000"/>
              <w:right w:val="single" w:sz="4" w:space="0" w:color="000000"/>
            </w:tcBorders>
            <w:shd w:val="clear" w:color="auto" w:fill="auto"/>
            <w:vAlign w:val="bottom"/>
          </w:tcPr>
          <w:p w14:paraId="23A74D5E" w14:textId="77777777" w:rsidR="003A3BCA" w:rsidRDefault="008276B6">
            <w:pPr>
              <w:rPr>
                <w:rFonts w:ascii="Calibri" w:eastAsia="Calibri" w:hAnsi="Calibri" w:cs="Calibri"/>
                <w:color w:val="000000"/>
              </w:rPr>
            </w:pPr>
            <w:r>
              <w:rPr>
                <w:rFonts w:ascii="Calibri" w:eastAsia="Calibri" w:hAnsi="Calibri" w:cs="Calibri"/>
                <w:color w:val="000000"/>
              </w:rPr>
              <w:t>Youth Ranking 2</w:t>
            </w:r>
          </w:p>
        </w:tc>
        <w:tc>
          <w:tcPr>
            <w:tcW w:w="3402" w:type="dxa"/>
            <w:tcBorders>
              <w:top w:val="single" w:sz="4" w:space="0" w:color="000000"/>
              <w:left w:val="nil"/>
              <w:bottom w:val="single" w:sz="4" w:space="0" w:color="000000"/>
              <w:right w:val="single" w:sz="4" w:space="0" w:color="000000"/>
            </w:tcBorders>
            <w:shd w:val="clear" w:color="auto" w:fill="auto"/>
            <w:vAlign w:val="bottom"/>
          </w:tcPr>
          <w:p w14:paraId="644FD7FA" w14:textId="77777777" w:rsidR="003A3BCA" w:rsidRDefault="008276B6">
            <w:pPr>
              <w:rPr>
                <w:rFonts w:ascii="Calibri" w:eastAsia="Calibri" w:hAnsi="Calibri" w:cs="Calibri"/>
                <w:color w:val="000000"/>
              </w:rPr>
            </w:pPr>
            <w:r>
              <w:rPr>
                <w:rFonts w:ascii="Calibri" w:eastAsia="Calibri" w:hAnsi="Calibri" w:cs="Calibri"/>
                <w:color w:val="000000"/>
              </w:rPr>
              <w:t>Total Youth Development</w:t>
            </w:r>
          </w:p>
        </w:tc>
      </w:tr>
      <w:tr w:rsidR="003A3BCA" w14:paraId="68F8F5E3" w14:textId="77777777">
        <w:trPr>
          <w:trHeight w:val="350"/>
        </w:trPr>
        <w:tc>
          <w:tcPr>
            <w:tcW w:w="2046" w:type="dxa"/>
            <w:tcBorders>
              <w:top w:val="nil"/>
              <w:left w:val="single" w:sz="4" w:space="0" w:color="000000"/>
              <w:bottom w:val="single" w:sz="4" w:space="0" w:color="000000"/>
              <w:right w:val="single" w:sz="4" w:space="0" w:color="000000"/>
            </w:tcBorders>
            <w:shd w:val="clear" w:color="auto" w:fill="auto"/>
            <w:vAlign w:val="bottom"/>
          </w:tcPr>
          <w:p w14:paraId="14E85F57" w14:textId="77777777" w:rsidR="003A3BCA" w:rsidRDefault="008276B6">
            <w:pPr>
              <w:rPr>
                <w:rFonts w:ascii="Calibri" w:eastAsia="Calibri" w:hAnsi="Calibri" w:cs="Calibri"/>
                <w:color w:val="000000"/>
              </w:rPr>
            </w:pPr>
            <w:r>
              <w:rPr>
                <w:rFonts w:ascii="Calibri" w:eastAsia="Calibri" w:hAnsi="Calibri" w:cs="Calibri"/>
                <w:color w:val="000000"/>
              </w:rPr>
              <w:t>Man Utd</w:t>
            </w:r>
          </w:p>
        </w:tc>
        <w:tc>
          <w:tcPr>
            <w:tcW w:w="2199" w:type="dxa"/>
            <w:tcBorders>
              <w:top w:val="nil"/>
              <w:left w:val="nil"/>
              <w:bottom w:val="single" w:sz="4" w:space="0" w:color="000000"/>
              <w:right w:val="single" w:sz="4" w:space="0" w:color="000000"/>
            </w:tcBorders>
            <w:shd w:val="clear" w:color="auto" w:fill="auto"/>
            <w:vAlign w:val="bottom"/>
          </w:tcPr>
          <w:p w14:paraId="319E5284" w14:textId="77777777" w:rsidR="003A3BCA" w:rsidRDefault="008276B6">
            <w:pPr>
              <w:jc w:val="right"/>
              <w:rPr>
                <w:rFonts w:ascii="Calibri" w:eastAsia="Calibri" w:hAnsi="Calibri" w:cs="Calibri"/>
                <w:color w:val="000000"/>
              </w:rPr>
            </w:pPr>
            <w:r>
              <w:rPr>
                <w:rFonts w:ascii="Calibri" w:eastAsia="Calibri" w:hAnsi="Calibri" w:cs="Calibri"/>
                <w:color w:val="000000"/>
              </w:rPr>
              <w:t>3</w:t>
            </w:r>
          </w:p>
        </w:tc>
        <w:tc>
          <w:tcPr>
            <w:tcW w:w="2148" w:type="dxa"/>
            <w:tcBorders>
              <w:top w:val="nil"/>
              <w:left w:val="nil"/>
              <w:bottom w:val="single" w:sz="4" w:space="0" w:color="000000"/>
              <w:right w:val="single" w:sz="4" w:space="0" w:color="000000"/>
            </w:tcBorders>
            <w:shd w:val="clear" w:color="auto" w:fill="auto"/>
            <w:vAlign w:val="bottom"/>
          </w:tcPr>
          <w:p w14:paraId="21D0577D" w14:textId="77777777" w:rsidR="003A3BCA" w:rsidRDefault="008276B6">
            <w:pPr>
              <w:jc w:val="right"/>
              <w:rPr>
                <w:rFonts w:ascii="Calibri" w:eastAsia="Calibri" w:hAnsi="Calibri" w:cs="Calibri"/>
                <w:color w:val="000000"/>
              </w:rPr>
            </w:pPr>
            <w:r>
              <w:rPr>
                <w:rFonts w:ascii="Calibri" w:eastAsia="Calibri" w:hAnsi="Calibri" w:cs="Calibri"/>
                <w:color w:val="000000"/>
              </w:rPr>
              <w:t>3</w:t>
            </w:r>
          </w:p>
        </w:tc>
        <w:tc>
          <w:tcPr>
            <w:tcW w:w="3402" w:type="dxa"/>
            <w:tcBorders>
              <w:top w:val="nil"/>
              <w:left w:val="nil"/>
              <w:bottom w:val="single" w:sz="4" w:space="0" w:color="000000"/>
              <w:right w:val="single" w:sz="4" w:space="0" w:color="000000"/>
            </w:tcBorders>
            <w:shd w:val="clear" w:color="auto" w:fill="auto"/>
            <w:vAlign w:val="bottom"/>
          </w:tcPr>
          <w:p w14:paraId="50B91F77" w14:textId="77777777" w:rsidR="003A3BCA" w:rsidRDefault="008276B6">
            <w:pPr>
              <w:jc w:val="right"/>
              <w:rPr>
                <w:rFonts w:ascii="Calibri" w:eastAsia="Calibri" w:hAnsi="Calibri" w:cs="Calibri"/>
                <w:color w:val="000000"/>
              </w:rPr>
            </w:pPr>
            <w:r>
              <w:rPr>
                <w:rFonts w:ascii="Calibri" w:eastAsia="Calibri" w:hAnsi="Calibri" w:cs="Calibri"/>
                <w:color w:val="000000"/>
              </w:rPr>
              <w:t>3</w:t>
            </w:r>
          </w:p>
        </w:tc>
      </w:tr>
      <w:tr w:rsidR="003A3BCA" w14:paraId="64377BC4" w14:textId="77777777">
        <w:trPr>
          <w:trHeight w:val="350"/>
        </w:trPr>
        <w:tc>
          <w:tcPr>
            <w:tcW w:w="2046" w:type="dxa"/>
            <w:tcBorders>
              <w:top w:val="nil"/>
              <w:left w:val="single" w:sz="4" w:space="0" w:color="000000"/>
              <w:bottom w:val="single" w:sz="4" w:space="0" w:color="000000"/>
              <w:right w:val="single" w:sz="4" w:space="0" w:color="000000"/>
            </w:tcBorders>
            <w:shd w:val="clear" w:color="auto" w:fill="auto"/>
            <w:vAlign w:val="bottom"/>
          </w:tcPr>
          <w:p w14:paraId="31FE079E" w14:textId="77777777" w:rsidR="003A3BCA" w:rsidRDefault="008276B6">
            <w:pPr>
              <w:rPr>
                <w:rFonts w:ascii="Calibri" w:eastAsia="Calibri" w:hAnsi="Calibri" w:cs="Calibri"/>
                <w:color w:val="000000"/>
              </w:rPr>
            </w:pPr>
            <w:r>
              <w:rPr>
                <w:rFonts w:ascii="Calibri" w:eastAsia="Calibri" w:hAnsi="Calibri" w:cs="Calibri"/>
                <w:color w:val="000000"/>
              </w:rPr>
              <w:t>Liverpool</w:t>
            </w:r>
          </w:p>
        </w:tc>
        <w:tc>
          <w:tcPr>
            <w:tcW w:w="2199" w:type="dxa"/>
            <w:tcBorders>
              <w:top w:val="nil"/>
              <w:left w:val="nil"/>
              <w:bottom w:val="single" w:sz="4" w:space="0" w:color="000000"/>
              <w:right w:val="single" w:sz="4" w:space="0" w:color="000000"/>
            </w:tcBorders>
            <w:shd w:val="clear" w:color="auto" w:fill="auto"/>
            <w:vAlign w:val="bottom"/>
          </w:tcPr>
          <w:p w14:paraId="7976FF6D" w14:textId="77777777" w:rsidR="003A3BCA" w:rsidRDefault="008276B6">
            <w:pPr>
              <w:jc w:val="right"/>
              <w:rPr>
                <w:rFonts w:ascii="Calibri" w:eastAsia="Calibri" w:hAnsi="Calibri" w:cs="Calibri"/>
                <w:color w:val="000000"/>
              </w:rPr>
            </w:pPr>
            <w:r>
              <w:rPr>
                <w:rFonts w:ascii="Calibri" w:eastAsia="Calibri" w:hAnsi="Calibri" w:cs="Calibri"/>
                <w:color w:val="000000"/>
              </w:rPr>
              <w:t>2</w:t>
            </w:r>
          </w:p>
        </w:tc>
        <w:tc>
          <w:tcPr>
            <w:tcW w:w="2148" w:type="dxa"/>
            <w:tcBorders>
              <w:top w:val="nil"/>
              <w:left w:val="nil"/>
              <w:bottom w:val="single" w:sz="4" w:space="0" w:color="000000"/>
              <w:right w:val="single" w:sz="4" w:space="0" w:color="000000"/>
            </w:tcBorders>
            <w:shd w:val="clear" w:color="auto" w:fill="auto"/>
            <w:vAlign w:val="bottom"/>
          </w:tcPr>
          <w:p w14:paraId="6532004A" w14:textId="77777777" w:rsidR="003A3BCA" w:rsidRDefault="008276B6">
            <w:pPr>
              <w:jc w:val="right"/>
              <w:rPr>
                <w:rFonts w:ascii="Calibri" w:eastAsia="Calibri" w:hAnsi="Calibri" w:cs="Calibri"/>
                <w:color w:val="000000"/>
              </w:rPr>
            </w:pPr>
            <w:r>
              <w:rPr>
                <w:rFonts w:ascii="Calibri" w:eastAsia="Calibri" w:hAnsi="Calibri" w:cs="Calibri"/>
                <w:color w:val="000000"/>
              </w:rPr>
              <w:t>3</w:t>
            </w:r>
          </w:p>
        </w:tc>
        <w:tc>
          <w:tcPr>
            <w:tcW w:w="3402" w:type="dxa"/>
            <w:tcBorders>
              <w:top w:val="nil"/>
              <w:left w:val="nil"/>
              <w:bottom w:val="single" w:sz="4" w:space="0" w:color="000000"/>
              <w:right w:val="single" w:sz="4" w:space="0" w:color="000000"/>
            </w:tcBorders>
            <w:shd w:val="clear" w:color="auto" w:fill="auto"/>
            <w:vAlign w:val="bottom"/>
          </w:tcPr>
          <w:p w14:paraId="4A421549" w14:textId="77777777" w:rsidR="003A3BCA" w:rsidRDefault="008276B6">
            <w:pPr>
              <w:jc w:val="right"/>
              <w:rPr>
                <w:rFonts w:ascii="Calibri" w:eastAsia="Calibri" w:hAnsi="Calibri" w:cs="Calibri"/>
                <w:color w:val="000000"/>
              </w:rPr>
            </w:pPr>
            <w:r>
              <w:rPr>
                <w:rFonts w:ascii="Calibri" w:eastAsia="Calibri" w:hAnsi="Calibri" w:cs="Calibri"/>
                <w:color w:val="000000"/>
              </w:rPr>
              <w:t>2,5</w:t>
            </w:r>
          </w:p>
        </w:tc>
      </w:tr>
      <w:tr w:rsidR="003A3BCA" w14:paraId="1B8525B1" w14:textId="77777777">
        <w:trPr>
          <w:trHeight w:val="350"/>
        </w:trPr>
        <w:tc>
          <w:tcPr>
            <w:tcW w:w="2046" w:type="dxa"/>
            <w:tcBorders>
              <w:top w:val="nil"/>
              <w:left w:val="single" w:sz="4" w:space="0" w:color="000000"/>
              <w:bottom w:val="single" w:sz="4" w:space="0" w:color="000000"/>
              <w:right w:val="single" w:sz="4" w:space="0" w:color="000000"/>
            </w:tcBorders>
            <w:shd w:val="clear" w:color="auto" w:fill="auto"/>
            <w:vAlign w:val="bottom"/>
          </w:tcPr>
          <w:p w14:paraId="3F93FDC6" w14:textId="77777777" w:rsidR="003A3BCA" w:rsidRDefault="008276B6">
            <w:pPr>
              <w:rPr>
                <w:rFonts w:ascii="Calibri" w:eastAsia="Calibri" w:hAnsi="Calibri" w:cs="Calibri"/>
                <w:color w:val="000000"/>
              </w:rPr>
            </w:pPr>
            <w:r>
              <w:rPr>
                <w:rFonts w:ascii="Calibri" w:eastAsia="Calibri" w:hAnsi="Calibri" w:cs="Calibri"/>
                <w:color w:val="000000"/>
              </w:rPr>
              <w:t>Man City</w:t>
            </w:r>
          </w:p>
        </w:tc>
        <w:tc>
          <w:tcPr>
            <w:tcW w:w="2199" w:type="dxa"/>
            <w:tcBorders>
              <w:top w:val="nil"/>
              <w:left w:val="nil"/>
              <w:bottom w:val="single" w:sz="4" w:space="0" w:color="000000"/>
              <w:right w:val="single" w:sz="4" w:space="0" w:color="000000"/>
            </w:tcBorders>
            <w:shd w:val="clear" w:color="auto" w:fill="auto"/>
            <w:vAlign w:val="bottom"/>
          </w:tcPr>
          <w:p w14:paraId="2B7B5A2A" w14:textId="77777777" w:rsidR="003A3BCA" w:rsidRDefault="008276B6">
            <w:pPr>
              <w:jc w:val="right"/>
              <w:rPr>
                <w:rFonts w:ascii="Calibri" w:eastAsia="Calibri" w:hAnsi="Calibri" w:cs="Calibri"/>
                <w:color w:val="000000"/>
              </w:rPr>
            </w:pPr>
            <w:r>
              <w:rPr>
                <w:rFonts w:ascii="Calibri" w:eastAsia="Calibri" w:hAnsi="Calibri" w:cs="Calibri"/>
                <w:color w:val="000000"/>
              </w:rPr>
              <w:t>3</w:t>
            </w:r>
          </w:p>
        </w:tc>
        <w:tc>
          <w:tcPr>
            <w:tcW w:w="2148" w:type="dxa"/>
            <w:tcBorders>
              <w:top w:val="nil"/>
              <w:left w:val="nil"/>
              <w:bottom w:val="single" w:sz="4" w:space="0" w:color="000000"/>
              <w:right w:val="single" w:sz="4" w:space="0" w:color="000000"/>
            </w:tcBorders>
            <w:shd w:val="clear" w:color="auto" w:fill="auto"/>
            <w:vAlign w:val="bottom"/>
          </w:tcPr>
          <w:p w14:paraId="363ED0CE" w14:textId="77777777" w:rsidR="003A3BCA" w:rsidRDefault="008276B6">
            <w:pPr>
              <w:jc w:val="right"/>
              <w:rPr>
                <w:rFonts w:ascii="Calibri" w:eastAsia="Calibri" w:hAnsi="Calibri" w:cs="Calibri"/>
                <w:color w:val="000000"/>
              </w:rPr>
            </w:pPr>
            <w:r>
              <w:rPr>
                <w:rFonts w:ascii="Calibri" w:eastAsia="Calibri" w:hAnsi="Calibri" w:cs="Calibri"/>
                <w:color w:val="000000"/>
              </w:rPr>
              <w:t>3</w:t>
            </w:r>
          </w:p>
        </w:tc>
        <w:tc>
          <w:tcPr>
            <w:tcW w:w="3402" w:type="dxa"/>
            <w:tcBorders>
              <w:top w:val="nil"/>
              <w:left w:val="nil"/>
              <w:bottom w:val="single" w:sz="4" w:space="0" w:color="000000"/>
              <w:right w:val="single" w:sz="4" w:space="0" w:color="000000"/>
            </w:tcBorders>
            <w:shd w:val="clear" w:color="auto" w:fill="auto"/>
            <w:vAlign w:val="bottom"/>
          </w:tcPr>
          <w:p w14:paraId="22DD369F" w14:textId="77777777" w:rsidR="003A3BCA" w:rsidRDefault="008276B6">
            <w:pPr>
              <w:jc w:val="right"/>
              <w:rPr>
                <w:rFonts w:ascii="Calibri" w:eastAsia="Calibri" w:hAnsi="Calibri" w:cs="Calibri"/>
                <w:color w:val="000000"/>
              </w:rPr>
            </w:pPr>
            <w:r>
              <w:rPr>
                <w:rFonts w:ascii="Calibri" w:eastAsia="Calibri" w:hAnsi="Calibri" w:cs="Calibri"/>
                <w:color w:val="000000"/>
              </w:rPr>
              <w:t>3</w:t>
            </w:r>
          </w:p>
        </w:tc>
      </w:tr>
      <w:tr w:rsidR="003A3BCA" w14:paraId="1DD3CBEB" w14:textId="77777777">
        <w:trPr>
          <w:trHeight w:val="350"/>
        </w:trPr>
        <w:tc>
          <w:tcPr>
            <w:tcW w:w="2046" w:type="dxa"/>
            <w:tcBorders>
              <w:top w:val="nil"/>
              <w:left w:val="single" w:sz="4" w:space="0" w:color="000000"/>
              <w:bottom w:val="single" w:sz="4" w:space="0" w:color="000000"/>
              <w:right w:val="single" w:sz="4" w:space="0" w:color="000000"/>
            </w:tcBorders>
            <w:shd w:val="clear" w:color="auto" w:fill="auto"/>
            <w:vAlign w:val="bottom"/>
          </w:tcPr>
          <w:p w14:paraId="5E03A60E" w14:textId="77777777" w:rsidR="003A3BCA" w:rsidRDefault="008276B6">
            <w:pPr>
              <w:rPr>
                <w:rFonts w:ascii="Calibri" w:eastAsia="Calibri" w:hAnsi="Calibri" w:cs="Calibri"/>
                <w:color w:val="000000"/>
              </w:rPr>
            </w:pPr>
            <w:r>
              <w:rPr>
                <w:rFonts w:ascii="Calibri" w:eastAsia="Calibri" w:hAnsi="Calibri" w:cs="Calibri"/>
                <w:color w:val="000000"/>
              </w:rPr>
              <w:t>Arsenal</w:t>
            </w:r>
          </w:p>
        </w:tc>
        <w:tc>
          <w:tcPr>
            <w:tcW w:w="2199" w:type="dxa"/>
            <w:tcBorders>
              <w:top w:val="nil"/>
              <w:left w:val="nil"/>
              <w:bottom w:val="single" w:sz="4" w:space="0" w:color="000000"/>
              <w:right w:val="single" w:sz="4" w:space="0" w:color="000000"/>
            </w:tcBorders>
            <w:shd w:val="clear" w:color="auto" w:fill="auto"/>
            <w:vAlign w:val="bottom"/>
          </w:tcPr>
          <w:p w14:paraId="4D064E1D" w14:textId="77777777" w:rsidR="003A3BCA" w:rsidRDefault="008276B6">
            <w:pPr>
              <w:jc w:val="right"/>
              <w:rPr>
                <w:rFonts w:ascii="Calibri" w:eastAsia="Calibri" w:hAnsi="Calibri" w:cs="Calibri"/>
                <w:color w:val="000000"/>
              </w:rPr>
            </w:pPr>
            <w:r>
              <w:rPr>
                <w:rFonts w:ascii="Calibri" w:eastAsia="Calibri" w:hAnsi="Calibri" w:cs="Calibri"/>
                <w:color w:val="000000"/>
              </w:rPr>
              <w:t>3</w:t>
            </w:r>
          </w:p>
        </w:tc>
        <w:tc>
          <w:tcPr>
            <w:tcW w:w="2148" w:type="dxa"/>
            <w:tcBorders>
              <w:top w:val="nil"/>
              <w:left w:val="nil"/>
              <w:bottom w:val="single" w:sz="4" w:space="0" w:color="000000"/>
              <w:right w:val="single" w:sz="4" w:space="0" w:color="000000"/>
            </w:tcBorders>
            <w:shd w:val="clear" w:color="auto" w:fill="auto"/>
            <w:vAlign w:val="bottom"/>
          </w:tcPr>
          <w:p w14:paraId="05EF7F03" w14:textId="77777777" w:rsidR="003A3BCA" w:rsidRDefault="008276B6">
            <w:pPr>
              <w:jc w:val="right"/>
              <w:rPr>
                <w:rFonts w:ascii="Calibri" w:eastAsia="Calibri" w:hAnsi="Calibri" w:cs="Calibri"/>
                <w:color w:val="000000"/>
              </w:rPr>
            </w:pPr>
            <w:r>
              <w:rPr>
                <w:rFonts w:ascii="Calibri" w:eastAsia="Calibri" w:hAnsi="Calibri" w:cs="Calibri"/>
                <w:color w:val="000000"/>
              </w:rPr>
              <w:t>3</w:t>
            </w:r>
          </w:p>
        </w:tc>
        <w:tc>
          <w:tcPr>
            <w:tcW w:w="3402" w:type="dxa"/>
            <w:tcBorders>
              <w:top w:val="nil"/>
              <w:left w:val="nil"/>
              <w:bottom w:val="single" w:sz="4" w:space="0" w:color="000000"/>
              <w:right w:val="single" w:sz="4" w:space="0" w:color="000000"/>
            </w:tcBorders>
            <w:shd w:val="clear" w:color="auto" w:fill="auto"/>
            <w:vAlign w:val="bottom"/>
          </w:tcPr>
          <w:p w14:paraId="4FE84CB6" w14:textId="77777777" w:rsidR="003A3BCA" w:rsidRDefault="008276B6">
            <w:pPr>
              <w:jc w:val="right"/>
              <w:rPr>
                <w:rFonts w:ascii="Calibri" w:eastAsia="Calibri" w:hAnsi="Calibri" w:cs="Calibri"/>
                <w:color w:val="000000"/>
              </w:rPr>
            </w:pPr>
            <w:r>
              <w:rPr>
                <w:rFonts w:ascii="Calibri" w:eastAsia="Calibri" w:hAnsi="Calibri" w:cs="Calibri"/>
                <w:color w:val="000000"/>
              </w:rPr>
              <w:t>3</w:t>
            </w:r>
          </w:p>
        </w:tc>
      </w:tr>
      <w:tr w:rsidR="003A3BCA" w14:paraId="2B048DE5" w14:textId="77777777">
        <w:trPr>
          <w:trHeight w:val="350"/>
        </w:trPr>
        <w:tc>
          <w:tcPr>
            <w:tcW w:w="2046" w:type="dxa"/>
            <w:tcBorders>
              <w:top w:val="nil"/>
              <w:left w:val="single" w:sz="4" w:space="0" w:color="000000"/>
              <w:bottom w:val="single" w:sz="4" w:space="0" w:color="000000"/>
              <w:right w:val="single" w:sz="4" w:space="0" w:color="000000"/>
            </w:tcBorders>
            <w:shd w:val="clear" w:color="auto" w:fill="auto"/>
            <w:vAlign w:val="bottom"/>
          </w:tcPr>
          <w:p w14:paraId="6142BC21" w14:textId="77777777" w:rsidR="003A3BCA" w:rsidRDefault="008276B6">
            <w:pPr>
              <w:rPr>
                <w:rFonts w:ascii="Calibri" w:eastAsia="Calibri" w:hAnsi="Calibri" w:cs="Calibri"/>
                <w:color w:val="000000"/>
              </w:rPr>
            </w:pPr>
            <w:r>
              <w:rPr>
                <w:rFonts w:ascii="Calibri" w:eastAsia="Calibri" w:hAnsi="Calibri" w:cs="Calibri"/>
                <w:color w:val="000000"/>
              </w:rPr>
              <w:t>Spurs</w:t>
            </w:r>
          </w:p>
        </w:tc>
        <w:tc>
          <w:tcPr>
            <w:tcW w:w="2199" w:type="dxa"/>
            <w:tcBorders>
              <w:top w:val="nil"/>
              <w:left w:val="nil"/>
              <w:bottom w:val="single" w:sz="4" w:space="0" w:color="000000"/>
              <w:right w:val="single" w:sz="4" w:space="0" w:color="000000"/>
            </w:tcBorders>
            <w:shd w:val="clear" w:color="auto" w:fill="auto"/>
            <w:vAlign w:val="bottom"/>
          </w:tcPr>
          <w:p w14:paraId="58381BF2" w14:textId="77777777" w:rsidR="003A3BCA" w:rsidRDefault="008276B6">
            <w:pPr>
              <w:jc w:val="right"/>
              <w:rPr>
                <w:rFonts w:ascii="Calibri" w:eastAsia="Calibri" w:hAnsi="Calibri" w:cs="Calibri"/>
                <w:color w:val="000000"/>
              </w:rPr>
            </w:pPr>
            <w:r>
              <w:rPr>
                <w:rFonts w:ascii="Calibri" w:eastAsia="Calibri" w:hAnsi="Calibri" w:cs="Calibri"/>
                <w:color w:val="000000"/>
              </w:rPr>
              <w:t>3</w:t>
            </w:r>
          </w:p>
        </w:tc>
        <w:tc>
          <w:tcPr>
            <w:tcW w:w="2148" w:type="dxa"/>
            <w:tcBorders>
              <w:top w:val="nil"/>
              <w:left w:val="nil"/>
              <w:bottom w:val="single" w:sz="4" w:space="0" w:color="000000"/>
              <w:right w:val="single" w:sz="4" w:space="0" w:color="000000"/>
            </w:tcBorders>
            <w:shd w:val="clear" w:color="auto" w:fill="auto"/>
            <w:vAlign w:val="bottom"/>
          </w:tcPr>
          <w:p w14:paraId="7B950A92" w14:textId="77777777" w:rsidR="003A3BCA" w:rsidRDefault="008276B6">
            <w:pPr>
              <w:jc w:val="right"/>
              <w:rPr>
                <w:rFonts w:ascii="Calibri" w:eastAsia="Calibri" w:hAnsi="Calibri" w:cs="Calibri"/>
                <w:color w:val="000000"/>
              </w:rPr>
            </w:pPr>
            <w:r>
              <w:rPr>
                <w:rFonts w:ascii="Calibri" w:eastAsia="Calibri" w:hAnsi="Calibri" w:cs="Calibri"/>
                <w:color w:val="000000"/>
              </w:rPr>
              <w:t>2</w:t>
            </w:r>
          </w:p>
        </w:tc>
        <w:tc>
          <w:tcPr>
            <w:tcW w:w="3402" w:type="dxa"/>
            <w:tcBorders>
              <w:top w:val="nil"/>
              <w:left w:val="nil"/>
              <w:bottom w:val="single" w:sz="4" w:space="0" w:color="000000"/>
              <w:right w:val="single" w:sz="4" w:space="0" w:color="000000"/>
            </w:tcBorders>
            <w:shd w:val="clear" w:color="auto" w:fill="auto"/>
            <w:vAlign w:val="bottom"/>
          </w:tcPr>
          <w:p w14:paraId="1FC38651" w14:textId="77777777" w:rsidR="003A3BCA" w:rsidRDefault="008276B6">
            <w:pPr>
              <w:jc w:val="right"/>
              <w:rPr>
                <w:rFonts w:ascii="Calibri" w:eastAsia="Calibri" w:hAnsi="Calibri" w:cs="Calibri"/>
                <w:color w:val="000000"/>
              </w:rPr>
            </w:pPr>
            <w:r>
              <w:rPr>
                <w:rFonts w:ascii="Calibri" w:eastAsia="Calibri" w:hAnsi="Calibri" w:cs="Calibri"/>
                <w:color w:val="000000"/>
              </w:rPr>
              <w:t>2,5</w:t>
            </w:r>
          </w:p>
        </w:tc>
      </w:tr>
      <w:tr w:rsidR="003A3BCA" w14:paraId="6E15FFA1" w14:textId="77777777">
        <w:trPr>
          <w:trHeight w:val="350"/>
        </w:trPr>
        <w:tc>
          <w:tcPr>
            <w:tcW w:w="2046" w:type="dxa"/>
            <w:tcBorders>
              <w:top w:val="nil"/>
              <w:left w:val="single" w:sz="4" w:space="0" w:color="000000"/>
              <w:bottom w:val="single" w:sz="4" w:space="0" w:color="000000"/>
              <w:right w:val="single" w:sz="4" w:space="0" w:color="000000"/>
            </w:tcBorders>
            <w:shd w:val="clear" w:color="auto" w:fill="auto"/>
            <w:vAlign w:val="bottom"/>
          </w:tcPr>
          <w:p w14:paraId="68C45412" w14:textId="77777777" w:rsidR="003A3BCA" w:rsidRDefault="008276B6">
            <w:pPr>
              <w:rPr>
                <w:rFonts w:ascii="Calibri" w:eastAsia="Calibri" w:hAnsi="Calibri" w:cs="Calibri"/>
                <w:color w:val="000000"/>
              </w:rPr>
            </w:pPr>
            <w:r>
              <w:rPr>
                <w:rFonts w:ascii="Calibri" w:eastAsia="Calibri" w:hAnsi="Calibri" w:cs="Calibri"/>
                <w:color w:val="000000"/>
              </w:rPr>
              <w:t>Chelsea</w:t>
            </w:r>
          </w:p>
        </w:tc>
        <w:tc>
          <w:tcPr>
            <w:tcW w:w="2199" w:type="dxa"/>
            <w:tcBorders>
              <w:top w:val="nil"/>
              <w:left w:val="nil"/>
              <w:bottom w:val="single" w:sz="4" w:space="0" w:color="000000"/>
              <w:right w:val="single" w:sz="4" w:space="0" w:color="000000"/>
            </w:tcBorders>
            <w:shd w:val="clear" w:color="auto" w:fill="auto"/>
            <w:vAlign w:val="bottom"/>
          </w:tcPr>
          <w:p w14:paraId="4EDA1420" w14:textId="77777777" w:rsidR="003A3BCA" w:rsidRDefault="008276B6">
            <w:pPr>
              <w:jc w:val="right"/>
              <w:rPr>
                <w:rFonts w:ascii="Calibri" w:eastAsia="Calibri" w:hAnsi="Calibri" w:cs="Calibri"/>
                <w:color w:val="000000"/>
              </w:rPr>
            </w:pPr>
            <w:r>
              <w:rPr>
                <w:rFonts w:ascii="Calibri" w:eastAsia="Calibri" w:hAnsi="Calibri" w:cs="Calibri"/>
                <w:color w:val="000000"/>
              </w:rPr>
              <w:t>3</w:t>
            </w:r>
          </w:p>
        </w:tc>
        <w:tc>
          <w:tcPr>
            <w:tcW w:w="2148" w:type="dxa"/>
            <w:tcBorders>
              <w:top w:val="nil"/>
              <w:left w:val="nil"/>
              <w:bottom w:val="single" w:sz="4" w:space="0" w:color="000000"/>
              <w:right w:val="single" w:sz="4" w:space="0" w:color="000000"/>
            </w:tcBorders>
            <w:shd w:val="clear" w:color="auto" w:fill="auto"/>
            <w:vAlign w:val="bottom"/>
          </w:tcPr>
          <w:p w14:paraId="1F42E472" w14:textId="77777777" w:rsidR="003A3BCA" w:rsidRDefault="008276B6">
            <w:pPr>
              <w:jc w:val="right"/>
              <w:rPr>
                <w:rFonts w:ascii="Calibri" w:eastAsia="Calibri" w:hAnsi="Calibri" w:cs="Calibri"/>
                <w:color w:val="000000"/>
              </w:rPr>
            </w:pPr>
            <w:r>
              <w:rPr>
                <w:rFonts w:ascii="Calibri" w:eastAsia="Calibri" w:hAnsi="Calibri" w:cs="Calibri"/>
                <w:color w:val="000000"/>
              </w:rPr>
              <w:t>3</w:t>
            </w:r>
          </w:p>
        </w:tc>
        <w:tc>
          <w:tcPr>
            <w:tcW w:w="3402" w:type="dxa"/>
            <w:tcBorders>
              <w:top w:val="nil"/>
              <w:left w:val="nil"/>
              <w:bottom w:val="single" w:sz="4" w:space="0" w:color="000000"/>
              <w:right w:val="single" w:sz="4" w:space="0" w:color="000000"/>
            </w:tcBorders>
            <w:shd w:val="clear" w:color="auto" w:fill="auto"/>
            <w:vAlign w:val="bottom"/>
          </w:tcPr>
          <w:p w14:paraId="6442B491" w14:textId="77777777" w:rsidR="003A3BCA" w:rsidRDefault="008276B6">
            <w:pPr>
              <w:jc w:val="right"/>
              <w:rPr>
                <w:rFonts w:ascii="Calibri" w:eastAsia="Calibri" w:hAnsi="Calibri" w:cs="Calibri"/>
                <w:color w:val="000000"/>
              </w:rPr>
            </w:pPr>
            <w:r>
              <w:rPr>
                <w:rFonts w:ascii="Calibri" w:eastAsia="Calibri" w:hAnsi="Calibri" w:cs="Calibri"/>
                <w:color w:val="000000"/>
              </w:rPr>
              <w:t>3</w:t>
            </w:r>
          </w:p>
        </w:tc>
      </w:tr>
    </w:tbl>
    <w:p w14:paraId="5CFCC556" w14:textId="77777777" w:rsidR="003A3BCA" w:rsidRDefault="008276B6">
      <w:pPr>
        <w:pBdr>
          <w:top w:val="nil"/>
          <w:left w:val="nil"/>
          <w:bottom w:val="nil"/>
          <w:right w:val="nil"/>
          <w:between w:val="nil"/>
        </w:pBdr>
        <w:spacing w:after="200"/>
        <w:rPr>
          <w:rFonts w:ascii="Calibri" w:eastAsia="Calibri" w:hAnsi="Calibri" w:cs="Calibri"/>
          <w:i/>
          <w:color w:val="44546A"/>
          <w:sz w:val="18"/>
          <w:szCs w:val="18"/>
        </w:rPr>
      </w:pPr>
      <w:r>
        <w:rPr>
          <w:rFonts w:ascii="Calibri" w:eastAsia="Calibri" w:hAnsi="Calibri" w:cs="Calibri"/>
          <w:i/>
          <w:color w:val="44546A"/>
          <w:sz w:val="18"/>
          <w:szCs w:val="18"/>
        </w:rPr>
        <w:t>Table 20. Breakdown of how youth academy was evaluated as a key success factor based on two independent rankings.</w:t>
      </w:r>
    </w:p>
    <w:p w14:paraId="682B6C33" w14:textId="3D764552" w:rsidR="003A3BCA" w:rsidRDefault="008276B6" w:rsidP="007D0519">
      <w:pPr>
        <w:spacing w:line="360" w:lineRule="auto"/>
        <w:jc w:val="both"/>
      </w:pPr>
      <w:r>
        <w:lastRenderedPageBreak/>
        <w:t>The youth academy as a key success factor was ranked based on independent reviews from HITC Sevens (2022) and Schneider-</w:t>
      </w:r>
      <w:proofErr w:type="spellStart"/>
      <w:r>
        <w:t>Weiler</w:t>
      </w:r>
      <w:proofErr w:type="spellEnd"/>
      <w:r>
        <w:t xml:space="preserve"> &amp; Austin (2022). Each category weighs 50%. </w:t>
      </w:r>
    </w:p>
    <w:tbl>
      <w:tblPr>
        <w:tblStyle w:val="af3"/>
        <w:tblW w:w="9243" w:type="dxa"/>
        <w:tblLayout w:type="fixed"/>
        <w:tblLook w:val="0400" w:firstRow="0" w:lastRow="0" w:firstColumn="0" w:lastColumn="0" w:noHBand="0" w:noVBand="1"/>
      </w:tblPr>
      <w:tblGrid>
        <w:gridCol w:w="1632"/>
        <w:gridCol w:w="2160"/>
        <w:gridCol w:w="2110"/>
        <w:gridCol w:w="3341"/>
      </w:tblGrid>
      <w:tr w:rsidR="003A3BCA" w14:paraId="32AB7A94" w14:textId="77777777">
        <w:trPr>
          <w:trHeight w:val="412"/>
        </w:trPr>
        <w:tc>
          <w:tcPr>
            <w:tcW w:w="163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4E2D94F" w14:textId="77777777" w:rsidR="003A3BCA" w:rsidRDefault="008276B6">
            <w:pPr>
              <w:rPr>
                <w:rFonts w:ascii="Calibri" w:eastAsia="Calibri" w:hAnsi="Calibri" w:cs="Calibri"/>
                <w:color w:val="000000"/>
              </w:rPr>
            </w:pPr>
            <w:r>
              <w:rPr>
                <w:rFonts w:ascii="Calibri" w:eastAsia="Calibri" w:hAnsi="Calibri" w:cs="Calibri"/>
                <w:color w:val="000000"/>
              </w:rPr>
              <w:t>Club</w:t>
            </w:r>
          </w:p>
        </w:tc>
        <w:tc>
          <w:tcPr>
            <w:tcW w:w="2160" w:type="dxa"/>
            <w:tcBorders>
              <w:top w:val="single" w:sz="4" w:space="0" w:color="000000"/>
              <w:left w:val="nil"/>
              <w:bottom w:val="single" w:sz="4" w:space="0" w:color="000000"/>
              <w:right w:val="single" w:sz="4" w:space="0" w:color="000000"/>
            </w:tcBorders>
            <w:shd w:val="clear" w:color="auto" w:fill="auto"/>
            <w:vAlign w:val="bottom"/>
          </w:tcPr>
          <w:p w14:paraId="6DB7A468" w14:textId="77777777" w:rsidR="003A3BCA" w:rsidRDefault="008276B6">
            <w:pPr>
              <w:rPr>
                <w:rFonts w:ascii="Calibri" w:eastAsia="Calibri" w:hAnsi="Calibri" w:cs="Calibri"/>
                <w:color w:val="000000"/>
              </w:rPr>
            </w:pPr>
            <w:r>
              <w:rPr>
                <w:rFonts w:ascii="Calibri" w:eastAsia="Calibri" w:hAnsi="Calibri" w:cs="Calibri"/>
                <w:color w:val="000000"/>
              </w:rPr>
              <w:t>Number of Fans</w:t>
            </w:r>
          </w:p>
        </w:tc>
        <w:tc>
          <w:tcPr>
            <w:tcW w:w="2110" w:type="dxa"/>
            <w:tcBorders>
              <w:top w:val="single" w:sz="4" w:space="0" w:color="000000"/>
              <w:left w:val="nil"/>
              <w:bottom w:val="single" w:sz="4" w:space="0" w:color="000000"/>
              <w:right w:val="single" w:sz="4" w:space="0" w:color="000000"/>
            </w:tcBorders>
            <w:shd w:val="clear" w:color="auto" w:fill="auto"/>
            <w:vAlign w:val="bottom"/>
          </w:tcPr>
          <w:p w14:paraId="392B1B86" w14:textId="77777777" w:rsidR="003A3BCA" w:rsidRDefault="008276B6">
            <w:pPr>
              <w:rPr>
                <w:rFonts w:ascii="Calibri" w:eastAsia="Calibri" w:hAnsi="Calibri" w:cs="Calibri"/>
                <w:color w:val="000000"/>
              </w:rPr>
            </w:pPr>
            <w:r>
              <w:rPr>
                <w:rFonts w:ascii="Calibri" w:eastAsia="Calibri" w:hAnsi="Calibri" w:cs="Calibri"/>
                <w:color w:val="000000"/>
              </w:rPr>
              <w:t>Avg Attendance</w:t>
            </w:r>
          </w:p>
        </w:tc>
        <w:tc>
          <w:tcPr>
            <w:tcW w:w="3341" w:type="dxa"/>
            <w:tcBorders>
              <w:top w:val="single" w:sz="4" w:space="0" w:color="000000"/>
              <w:left w:val="nil"/>
              <w:bottom w:val="single" w:sz="4" w:space="0" w:color="000000"/>
              <w:right w:val="single" w:sz="4" w:space="0" w:color="000000"/>
            </w:tcBorders>
            <w:shd w:val="clear" w:color="auto" w:fill="auto"/>
            <w:vAlign w:val="bottom"/>
          </w:tcPr>
          <w:p w14:paraId="45CBB354" w14:textId="77777777" w:rsidR="003A3BCA" w:rsidRDefault="008276B6">
            <w:pPr>
              <w:rPr>
                <w:rFonts w:ascii="Calibri" w:eastAsia="Calibri" w:hAnsi="Calibri" w:cs="Calibri"/>
                <w:color w:val="000000"/>
              </w:rPr>
            </w:pPr>
            <w:r>
              <w:rPr>
                <w:rFonts w:ascii="Calibri" w:eastAsia="Calibri" w:hAnsi="Calibri" w:cs="Calibri"/>
                <w:color w:val="000000"/>
              </w:rPr>
              <w:t xml:space="preserve">Total </w:t>
            </w:r>
            <w:proofErr w:type="spellStart"/>
            <w:r>
              <w:rPr>
                <w:rFonts w:ascii="Calibri" w:eastAsia="Calibri" w:hAnsi="Calibri" w:cs="Calibri"/>
                <w:color w:val="000000"/>
              </w:rPr>
              <w:t>Engament</w:t>
            </w:r>
            <w:proofErr w:type="spellEnd"/>
          </w:p>
        </w:tc>
      </w:tr>
      <w:tr w:rsidR="003A3BCA" w14:paraId="15C78561" w14:textId="77777777">
        <w:trPr>
          <w:trHeight w:val="412"/>
        </w:trPr>
        <w:tc>
          <w:tcPr>
            <w:tcW w:w="1632" w:type="dxa"/>
            <w:tcBorders>
              <w:top w:val="nil"/>
              <w:left w:val="single" w:sz="4" w:space="0" w:color="000000"/>
              <w:bottom w:val="single" w:sz="4" w:space="0" w:color="000000"/>
              <w:right w:val="single" w:sz="4" w:space="0" w:color="000000"/>
            </w:tcBorders>
            <w:shd w:val="clear" w:color="auto" w:fill="auto"/>
            <w:vAlign w:val="bottom"/>
          </w:tcPr>
          <w:p w14:paraId="778A4A2B" w14:textId="77777777" w:rsidR="003A3BCA" w:rsidRDefault="008276B6">
            <w:pPr>
              <w:rPr>
                <w:rFonts w:ascii="Calibri" w:eastAsia="Calibri" w:hAnsi="Calibri" w:cs="Calibri"/>
                <w:color w:val="000000"/>
              </w:rPr>
            </w:pPr>
            <w:r>
              <w:rPr>
                <w:rFonts w:ascii="Calibri" w:eastAsia="Calibri" w:hAnsi="Calibri" w:cs="Calibri"/>
                <w:color w:val="000000"/>
              </w:rPr>
              <w:t>Man Utd</w:t>
            </w:r>
          </w:p>
        </w:tc>
        <w:tc>
          <w:tcPr>
            <w:tcW w:w="2160" w:type="dxa"/>
            <w:tcBorders>
              <w:top w:val="nil"/>
              <w:left w:val="nil"/>
              <w:bottom w:val="single" w:sz="4" w:space="0" w:color="000000"/>
              <w:right w:val="single" w:sz="4" w:space="0" w:color="000000"/>
            </w:tcBorders>
            <w:shd w:val="clear" w:color="auto" w:fill="auto"/>
            <w:vAlign w:val="bottom"/>
          </w:tcPr>
          <w:p w14:paraId="0F4C3BA0" w14:textId="77777777" w:rsidR="003A3BCA" w:rsidRDefault="008276B6">
            <w:pPr>
              <w:jc w:val="right"/>
              <w:rPr>
                <w:rFonts w:ascii="Calibri" w:eastAsia="Calibri" w:hAnsi="Calibri" w:cs="Calibri"/>
                <w:color w:val="000000"/>
              </w:rPr>
            </w:pPr>
            <w:r>
              <w:rPr>
                <w:rFonts w:ascii="Calibri" w:eastAsia="Calibri" w:hAnsi="Calibri" w:cs="Calibri"/>
                <w:color w:val="000000"/>
              </w:rPr>
              <w:t>3</w:t>
            </w:r>
          </w:p>
        </w:tc>
        <w:tc>
          <w:tcPr>
            <w:tcW w:w="2110" w:type="dxa"/>
            <w:tcBorders>
              <w:top w:val="nil"/>
              <w:left w:val="nil"/>
              <w:bottom w:val="single" w:sz="4" w:space="0" w:color="000000"/>
              <w:right w:val="single" w:sz="4" w:space="0" w:color="000000"/>
            </w:tcBorders>
            <w:shd w:val="clear" w:color="auto" w:fill="auto"/>
            <w:vAlign w:val="bottom"/>
          </w:tcPr>
          <w:p w14:paraId="7A982118" w14:textId="77777777" w:rsidR="003A3BCA" w:rsidRDefault="008276B6">
            <w:pPr>
              <w:jc w:val="right"/>
              <w:rPr>
                <w:rFonts w:ascii="Calibri" w:eastAsia="Calibri" w:hAnsi="Calibri" w:cs="Calibri"/>
                <w:color w:val="000000"/>
              </w:rPr>
            </w:pPr>
            <w:r>
              <w:rPr>
                <w:rFonts w:ascii="Calibri" w:eastAsia="Calibri" w:hAnsi="Calibri" w:cs="Calibri"/>
                <w:color w:val="000000"/>
              </w:rPr>
              <w:t>3</w:t>
            </w:r>
          </w:p>
        </w:tc>
        <w:tc>
          <w:tcPr>
            <w:tcW w:w="3341" w:type="dxa"/>
            <w:tcBorders>
              <w:top w:val="nil"/>
              <w:left w:val="nil"/>
              <w:bottom w:val="single" w:sz="4" w:space="0" w:color="000000"/>
              <w:right w:val="single" w:sz="4" w:space="0" w:color="000000"/>
            </w:tcBorders>
            <w:shd w:val="clear" w:color="auto" w:fill="auto"/>
            <w:vAlign w:val="bottom"/>
          </w:tcPr>
          <w:p w14:paraId="393A89DC" w14:textId="77777777" w:rsidR="003A3BCA" w:rsidRDefault="008276B6">
            <w:pPr>
              <w:jc w:val="right"/>
              <w:rPr>
                <w:rFonts w:ascii="Calibri" w:eastAsia="Calibri" w:hAnsi="Calibri" w:cs="Calibri"/>
                <w:color w:val="000000"/>
              </w:rPr>
            </w:pPr>
            <w:r>
              <w:rPr>
                <w:rFonts w:ascii="Calibri" w:eastAsia="Calibri" w:hAnsi="Calibri" w:cs="Calibri"/>
                <w:color w:val="000000"/>
              </w:rPr>
              <w:t>3</w:t>
            </w:r>
          </w:p>
        </w:tc>
      </w:tr>
      <w:tr w:rsidR="003A3BCA" w14:paraId="78B7193C" w14:textId="77777777">
        <w:trPr>
          <w:trHeight w:val="412"/>
        </w:trPr>
        <w:tc>
          <w:tcPr>
            <w:tcW w:w="1632" w:type="dxa"/>
            <w:tcBorders>
              <w:top w:val="nil"/>
              <w:left w:val="single" w:sz="4" w:space="0" w:color="000000"/>
              <w:bottom w:val="single" w:sz="4" w:space="0" w:color="000000"/>
              <w:right w:val="single" w:sz="4" w:space="0" w:color="000000"/>
            </w:tcBorders>
            <w:shd w:val="clear" w:color="auto" w:fill="auto"/>
            <w:vAlign w:val="bottom"/>
          </w:tcPr>
          <w:p w14:paraId="2254A684" w14:textId="77777777" w:rsidR="003A3BCA" w:rsidRDefault="008276B6">
            <w:pPr>
              <w:rPr>
                <w:rFonts w:ascii="Calibri" w:eastAsia="Calibri" w:hAnsi="Calibri" w:cs="Calibri"/>
                <w:color w:val="000000"/>
              </w:rPr>
            </w:pPr>
            <w:r>
              <w:rPr>
                <w:rFonts w:ascii="Calibri" w:eastAsia="Calibri" w:hAnsi="Calibri" w:cs="Calibri"/>
                <w:color w:val="000000"/>
              </w:rPr>
              <w:t>Liverpool</w:t>
            </w:r>
          </w:p>
        </w:tc>
        <w:tc>
          <w:tcPr>
            <w:tcW w:w="2160" w:type="dxa"/>
            <w:tcBorders>
              <w:top w:val="nil"/>
              <w:left w:val="nil"/>
              <w:bottom w:val="single" w:sz="4" w:space="0" w:color="000000"/>
              <w:right w:val="single" w:sz="4" w:space="0" w:color="000000"/>
            </w:tcBorders>
            <w:shd w:val="clear" w:color="auto" w:fill="auto"/>
            <w:vAlign w:val="bottom"/>
          </w:tcPr>
          <w:p w14:paraId="2484EC59" w14:textId="77777777" w:rsidR="003A3BCA" w:rsidRDefault="008276B6">
            <w:pPr>
              <w:jc w:val="right"/>
              <w:rPr>
                <w:rFonts w:ascii="Calibri" w:eastAsia="Calibri" w:hAnsi="Calibri" w:cs="Calibri"/>
                <w:color w:val="000000"/>
              </w:rPr>
            </w:pPr>
            <w:r>
              <w:rPr>
                <w:rFonts w:ascii="Calibri" w:eastAsia="Calibri" w:hAnsi="Calibri" w:cs="Calibri"/>
                <w:color w:val="000000"/>
              </w:rPr>
              <w:t>3</w:t>
            </w:r>
          </w:p>
        </w:tc>
        <w:tc>
          <w:tcPr>
            <w:tcW w:w="2110" w:type="dxa"/>
            <w:tcBorders>
              <w:top w:val="nil"/>
              <w:left w:val="nil"/>
              <w:bottom w:val="single" w:sz="4" w:space="0" w:color="000000"/>
              <w:right w:val="single" w:sz="4" w:space="0" w:color="000000"/>
            </w:tcBorders>
            <w:shd w:val="clear" w:color="auto" w:fill="auto"/>
            <w:vAlign w:val="bottom"/>
          </w:tcPr>
          <w:p w14:paraId="1A6BD65F" w14:textId="77777777" w:rsidR="003A3BCA" w:rsidRDefault="008276B6">
            <w:pPr>
              <w:jc w:val="right"/>
              <w:rPr>
                <w:rFonts w:ascii="Calibri" w:eastAsia="Calibri" w:hAnsi="Calibri" w:cs="Calibri"/>
                <w:color w:val="000000"/>
              </w:rPr>
            </w:pPr>
            <w:r>
              <w:rPr>
                <w:rFonts w:ascii="Calibri" w:eastAsia="Calibri" w:hAnsi="Calibri" w:cs="Calibri"/>
                <w:color w:val="000000"/>
              </w:rPr>
              <w:t>3</w:t>
            </w:r>
          </w:p>
        </w:tc>
        <w:tc>
          <w:tcPr>
            <w:tcW w:w="3341" w:type="dxa"/>
            <w:tcBorders>
              <w:top w:val="nil"/>
              <w:left w:val="nil"/>
              <w:bottom w:val="single" w:sz="4" w:space="0" w:color="000000"/>
              <w:right w:val="single" w:sz="4" w:space="0" w:color="000000"/>
            </w:tcBorders>
            <w:shd w:val="clear" w:color="auto" w:fill="auto"/>
            <w:vAlign w:val="bottom"/>
          </w:tcPr>
          <w:p w14:paraId="360BAB4A" w14:textId="77777777" w:rsidR="003A3BCA" w:rsidRDefault="008276B6">
            <w:pPr>
              <w:jc w:val="right"/>
              <w:rPr>
                <w:rFonts w:ascii="Calibri" w:eastAsia="Calibri" w:hAnsi="Calibri" w:cs="Calibri"/>
                <w:color w:val="000000"/>
              </w:rPr>
            </w:pPr>
            <w:r>
              <w:rPr>
                <w:rFonts w:ascii="Calibri" w:eastAsia="Calibri" w:hAnsi="Calibri" w:cs="Calibri"/>
                <w:color w:val="000000"/>
              </w:rPr>
              <w:t>3</w:t>
            </w:r>
          </w:p>
        </w:tc>
      </w:tr>
      <w:tr w:rsidR="003A3BCA" w14:paraId="2526E0AC" w14:textId="77777777">
        <w:trPr>
          <w:trHeight w:val="412"/>
        </w:trPr>
        <w:tc>
          <w:tcPr>
            <w:tcW w:w="1632" w:type="dxa"/>
            <w:tcBorders>
              <w:top w:val="nil"/>
              <w:left w:val="single" w:sz="4" w:space="0" w:color="000000"/>
              <w:bottom w:val="single" w:sz="4" w:space="0" w:color="000000"/>
              <w:right w:val="single" w:sz="4" w:space="0" w:color="000000"/>
            </w:tcBorders>
            <w:shd w:val="clear" w:color="auto" w:fill="auto"/>
            <w:vAlign w:val="bottom"/>
          </w:tcPr>
          <w:p w14:paraId="23500D75" w14:textId="77777777" w:rsidR="003A3BCA" w:rsidRDefault="008276B6">
            <w:pPr>
              <w:rPr>
                <w:rFonts w:ascii="Calibri" w:eastAsia="Calibri" w:hAnsi="Calibri" w:cs="Calibri"/>
                <w:color w:val="000000"/>
              </w:rPr>
            </w:pPr>
            <w:r>
              <w:rPr>
                <w:rFonts w:ascii="Calibri" w:eastAsia="Calibri" w:hAnsi="Calibri" w:cs="Calibri"/>
                <w:color w:val="000000"/>
              </w:rPr>
              <w:t>Man City</w:t>
            </w:r>
          </w:p>
        </w:tc>
        <w:tc>
          <w:tcPr>
            <w:tcW w:w="2160" w:type="dxa"/>
            <w:tcBorders>
              <w:top w:val="nil"/>
              <w:left w:val="nil"/>
              <w:bottom w:val="single" w:sz="4" w:space="0" w:color="000000"/>
              <w:right w:val="single" w:sz="4" w:space="0" w:color="000000"/>
            </w:tcBorders>
            <w:shd w:val="clear" w:color="auto" w:fill="auto"/>
            <w:vAlign w:val="bottom"/>
          </w:tcPr>
          <w:p w14:paraId="51210251" w14:textId="77777777" w:rsidR="003A3BCA" w:rsidRDefault="008276B6">
            <w:pPr>
              <w:jc w:val="right"/>
              <w:rPr>
                <w:rFonts w:ascii="Calibri" w:eastAsia="Calibri" w:hAnsi="Calibri" w:cs="Calibri"/>
                <w:color w:val="000000"/>
              </w:rPr>
            </w:pPr>
            <w:r>
              <w:rPr>
                <w:rFonts w:ascii="Calibri" w:eastAsia="Calibri" w:hAnsi="Calibri" w:cs="Calibri"/>
                <w:color w:val="000000"/>
              </w:rPr>
              <w:t>1</w:t>
            </w:r>
          </w:p>
        </w:tc>
        <w:tc>
          <w:tcPr>
            <w:tcW w:w="2110" w:type="dxa"/>
            <w:tcBorders>
              <w:top w:val="nil"/>
              <w:left w:val="nil"/>
              <w:bottom w:val="single" w:sz="4" w:space="0" w:color="000000"/>
              <w:right w:val="single" w:sz="4" w:space="0" w:color="000000"/>
            </w:tcBorders>
            <w:shd w:val="clear" w:color="auto" w:fill="auto"/>
            <w:vAlign w:val="bottom"/>
          </w:tcPr>
          <w:p w14:paraId="7A62BBD5" w14:textId="77777777" w:rsidR="003A3BCA" w:rsidRDefault="008276B6">
            <w:pPr>
              <w:jc w:val="right"/>
              <w:rPr>
                <w:rFonts w:ascii="Calibri" w:eastAsia="Calibri" w:hAnsi="Calibri" w:cs="Calibri"/>
                <w:color w:val="000000"/>
              </w:rPr>
            </w:pPr>
            <w:r>
              <w:rPr>
                <w:rFonts w:ascii="Calibri" w:eastAsia="Calibri" w:hAnsi="Calibri" w:cs="Calibri"/>
                <w:color w:val="000000"/>
              </w:rPr>
              <w:t>2</w:t>
            </w:r>
          </w:p>
        </w:tc>
        <w:tc>
          <w:tcPr>
            <w:tcW w:w="3341" w:type="dxa"/>
            <w:tcBorders>
              <w:top w:val="nil"/>
              <w:left w:val="nil"/>
              <w:bottom w:val="single" w:sz="4" w:space="0" w:color="000000"/>
              <w:right w:val="single" w:sz="4" w:space="0" w:color="000000"/>
            </w:tcBorders>
            <w:shd w:val="clear" w:color="auto" w:fill="auto"/>
            <w:vAlign w:val="bottom"/>
          </w:tcPr>
          <w:p w14:paraId="38CCD57D" w14:textId="77777777" w:rsidR="003A3BCA" w:rsidRDefault="008276B6">
            <w:pPr>
              <w:jc w:val="right"/>
              <w:rPr>
                <w:rFonts w:ascii="Calibri" w:eastAsia="Calibri" w:hAnsi="Calibri" w:cs="Calibri"/>
                <w:color w:val="000000"/>
              </w:rPr>
            </w:pPr>
            <w:r>
              <w:rPr>
                <w:rFonts w:ascii="Calibri" w:eastAsia="Calibri" w:hAnsi="Calibri" w:cs="Calibri"/>
                <w:color w:val="000000"/>
              </w:rPr>
              <w:t>1,5</w:t>
            </w:r>
          </w:p>
        </w:tc>
      </w:tr>
      <w:tr w:rsidR="003A3BCA" w14:paraId="0BB9A934" w14:textId="77777777">
        <w:trPr>
          <w:trHeight w:val="412"/>
        </w:trPr>
        <w:tc>
          <w:tcPr>
            <w:tcW w:w="1632" w:type="dxa"/>
            <w:tcBorders>
              <w:top w:val="nil"/>
              <w:left w:val="single" w:sz="4" w:space="0" w:color="000000"/>
              <w:bottom w:val="single" w:sz="4" w:space="0" w:color="000000"/>
              <w:right w:val="single" w:sz="4" w:space="0" w:color="000000"/>
            </w:tcBorders>
            <w:shd w:val="clear" w:color="auto" w:fill="auto"/>
            <w:vAlign w:val="bottom"/>
          </w:tcPr>
          <w:p w14:paraId="5F85EC2B" w14:textId="77777777" w:rsidR="003A3BCA" w:rsidRDefault="008276B6">
            <w:pPr>
              <w:rPr>
                <w:rFonts w:ascii="Calibri" w:eastAsia="Calibri" w:hAnsi="Calibri" w:cs="Calibri"/>
                <w:color w:val="000000"/>
              </w:rPr>
            </w:pPr>
            <w:r>
              <w:rPr>
                <w:rFonts w:ascii="Calibri" w:eastAsia="Calibri" w:hAnsi="Calibri" w:cs="Calibri"/>
                <w:color w:val="000000"/>
              </w:rPr>
              <w:t>Arsenal</w:t>
            </w:r>
          </w:p>
        </w:tc>
        <w:tc>
          <w:tcPr>
            <w:tcW w:w="2160" w:type="dxa"/>
            <w:tcBorders>
              <w:top w:val="nil"/>
              <w:left w:val="nil"/>
              <w:bottom w:val="single" w:sz="4" w:space="0" w:color="000000"/>
              <w:right w:val="single" w:sz="4" w:space="0" w:color="000000"/>
            </w:tcBorders>
            <w:shd w:val="clear" w:color="auto" w:fill="auto"/>
            <w:vAlign w:val="bottom"/>
          </w:tcPr>
          <w:p w14:paraId="2FC2049D" w14:textId="77777777" w:rsidR="003A3BCA" w:rsidRDefault="008276B6">
            <w:pPr>
              <w:jc w:val="right"/>
              <w:rPr>
                <w:rFonts w:ascii="Calibri" w:eastAsia="Calibri" w:hAnsi="Calibri" w:cs="Calibri"/>
                <w:color w:val="000000"/>
              </w:rPr>
            </w:pPr>
            <w:r>
              <w:rPr>
                <w:rFonts w:ascii="Calibri" w:eastAsia="Calibri" w:hAnsi="Calibri" w:cs="Calibri"/>
                <w:color w:val="000000"/>
              </w:rPr>
              <w:t>3</w:t>
            </w:r>
          </w:p>
        </w:tc>
        <w:tc>
          <w:tcPr>
            <w:tcW w:w="2110" w:type="dxa"/>
            <w:tcBorders>
              <w:top w:val="nil"/>
              <w:left w:val="nil"/>
              <w:bottom w:val="single" w:sz="4" w:space="0" w:color="000000"/>
              <w:right w:val="single" w:sz="4" w:space="0" w:color="000000"/>
            </w:tcBorders>
            <w:shd w:val="clear" w:color="auto" w:fill="auto"/>
            <w:vAlign w:val="bottom"/>
          </w:tcPr>
          <w:p w14:paraId="4137D074" w14:textId="77777777" w:rsidR="003A3BCA" w:rsidRDefault="008276B6">
            <w:pPr>
              <w:jc w:val="right"/>
              <w:rPr>
                <w:rFonts w:ascii="Calibri" w:eastAsia="Calibri" w:hAnsi="Calibri" w:cs="Calibri"/>
                <w:color w:val="000000"/>
              </w:rPr>
            </w:pPr>
            <w:r>
              <w:rPr>
                <w:rFonts w:ascii="Calibri" w:eastAsia="Calibri" w:hAnsi="Calibri" w:cs="Calibri"/>
                <w:color w:val="000000"/>
              </w:rPr>
              <w:t>3</w:t>
            </w:r>
          </w:p>
        </w:tc>
        <w:tc>
          <w:tcPr>
            <w:tcW w:w="3341" w:type="dxa"/>
            <w:tcBorders>
              <w:top w:val="nil"/>
              <w:left w:val="nil"/>
              <w:bottom w:val="single" w:sz="4" w:space="0" w:color="000000"/>
              <w:right w:val="single" w:sz="4" w:space="0" w:color="000000"/>
            </w:tcBorders>
            <w:shd w:val="clear" w:color="auto" w:fill="auto"/>
            <w:vAlign w:val="bottom"/>
          </w:tcPr>
          <w:p w14:paraId="1544CEAE" w14:textId="77777777" w:rsidR="003A3BCA" w:rsidRDefault="008276B6">
            <w:pPr>
              <w:jc w:val="right"/>
              <w:rPr>
                <w:rFonts w:ascii="Calibri" w:eastAsia="Calibri" w:hAnsi="Calibri" w:cs="Calibri"/>
                <w:color w:val="000000"/>
              </w:rPr>
            </w:pPr>
            <w:r>
              <w:rPr>
                <w:rFonts w:ascii="Calibri" w:eastAsia="Calibri" w:hAnsi="Calibri" w:cs="Calibri"/>
                <w:color w:val="000000"/>
              </w:rPr>
              <w:t>3</w:t>
            </w:r>
          </w:p>
        </w:tc>
      </w:tr>
      <w:tr w:rsidR="003A3BCA" w14:paraId="7198E951" w14:textId="77777777">
        <w:trPr>
          <w:trHeight w:val="412"/>
        </w:trPr>
        <w:tc>
          <w:tcPr>
            <w:tcW w:w="1632" w:type="dxa"/>
            <w:tcBorders>
              <w:top w:val="nil"/>
              <w:left w:val="single" w:sz="4" w:space="0" w:color="000000"/>
              <w:bottom w:val="single" w:sz="4" w:space="0" w:color="000000"/>
              <w:right w:val="single" w:sz="4" w:space="0" w:color="000000"/>
            </w:tcBorders>
            <w:shd w:val="clear" w:color="auto" w:fill="auto"/>
            <w:vAlign w:val="bottom"/>
          </w:tcPr>
          <w:p w14:paraId="6C9CE802" w14:textId="77777777" w:rsidR="003A3BCA" w:rsidRDefault="008276B6">
            <w:pPr>
              <w:rPr>
                <w:rFonts w:ascii="Calibri" w:eastAsia="Calibri" w:hAnsi="Calibri" w:cs="Calibri"/>
                <w:color w:val="000000"/>
              </w:rPr>
            </w:pPr>
            <w:r>
              <w:rPr>
                <w:rFonts w:ascii="Calibri" w:eastAsia="Calibri" w:hAnsi="Calibri" w:cs="Calibri"/>
                <w:color w:val="000000"/>
              </w:rPr>
              <w:t>Spurs</w:t>
            </w:r>
          </w:p>
        </w:tc>
        <w:tc>
          <w:tcPr>
            <w:tcW w:w="2160" w:type="dxa"/>
            <w:tcBorders>
              <w:top w:val="nil"/>
              <w:left w:val="nil"/>
              <w:bottom w:val="single" w:sz="4" w:space="0" w:color="000000"/>
              <w:right w:val="single" w:sz="4" w:space="0" w:color="000000"/>
            </w:tcBorders>
            <w:shd w:val="clear" w:color="auto" w:fill="auto"/>
            <w:vAlign w:val="bottom"/>
          </w:tcPr>
          <w:p w14:paraId="5A7D96CD" w14:textId="77777777" w:rsidR="003A3BCA" w:rsidRDefault="008276B6">
            <w:pPr>
              <w:jc w:val="right"/>
              <w:rPr>
                <w:rFonts w:ascii="Calibri" w:eastAsia="Calibri" w:hAnsi="Calibri" w:cs="Calibri"/>
                <w:color w:val="000000"/>
              </w:rPr>
            </w:pPr>
            <w:r>
              <w:rPr>
                <w:rFonts w:ascii="Calibri" w:eastAsia="Calibri" w:hAnsi="Calibri" w:cs="Calibri"/>
                <w:color w:val="000000"/>
              </w:rPr>
              <w:t>2</w:t>
            </w:r>
          </w:p>
        </w:tc>
        <w:tc>
          <w:tcPr>
            <w:tcW w:w="2110" w:type="dxa"/>
            <w:tcBorders>
              <w:top w:val="nil"/>
              <w:left w:val="nil"/>
              <w:bottom w:val="single" w:sz="4" w:space="0" w:color="000000"/>
              <w:right w:val="single" w:sz="4" w:space="0" w:color="000000"/>
            </w:tcBorders>
            <w:shd w:val="clear" w:color="auto" w:fill="auto"/>
            <w:vAlign w:val="bottom"/>
          </w:tcPr>
          <w:p w14:paraId="1F0F1CE7" w14:textId="77777777" w:rsidR="003A3BCA" w:rsidRDefault="008276B6">
            <w:pPr>
              <w:jc w:val="right"/>
              <w:rPr>
                <w:rFonts w:ascii="Calibri" w:eastAsia="Calibri" w:hAnsi="Calibri" w:cs="Calibri"/>
                <w:color w:val="000000"/>
              </w:rPr>
            </w:pPr>
            <w:r>
              <w:rPr>
                <w:rFonts w:ascii="Calibri" w:eastAsia="Calibri" w:hAnsi="Calibri" w:cs="Calibri"/>
                <w:color w:val="000000"/>
              </w:rPr>
              <w:t>3</w:t>
            </w:r>
          </w:p>
        </w:tc>
        <w:tc>
          <w:tcPr>
            <w:tcW w:w="3341" w:type="dxa"/>
            <w:tcBorders>
              <w:top w:val="nil"/>
              <w:left w:val="nil"/>
              <w:bottom w:val="single" w:sz="4" w:space="0" w:color="000000"/>
              <w:right w:val="single" w:sz="4" w:space="0" w:color="000000"/>
            </w:tcBorders>
            <w:shd w:val="clear" w:color="auto" w:fill="auto"/>
            <w:vAlign w:val="bottom"/>
          </w:tcPr>
          <w:p w14:paraId="21D48902" w14:textId="77777777" w:rsidR="003A3BCA" w:rsidRDefault="008276B6">
            <w:pPr>
              <w:jc w:val="right"/>
              <w:rPr>
                <w:rFonts w:ascii="Calibri" w:eastAsia="Calibri" w:hAnsi="Calibri" w:cs="Calibri"/>
                <w:color w:val="000000"/>
              </w:rPr>
            </w:pPr>
            <w:r>
              <w:rPr>
                <w:rFonts w:ascii="Calibri" w:eastAsia="Calibri" w:hAnsi="Calibri" w:cs="Calibri"/>
                <w:color w:val="000000"/>
              </w:rPr>
              <w:t>2,5</w:t>
            </w:r>
          </w:p>
        </w:tc>
      </w:tr>
      <w:tr w:rsidR="003A3BCA" w14:paraId="467EAF0D" w14:textId="77777777">
        <w:trPr>
          <w:trHeight w:val="412"/>
        </w:trPr>
        <w:tc>
          <w:tcPr>
            <w:tcW w:w="1632" w:type="dxa"/>
            <w:tcBorders>
              <w:top w:val="nil"/>
              <w:left w:val="single" w:sz="4" w:space="0" w:color="000000"/>
              <w:bottom w:val="single" w:sz="4" w:space="0" w:color="000000"/>
              <w:right w:val="single" w:sz="4" w:space="0" w:color="000000"/>
            </w:tcBorders>
            <w:shd w:val="clear" w:color="auto" w:fill="auto"/>
            <w:vAlign w:val="bottom"/>
          </w:tcPr>
          <w:p w14:paraId="123BAF3B" w14:textId="77777777" w:rsidR="003A3BCA" w:rsidRDefault="008276B6">
            <w:pPr>
              <w:rPr>
                <w:rFonts w:ascii="Calibri" w:eastAsia="Calibri" w:hAnsi="Calibri" w:cs="Calibri"/>
                <w:color w:val="000000"/>
              </w:rPr>
            </w:pPr>
            <w:r>
              <w:rPr>
                <w:rFonts w:ascii="Calibri" w:eastAsia="Calibri" w:hAnsi="Calibri" w:cs="Calibri"/>
                <w:color w:val="000000"/>
              </w:rPr>
              <w:t>Chelsea</w:t>
            </w:r>
          </w:p>
        </w:tc>
        <w:tc>
          <w:tcPr>
            <w:tcW w:w="2160" w:type="dxa"/>
            <w:tcBorders>
              <w:top w:val="nil"/>
              <w:left w:val="nil"/>
              <w:bottom w:val="single" w:sz="4" w:space="0" w:color="000000"/>
              <w:right w:val="single" w:sz="4" w:space="0" w:color="000000"/>
            </w:tcBorders>
            <w:shd w:val="clear" w:color="auto" w:fill="auto"/>
            <w:vAlign w:val="bottom"/>
          </w:tcPr>
          <w:p w14:paraId="16BE2601" w14:textId="77777777" w:rsidR="003A3BCA" w:rsidRDefault="008276B6">
            <w:pPr>
              <w:jc w:val="right"/>
              <w:rPr>
                <w:rFonts w:ascii="Calibri" w:eastAsia="Calibri" w:hAnsi="Calibri" w:cs="Calibri"/>
                <w:color w:val="000000"/>
              </w:rPr>
            </w:pPr>
            <w:r>
              <w:rPr>
                <w:rFonts w:ascii="Calibri" w:eastAsia="Calibri" w:hAnsi="Calibri" w:cs="Calibri"/>
                <w:color w:val="000000"/>
              </w:rPr>
              <w:t>2</w:t>
            </w:r>
          </w:p>
        </w:tc>
        <w:tc>
          <w:tcPr>
            <w:tcW w:w="2110" w:type="dxa"/>
            <w:tcBorders>
              <w:top w:val="nil"/>
              <w:left w:val="nil"/>
              <w:bottom w:val="single" w:sz="4" w:space="0" w:color="000000"/>
              <w:right w:val="single" w:sz="4" w:space="0" w:color="000000"/>
            </w:tcBorders>
            <w:shd w:val="clear" w:color="auto" w:fill="auto"/>
            <w:vAlign w:val="bottom"/>
          </w:tcPr>
          <w:p w14:paraId="17C4B75A" w14:textId="77777777" w:rsidR="003A3BCA" w:rsidRDefault="008276B6">
            <w:pPr>
              <w:jc w:val="right"/>
              <w:rPr>
                <w:rFonts w:ascii="Calibri" w:eastAsia="Calibri" w:hAnsi="Calibri" w:cs="Calibri"/>
                <w:color w:val="000000"/>
              </w:rPr>
            </w:pPr>
            <w:r>
              <w:rPr>
                <w:rFonts w:ascii="Calibri" w:eastAsia="Calibri" w:hAnsi="Calibri" w:cs="Calibri"/>
                <w:color w:val="000000"/>
              </w:rPr>
              <w:t>2</w:t>
            </w:r>
          </w:p>
        </w:tc>
        <w:tc>
          <w:tcPr>
            <w:tcW w:w="3341" w:type="dxa"/>
            <w:tcBorders>
              <w:top w:val="nil"/>
              <w:left w:val="nil"/>
              <w:bottom w:val="single" w:sz="4" w:space="0" w:color="000000"/>
              <w:right w:val="single" w:sz="4" w:space="0" w:color="000000"/>
            </w:tcBorders>
            <w:shd w:val="clear" w:color="auto" w:fill="auto"/>
            <w:vAlign w:val="bottom"/>
          </w:tcPr>
          <w:p w14:paraId="70BABA01" w14:textId="77777777" w:rsidR="003A3BCA" w:rsidRDefault="008276B6">
            <w:pPr>
              <w:jc w:val="right"/>
              <w:rPr>
                <w:rFonts w:ascii="Calibri" w:eastAsia="Calibri" w:hAnsi="Calibri" w:cs="Calibri"/>
                <w:color w:val="000000"/>
              </w:rPr>
            </w:pPr>
            <w:r>
              <w:rPr>
                <w:rFonts w:ascii="Calibri" w:eastAsia="Calibri" w:hAnsi="Calibri" w:cs="Calibri"/>
                <w:color w:val="000000"/>
              </w:rPr>
              <w:t>2</w:t>
            </w:r>
          </w:p>
        </w:tc>
      </w:tr>
    </w:tbl>
    <w:p w14:paraId="050E54C7" w14:textId="77777777" w:rsidR="003A3BCA" w:rsidRDefault="008276B6">
      <w:pPr>
        <w:pBdr>
          <w:top w:val="nil"/>
          <w:left w:val="nil"/>
          <w:bottom w:val="nil"/>
          <w:right w:val="nil"/>
          <w:between w:val="nil"/>
        </w:pBdr>
        <w:spacing w:after="200"/>
        <w:rPr>
          <w:rFonts w:ascii="Calibri" w:eastAsia="Calibri" w:hAnsi="Calibri" w:cs="Calibri"/>
          <w:i/>
          <w:color w:val="44546A"/>
          <w:sz w:val="18"/>
          <w:szCs w:val="18"/>
        </w:rPr>
      </w:pPr>
      <w:r>
        <w:rPr>
          <w:rFonts w:ascii="Calibri" w:eastAsia="Calibri" w:hAnsi="Calibri" w:cs="Calibri"/>
          <w:i/>
          <w:color w:val="44546A"/>
          <w:sz w:val="18"/>
          <w:szCs w:val="18"/>
        </w:rPr>
        <w:t>Table 21. Breakdown of how global presence and fans’ support was calculated as a key success factor, based on independent reviews on the number of fans, and average attendance on football stadiums per Transfermarkt</w:t>
      </w:r>
    </w:p>
    <w:p w14:paraId="11D6FB9C" w14:textId="77777777" w:rsidR="003A3BCA" w:rsidRDefault="008276B6" w:rsidP="007D0519">
      <w:pPr>
        <w:spacing w:line="360" w:lineRule="auto"/>
        <w:jc w:val="both"/>
      </w:pPr>
      <w:r>
        <w:t xml:space="preserve">The fan engagement and presence as a key success factor was evaluated based on an independent ranking on the number of fans that each club possesses by Smith (2022) + the average attendance figures gathered by Transfermarkt. </w:t>
      </w:r>
    </w:p>
    <w:p w14:paraId="7F7F54AD" w14:textId="77777777" w:rsidR="003A3BCA" w:rsidRDefault="008276B6" w:rsidP="007D0519">
      <w:pPr>
        <w:spacing w:line="360" w:lineRule="auto"/>
        <w:rPr>
          <w:color w:val="2F5496"/>
          <w:sz w:val="32"/>
          <w:szCs w:val="32"/>
        </w:rPr>
      </w:pPr>
      <w:r>
        <w:br w:type="page"/>
      </w:r>
    </w:p>
    <w:p w14:paraId="21F706E6" w14:textId="0F63BD6B" w:rsidR="007D0519" w:rsidRPr="007D0519" w:rsidRDefault="008276B6" w:rsidP="007D0519">
      <w:pPr>
        <w:pStyle w:val="Heading1"/>
        <w:spacing w:line="360" w:lineRule="auto"/>
        <w:ind w:firstLine="720"/>
        <w:jc w:val="both"/>
        <w:rPr>
          <w:rFonts w:ascii="Times New Roman" w:eastAsia="Times New Roman" w:hAnsi="Times New Roman" w:cs="Times New Roman"/>
        </w:rPr>
      </w:pPr>
      <w:bookmarkStart w:id="21" w:name="_Toc136274679"/>
      <w:r>
        <w:rPr>
          <w:rFonts w:ascii="Times New Roman" w:eastAsia="Times New Roman" w:hAnsi="Times New Roman" w:cs="Times New Roman"/>
        </w:rPr>
        <w:lastRenderedPageBreak/>
        <w:t>Bibliography</w:t>
      </w:r>
      <w:bookmarkEnd w:id="21"/>
      <w:r>
        <w:rPr>
          <w:rFonts w:ascii="Times New Roman" w:eastAsia="Times New Roman" w:hAnsi="Times New Roman" w:cs="Times New Roman"/>
        </w:rPr>
        <w:t xml:space="preserve"> </w:t>
      </w:r>
    </w:p>
    <w:p w14:paraId="1CD05F67" w14:textId="77777777" w:rsidR="007D0519" w:rsidRDefault="007D0519" w:rsidP="007D0519">
      <w:pPr>
        <w:pStyle w:val="NormalWeb"/>
        <w:shd w:val="clear" w:color="auto" w:fill="FFFFFF"/>
        <w:spacing w:before="0" w:beforeAutospacing="0" w:after="0" w:afterAutospacing="0" w:line="480" w:lineRule="atLeast"/>
        <w:ind w:left="720" w:hanging="720"/>
        <w:rPr>
          <w:color w:val="000000"/>
        </w:rPr>
      </w:pPr>
      <w:r>
        <w:rPr>
          <w:color w:val="000000"/>
        </w:rPr>
        <w:t>Altman Solon. (2022, September).</w:t>
      </w:r>
      <w:r>
        <w:rPr>
          <w:rStyle w:val="apple-converted-space"/>
          <w:color w:val="000000"/>
        </w:rPr>
        <w:t> </w:t>
      </w:r>
      <w:r>
        <w:rPr>
          <w:i/>
          <w:iCs/>
          <w:color w:val="000000"/>
        </w:rPr>
        <w:t xml:space="preserve">Growth in new fan-focused technologies, women’s sports </w:t>
      </w:r>
      <w:proofErr w:type="gramStart"/>
      <w:r>
        <w:rPr>
          <w:i/>
          <w:iCs/>
          <w:color w:val="000000"/>
        </w:rPr>
        <w:t>creates</w:t>
      </w:r>
      <w:proofErr w:type="gramEnd"/>
      <w:r>
        <w:rPr>
          <w:i/>
          <w:iCs/>
          <w:color w:val="000000"/>
        </w:rPr>
        <w:t xml:space="preserve"> exciting opportunities for global sports</w:t>
      </w:r>
      <w:r>
        <w:rPr>
          <w:color w:val="000000"/>
        </w:rPr>
        <w:t>. Altman Solon. https://www.altmansolon.com/insights/growth-in-new-fan-focused-technologies-womens-sports-creates-exciting-opportunities-for-global-sports/</w:t>
      </w:r>
    </w:p>
    <w:p w14:paraId="00E8AE97" w14:textId="77777777" w:rsidR="007D0519" w:rsidRDefault="007D0519" w:rsidP="007D0519">
      <w:pPr>
        <w:pStyle w:val="NormalWeb"/>
        <w:shd w:val="clear" w:color="auto" w:fill="FFFFFF"/>
        <w:spacing w:before="0" w:beforeAutospacing="0" w:after="0" w:afterAutospacing="0" w:line="480" w:lineRule="atLeast"/>
        <w:ind w:left="720" w:hanging="720"/>
        <w:rPr>
          <w:color w:val="000000"/>
        </w:rPr>
      </w:pPr>
      <w:r>
        <w:rPr>
          <w:color w:val="000000"/>
        </w:rPr>
        <w:t xml:space="preserve">Andersson, P., </w:t>
      </w:r>
      <w:proofErr w:type="spellStart"/>
      <w:r>
        <w:rPr>
          <w:color w:val="000000"/>
        </w:rPr>
        <w:t>Memmert</w:t>
      </w:r>
      <w:proofErr w:type="spellEnd"/>
      <w:r>
        <w:rPr>
          <w:color w:val="000000"/>
        </w:rPr>
        <w:t>, D., &amp; Popowicz, E. (2009). Forecasting outcomes of the World Cup 2006 in football: Performance and confidence of bettors and laypeople.</w:t>
      </w:r>
      <w:r>
        <w:rPr>
          <w:rStyle w:val="apple-converted-space"/>
          <w:color w:val="000000"/>
        </w:rPr>
        <w:t> </w:t>
      </w:r>
      <w:r>
        <w:rPr>
          <w:i/>
          <w:iCs/>
          <w:color w:val="000000"/>
        </w:rPr>
        <w:t>Psychology of Sport and Exercise</w:t>
      </w:r>
      <w:r>
        <w:rPr>
          <w:color w:val="000000"/>
        </w:rPr>
        <w:t>,</w:t>
      </w:r>
      <w:r>
        <w:rPr>
          <w:rStyle w:val="apple-converted-space"/>
          <w:color w:val="000000"/>
        </w:rPr>
        <w:t> </w:t>
      </w:r>
      <w:r>
        <w:rPr>
          <w:i/>
          <w:iCs/>
          <w:color w:val="000000"/>
        </w:rPr>
        <w:t>10</w:t>
      </w:r>
      <w:r>
        <w:rPr>
          <w:color w:val="000000"/>
        </w:rPr>
        <w:t>(1), 116–123. https://doi.org/10.1016/j.psychsport.2008.07.008</w:t>
      </w:r>
    </w:p>
    <w:p w14:paraId="797E84DC" w14:textId="77777777" w:rsidR="007D0519" w:rsidRDefault="007D0519" w:rsidP="007D0519">
      <w:pPr>
        <w:pStyle w:val="NormalWeb"/>
        <w:shd w:val="clear" w:color="auto" w:fill="FFFFFF"/>
        <w:spacing w:before="0" w:beforeAutospacing="0" w:after="0" w:afterAutospacing="0" w:line="480" w:lineRule="atLeast"/>
        <w:ind w:left="720" w:hanging="720"/>
        <w:rPr>
          <w:color w:val="000000"/>
        </w:rPr>
      </w:pPr>
      <w:r>
        <w:rPr>
          <w:color w:val="000000"/>
        </w:rPr>
        <w:t>Bank of England. (2023).</w:t>
      </w:r>
      <w:r>
        <w:rPr>
          <w:rStyle w:val="apple-converted-space"/>
          <w:color w:val="000000"/>
        </w:rPr>
        <w:t> </w:t>
      </w:r>
      <w:r>
        <w:rPr>
          <w:i/>
          <w:iCs/>
          <w:color w:val="000000"/>
        </w:rPr>
        <w:t>Interest rates and Bank Rate</w:t>
      </w:r>
      <w:r>
        <w:rPr>
          <w:color w:val="000000"/>
        </w:rPr>
        <w:t>. Bank of England; Bank of England. https://www.bankofengland.co.uk/monetary-policy/the-interest-rate-bank-rate</w:t>
      </w:r>
    </w:p>
    <w:p w14:paraId="05BBD9FF" w14:textId="77777777" w:rsidR="007D0519" w:rsidRDefault="007D0519" w:rsidP="007D0519">
      <w:pPr>
        <w:pStyle w:val="NormalWeb"/>
        <w:shd w:val="clear" w:color="auto" w:fill="FFFFFF"/>
        <w:spacing w:before="0" w:beforeAutospacing="0" w:after="0" w:afterAutospacing="0" w:line="480" w:lineRule="atLeast"/>
        <w:ind w:left="720" w:hanging="720"/>
        <w:rPr>
          <w:color w:val="000000"/>
        </w:rPr>
      </w:pPr>
      <w:r>
        <w:rPr>
          <w:color w:val="000000"/>
        </w:rPr>
        <w:t>Banos, K. (2018, May 11).</w:t>
      </w:r>
      <w:r>
        <w:rPr>
          <w:rStyle w:val="apple-converted-space"/>
          <w:color w:val="000000"/>
        </w:rPr>
        <w:t> </w:t>
      </w:r>
      <w:r>
        <w:rPr>
          <w:i/>
          <w:iCs/>
          <w:color w:val="000000"/>
        </w:rPr>
        <w:t xml:space="preserve">The Impact of Foreign Players on the Performance of a Football Club - </w:t>
      </w:r>
      <w:proofErr w:type="spellStart"/>
      <w:r>
        <w:rPr>
          <w:i/>
          <w:iCs/>
          <w:color w:val="000000"/>
        </w:rPr>
        <w:t>Statathlon</w:t>
      </w:r>
      <w:proofErr w:type="spellEnd"/>
      <w:r>
        <w:rPr>
          <w:color w:val="000000"/>
        </w:rPr>
        <w:t xml:space="preserve">. </w:t>
      </w:r>
      <w:proofErr w:type="spellStart"/>
      <w:r>
        <w:rPr>
          <w:color w:val="000000"/>
        </w:rPr>
        <w:t>Statathlon</w:t>
      </w:r>
      <w:proofErr w:type="spellEnd"/>
      <w:r>
        <w:rPr>
          <w:color w:val="000000"/>
        </w:rPr>
        <w:t>: Intelligence as a Service. https://statathlon.com/the-impact-of-foreign-players-on-the-performance/</w:t>
      </w:r>
    </w:p>
    <w:p w14:paraId="12A6C436" w14:textId="77777777" w:rsidR="007D0519" w:rsidRDefault="007D0519" w:rsidP="007D0519">
      <w:pPr>
        <w:pStyle w:val="NormalWeb"/>
        <w:shd w:val="clear" w:color="auto" w:fill="FFFFFF"/>
        <w:spacing w:before="0" w:beforeAutospacing="0" w:after="0" w:afterAutospacing="0" w:line="480" w:lineRule="atLeast"/>
        <w:ind w:left="720" w:hanging="720"/>
        <w:rPr>
          <w:color w:val="000000"/>
        </w:rPr>
      </w:pPr>
      <w:r>
        <w:rPr>
          <w:color w:val="000000"/>
        </w:rPr>
        <w:t>Bell, A. R., Brooks, C., &amp; Markham, T. (2013). Does Managerial Turnover Affect Football Club Share Prices?</w:t>
      </w:r>
      <w:r>
        <w:rPr>
          <w:rStyle w:val="apple-converted-space"/>
          <w:color w:val="000000"/>
        </w:rPr>
        <w:t> </w:t>
      </w:r>
      <w:r>
        <w:rPr>
          <w:i/>
          <w:iCs/>
          <w:color w:val="000000"/>
        </w:rPr>
        <w:t>ProQuest</w:t>
      </w:r>
      <w:r>
        <w:rPr>
          <w:color w:val="000000"/>
        </w:rPr>
        <w:t>, 2–20. https://www.proquest.com/docview/1506899212</w:t>
      </w:r>
    </w:p>
    <w:p w14:paraId="22C2046A" w14:textId="77777777" w:rsidR="007D0519" w:rsidRDefault="007D0519" w:rsidP="007D0519">
      <w:pPr>
        <w:pStyle w:val="NormalWeb"/>
        <w:shd w:val="clear" w:color="auto" w:fill="FFFFFF"/>
        <w:spacing w:before="0" w:beforeAutospacing="0" w:after="0" w:afterAutospacing="0" w:line="480" w:lineRule="atLeast"/>
        <w:ind w:left="720" w:hanging="720"/>
        <w:rPr>
          <w:color w:val="000000"/>
        </w:rPr>
      </w:pPr>
      <w:proofErr w:type="spellStart"/>
      <w:r>
        <w:rPr>
          <w:color w:val="000000"/>
        </w:rPr>
        <w:t>Bernile</w:t>
      </w:r>
      <w:proofErr w:type="spellEnd"/>
      <w:r>
        <w:rPr>
          <w:color w:val="000000"/>
        </w:rPr>
        <w:t xml:space="preserve">, G., &amp; </w:t>
      </w:r>
      <w:proofErr w:type="spellStart"/>
      <w:r>
        <w:rPr>
          <w:color w:val="000000"/>
        </w:rPr>
        <w:t>Lyandres</w:t>
      </w:r>
      <w:proofErr w:type="spellEnd"/>
      <w:r>
        <w:rPr>
          <w:color w:val="000000"/>
        </w:rPr>
        <w:t>, E. (2011).</w:t>
      </w:r>
      <w:r>
        <w:rPr>
          <w:rStyle w:val="apple-converted-space"/>
          <w:color w:val="000000"/>
        </w:rPr>
        <w:t> </w:t>
      </w:r>
      <w:r>
        <w:rPr>
          <w:i/>
          <w:iCs/>
          <w:color w:val="000000"/>
        </w:rPr>
        <w:t>Understanding Investor Sentiment: The Case of Soccer</w:t>
      </w:r>
      <w:r>
        <w:rPr>
          <w:color w:val="000000"/>
        </w:rPr>
        <w:t>. Papers.ssrn.com. https://papers.ssrn.com/sol3/papers.cfm?abstract_id=1343685</w:t>
      </w:r>
    </w:p>
    <w:p w14:paraId="08302436" w14:textId="77777777" w:rsidR="007D0519" w:rsidRDefault="007D0519" w:rsidP="007D0519">
      <w:pPr>
        <w:pStyle w:val="NormalWeb"/>
        <w:shd w:val="clear" w:color="auto" w:fill="FFFFFF"/>
        <w:spacing w:before="0" w:beforeAutospacing="0" w:after="0" w:afterAutospacing="0" w:line="480" w:lineRule="atLeast"/>
        <w:ind w:left="720" w:hanging="720"/>
        <w:rPr>
          <w:color w:val="000000"/>
        </w:rPr>
      </w:pPr>
      <w:r>
        <w:rPr>
          <w:color w:val="000000"/>
        </w:rPr>
        <w:t>Carrera, K. (2021, November 28).</w:t>
      </w:r>
      <w:r>
        <w:rPr>
          <w:rStyle w:val="apple-converted-space"/>
          <w:color w:val="000000"/>
        </w:rPr>
        <w:t> </w:t>
      </w:r>
      <w:r>
        <w:rPr>
          <w:i/>
          <w:iCs/>
          <w:color w:val="000000"/>
        </w:rPr>
        <w:t>Premier League vs Championship: FINANCIAL COMPARISON</w:t>
      </w:r>
      <w:r>
        <w:rPr>
          <w:color w:val="000000"/>
        </w:rPr>
        <w:t xml:space="preserve">. </w:t>
      </w:r>
      <w:proofErr w:type="spellStart"/>
      <w:r>
        <w:rPr>
          <w:color w:val="000000"/>
        </w:rPr>
        <w:t>SQaF</w:t>
      </w:r>
      <w:proofErr w:type="spellEnd"/>
      <w:r>
        <w:rPr>
          <w:color w:val="000000"/>
        </w:rPr>
        <w:t>. https://sqaf.club/premier-league-vs-championship-money/</w:t>
      </w:r>
    </w:p>
    <w:p w14:paraId="39E9ECF5" w14:textId="77777777" w:rsidR="007D0519" w:rsidRDefault="007D0519" w:rsidP="007D0519">
      <w:pPr>
        <w:pStyle w:val="NormalWeb"/>
        <w:shd w:val="clear" w:color="auto" w:fill="FFFFFF"/>
        <w:spacing w:before="0" w:beforeAutospacing="0" w:after="0" w:afterAutospacing="0" w:line="480" w:lineRule="atLeast"/>
        <w:ind w:left="720" w:hanging="720"/>
        <w:rPr>
          <w:color w:val="000000"/>
        </w:rPr>
      </w:pPr>
      <w:r>
        <w:rPr>
          <w:color w:val="000000"/>
        </w:rPr>
        <w:t>Clark, D. (2022, November 21).</w:t>
      </w:r>
      <w:r>
        <w:rPr>
          <w:rStyle w:val="apple-converted-space"/>
          <w:color w:val="000000"/>
        </w:rPr>
        <w:t> </w:t>
      </w:r>
      <w:r>
        <w:rPr>
          <w:i/>
          <w:iCs/>
          <w:color w:val="000000"/>
        </w:rPr>
        <w:t>UK FDI flows 2021</w:t>
      </w:r>
      <w:r>
        <w:rPr>
          <w:color w:val="000000"/>
        </w:rPr>
        <w:t>. Statista. https://www.statista.com/statistics/935245/uk-fdi-flows/</w:t>
      </w:r>
    </w:p>
    <w:p w14:paraId="5E343577" w14:textId="77777777" w:rsidR="007D0519" w:rsidRDefault="007D0519" w:rsidP="007D0519">
      <w:pPr>
        <w:pStyle w:val="NormalWeb"/>
        <w:shd w:val="clear" w:color="auto" w:fill="FFFFFF"/>
        <w:spacing w:before="0" w:beforeAutospacing="0" w:after="0" w:afterAutospacing="0" w:line="480" w:lineRule="atLeast"/>
        <w:ind w:left="720" w:hanging="720"/>
        <w:rPr>
          <w:color w:val="000000"/>
        </w:rPr>
      </w:pPr>
      <w:r>
        <w:rPr>
          <w:color w:val="000000"/>
        </w:rPr>
        <w:t>Conlon, R. (2017, August 8).</w:t>
      </w:r>
      <w:r>
        <w:rPr>
          <w:rStyle w:val="apple-converted-space"/>
          <w:color w:val="000000"/>
        </w:rPr>
        <w:t> </w:t>
      </w:r>
      <w:r>
        <w:rPr>
          <w:i/>
          <w:iCs/>
          <w:color w:val="000000"/>
        </w:rPr>
        <w:t xml:space="preserve">Derby scout explains how clubs use stats to identify and </w:t>
      </w:r>
      <w:proofErr w:type="spellStart"/>
      <w:r>
        <w:rPr>
          <w:i/>
          <w:iCs/>
          <w:color w:val="000000"/>
        </w:rPr>
        <w:t>analyse</w:t>
      </w:r>
      <w:proofErr w:type="spellEnd"/>
      <w:r>
        <w:rPr>
          <w:i/>
          <w:iCs/>
          <w:color w:val="000000"/>
        </w:rPr>
        <w:t xml:space="preserve"> defenders</w:t>
      </w:r>
      <w:r>
        <w:rPr>
          <w:color w:val="000000"/>
        </w:rPr>
        <w:t>. Planet Football; Planet Football. https://www.planetfootball.com/in-depth/derby-scout-explains-clubs-use-stats-identify-analyse-defenders/</w:t>
      </w:r>
    </w:p>
    <w:p w14:paraId="13F3F47E" w14:textId="77777777" w:rsidR="007D0519" w:rsidRDefault="007D0519" w:rsidP="007D0519">
      <w:pPr>
        <w:pStyle w:val="NormalWeb"/>
        <w:shd w:val="clear" w:color="auto" w:fill="FFFFFF"/>
        <w:spacing w:before="0" w:beforeAutospacing="0" w:after="0" w:afterAutospacing="0" w:line="480" w:lineRule="atLeast"/>
        <w:ind w:left="720" w:hanging="720"/>
        <w:rPr>
          <w:color w:val="000000"/>
        </w:rPr>
      </w:pPr>
      <w:r>
        <w:rPr>
          <w:color w:val="000000"/>
        </w:rPr>
        <w:t>Doyle, C. (2022, April 10).</w:t>
      </w:r>
      <w:r>
        <w:rPr>
          <w:rStyle w:val="apple-converted-space"/>
          <w:color w:val="000000"/>
        </w:rPr>
        <w:t> </w:t>
      </w:r>
      <w:r>
        <w:rPr>
          <w:i/>
          <w:iCs/>
          <w:color w:val="000000"/>
        </w:rPr>
        <w:t>Premier League Prize Money by Position [2021/22]</w:t>
      </w:r>
      <w:r>
        <w:rPr>
          <w:color w:val="000000"/>
        </w:rPr>
        <w:t xml:space="preserve">. </w:t>
      </w:r>
      <w:proofErr w:type="spellStart"/>
      <w:r>
        <w:rPr>
          <w:color w:val="000000"/>
        </w:rPr>
        <w:t>SQaF</w:t>
      </w:r>
      <w:proofErr w:type="spellEnd"/>
      <w:r>
        <w:rPr>
          <w:color w:val="000000"/>
        </w:rPr>
        <w:t>. https://sqaf.club/premier-league-position-prize-money/</w:t>
      </w:r>
    </w:p>
    <w:p w14:paraId="10F74C95" w14:textId="77777777" w:rsidR="007D0519" w:rsidRDefault="007D0519" w:rsidP="007D0519">
      <w:pPr>
        <w:pStyle w:val="NormalWeb"/>
        <w:shd w:val="clear" w:color="auto" w:fill="FFFFFF"/>
        <w:spacing w:before="0" w:beforeAutospacing="0" w:after="0" w:afterAutospacing="0" w:line="480" w:lineRule="atLeast"/>
        <w:ind w:left="720" w:hanging="720"/>
        <w:rPr>
          <w:color w:val="000000"/>
        </w:rPr>
      </w:pPr>
      <w:r>
        <w:rPr>
          <w:color w:val="000000"/>
        </w:rPr>
        <w:lastRenderedPageBreak/>
        <w:t>English Premier League. (n.d.).</w:t>
      </w:r>
      <w:r>
        <w:rPr>
          <w:rStyle w:val="apple-converted-space"/>
          <w:color w:val="000000"/>
        </w:rPr>
        <w:t> </w:t>
      </w:r>
      <w:r>
        <w:rPr>
          <w:i/>
          <w:iCs/>
          <w:color w:val="000000"/>
        </w:rPr>
        <w:t>European qualification for UEFA competitions explained</w:t>
      </w:r>
      <w:r>
        <w:rPr>
          <w:color w:val="000000"/>
        </w:rPr>
        <w:t>. Www.premierleague.com. https://www.premierleague.com/european-qualification-explained</w:t>
      </w:r>
    </w:p>
    <w:p w14:paraId="7A41BC8D" w14:textId="77777777" w:rsidR="007D0519" w:rsidRDefault="007D0519" w:rsidP="007D0519">
      <w:pPr>
        <w:pStyle w:val="NormalWeb"/>
        <w:shd w:val="clear" w:color="auto" w:fill="FFFFFF"/>
        <w:spacing w:before="0" w:beforeAutospacing="0" w:after="0" w:afterAutospacing="0" w:line="480" w:lineRule="atLeast"/>
        <w:ind w:left="720" w:hanging="720"/>
        <w:rPr>
          <w:color w:val="000000"/>
        </w:rPr>
      </w:pPr>
      <w:proofErr w:type="spellStart"/>
      <w:r>
        <w:rPr>
          <w:color w:val="000000"/>
        </w:rPr>
        <w:t>FBref</w:t>
      </w:r>
      <w:proofErr w:type="spellEnd"/>
      <w:r>
        <w:rPr>
          <w:color w:val="000000"/>
        </w:rPr>
        <w:t>. (n.d.).</w:t>
      </w:r>
      <w:r>
        <w:rPr>
          <w:rStyle w:val="apple-converted-space"/>
          <w:color w:val="000000"/>
        </w:rPr>
        <w:t> </w:t>
      </w:r>
      <w:r>
        <w:rPr>
          <w:i/>
          <w:iCs/>
          <w:color w:val="000000"/>
        </w:rPr>
        <w:t>Scouting Reports Explained</w:t>
      </w:r>
      <w:r>
        <w:rPr>
          <w:color w:val="000000"/>
        </w:rPr>
        <w:t>. FBref.com. https://fbref.com/en/about/scouting-reports-explained</w:t>
      </w:r>
    </w:p>
    <w:p w14:paraId="46EB77EA" w14:textId="77777777" w:rsidR="007D0519" w:rsidRDefault="007D0519" w:rsidP="007D0519">
      <w:pPr>
        <w:pStyle w:val="NormalWeb"/>
        <w:shd w:val="clear" w:color="auto" w:fill="FFFFFF"/>
        <w:spacing w:before="0" w:beforeAutospacing="0" w:after="0" w:afterAutospacing="0" w:line="480" w:lineRule="atLeast"/>
        <w:ind w:left="720" w:hanging="720"/>
        <w:rPr>
          <w:color w:val="000000"/>
        </w:rPr>
      </w:pPr>
      <w:proofErr w:type="spellStart"/>
      <w:r>
        <w:rPr>
          <w:color w:val="000000"/>
        </w:rPr>
        <w:t>Flintham</w:t>
      </w:r>
      <w:proofErr w:type="spellEnd"/>
      <w:r>
        <w:rPr>
          <w:color w:val="000000"/>
        </w:rPr>
        <w:t>, J. (2022, March 20).</w:t>
      </w:r>
      <w:r>
        <w:rPr>
          <w:rStyle w:val="apple-converted-space"/>
          <w:color w:val="000000"/>
        </w:rPr>
        <w:t> </w:t>
      </w:r>
      <w:r>
        <w:rPr>
          <w:i/>
          <w:iCs/>
          <w:color w:val="000000"/>
        </w:rPr>
        <w:t>Manchester United facing “£1.5bn bill” to rebuild Old Trafford</w:t>
      </w:r>
      <w:r>
        <w:rPr>
          <w:color w:val="000000"/>
        </w:rPr>
        <w:t>. Manchester Evening News. https://www.manchestereveningnews.co.uk/sport/football/football-news/old-trafford-expensive-united-rebuild-23445262</w:t>
      </w:r>
    </w:p>
    <w:p w14:paraId="52642E3D" w14:textId="77777777" w:rsidR="007D0519" w:rsidRDefault="007D0519" w:rsidP="007D0519">
      <w:pPr>
        <w:pStyle w:val="NormalWeb"/>
        <w:shd w:val="clear" w:color="auto" w:fill="FFFFFF"/>
        <w:spacing w:before="0" w:beforeAutospacing="0" w:after="0" w:afterAutospacing="0" w:line="480" w:lineRule="atLeast"/>
        <w:ind w:left="720" w:hanging="720"/>
        <w:rPr>
          <w:color w:val="000000"/>
        </w:rPr>
      </w:pPr>
      <w:r>
        <w:rPr>
          <w:color w:val="000000"/>
        </w:rPr>
        <w:t xml:space="preserve">Forrest, D., &amp; Simmons, R. (2000). Forecasting sport: the </w:t>
      </w:r>
      <w:proofErr w:type="spellStart"/>
      <w:r>
        <w:rPr>
          <w:color w:val="000000"/>
        </w:rPr>
        <w:t>behaviour</w:t>
      </w:r>
      <w:proofErr w:type="spellEnd"/>
      <w:r>
        <w:rPr>
          <w:color w:val="000000"/>
        </w:rPr>
        <w:t xml:space="preserve"> and performance of football tipsters.</w:t>
      </w:r>
      <w:r>
        <w:rPr>
          <w:rStyle w:val="apple-converted-space"/>
          <w:color w:val="000000"/>
        </w:rPr>
        <w:t> </w:t>
      </w:r>
      <w:r>
        <w:rPr>
          <w:i/>
          <w:iCs/>
          <w:color w:val="000000"/>
        </w:rPr>
        <w:t>International Journal of Forecasting</w:t>
      </w:r>
      <w:r>
        <w:rPr>
          <w:color w:val="000000"/>
        </w:rPr>
        <w:t>,</w:t>
      </w:r>
      <w:r>
        <w:rPr>
          <w:rStyle w:val="apple-converted-space"/>
          <w:color w:val="000000"/>
        </w:rPr>
        <w:t> </w:t>
      </w:r>
      <w:r>
        <w:rPr>
          <w:i/>
          <w:iCs/>
          <w:color w:val="000000"/>
        </w:rPr>
        <w:t>16</w:t>
      </w:r>
      <w:r>
        <w:rPr>
          <w:color w:val="000000"/>
        </w:rPr>
        <w:t>(3), 317–331. https://doi.org/10.1016/s0169-2070(00)00050-9</w:t>
      </w:r>
    </w:p>
    <w:p w14:paraId="684EB904" w14:textId="77777777" w:rsidR="007D0519" w:rsidRDefault="007D0519" w:rsidP="007D0519">
      <w:pPr>
        <w:pStyle w:val="NormalWeb"/>
        <w:shd w:val="clear" w:color="auto" w:fill="FFFFFF"/>
        <w:spacing w:before="0" w:beforeAutospacing="0" w:after="0" w:afterAutospacing="0" w:line="480" w:lineRule="atLeast"/>
        <w:ind w:left="720" w:hanging="720"/>
        <w:rPr>
          <w:color w:val="000000"/>
        </w:rPr>
      </w:pPr>
      <w:r>
        <w:rPr>
          <w:color w:val="000000"/>
        </w:rPr>
        <w:t>G, M. (2011, November 26).</w:t>
      </w:r>
      <w:r>
        <w:rPr>
          <w:rStyle w:val="apple-converted-space"/>
          <w:color w:val="000000"/>
        </w:rPr>
        <w:t> </w:t>
      </w:r>
      <w:r>
        <w:rPr>
          <w:i/>
          <w:iCs/>
          <w:color w:val="000000"/>
        </w:rPr>
        <w:t>Manchester United and 15 Best Supported Clubs in World Football</w:t>
      </w:r>
      <w:r>
        <w:rPr>
          <w:color w:val="000000"/>
        </w:rPr>
        <w:t>. Bleacher Report. https://bleacherreport.com/articles/865275-manchester-united-and-15-best-supported-clubs-in-world-football</w:t>
      </w:r>
    </w:p>
    <w:p w14:paraId="2F1CCD02" w14:textId="77777777" w:rsidR="007D0519" w:rsidRDefault="007D0519" w:rsidP="007D0519">
      <w:pPr>
        <w:pStyle w:val="NormalWeb"/>
        <w:shd w:val="clear" w:color="auto" w:fill="FFFFFF"/>
        <w:spacing w:before="0" w:beforeAutospacing="0" w:after="0" w:afterAutospacing="0" w:line="480" w:lineRule="atLeast"/>
        <w:ind w:left="720" w:hanging="720"/>
        <w:rPr>
          <w:color w:val="000000"/>
        </w:rPr>
      </w:pPr>
      <w:proofErr w:type="spellStart"/>
      <w:r>
        <w:rPr>
          <w:color w:val="000000"/>
        </w:rPr>
        <w:t>Gasquez</w:t>
      </w:r>
      <w:proofErr w:type="spellEnd"/>
      <w:r>
        <w:rPr>
          <w:color w:val="000000"/>
        </w:rPr>
        <w:t>, R., &amp; Royuela, V. (2016, March).</w:t>
      </w:r>
      <w:r>
        <w:rPr>
          <w:rStyle w:val="apple-converted-space"/>
          <w:color w:val="000000"/>
        </w:rPr>
        <w:t> </w:t>
      </w:r>
      <w:r>
        <w:rPr>
          <w:i/>
          <w:iCs/>
          <w:color w:val="000000"/>
        </w:rPr>
        <w:t>The Determinants of International Football Success: A Panel Data Analysis of the Elo Rating</w:t>
      </w:r>
      <w:r>
        <w:rPr>
          <w:color w:val="000000"/>
        </w:rPr>
        <w:t>. https://www.researchgate.net/publication/298901587_The_Determinants_of_International_Football_Success_A_Panel_Data_Analysis_of_the_Elo_Rating</w:t>
      </w:r>
    </w:p>
    <w:p w14:paraId="7EF1978B" w14:textId="77777777" w:rsidR="007D0519" w:rsidRDefault="007D0519" w:rsidP="007D0519">
      <w:pPr>
        <w:pStyle w:val="NormalWeb"/>
        <w:shd w:val="clear" w:color="auto" w:fill="FFFFFF"/>
        <w:spacing w:before="0" w:beforeAutospacing="0" w:after="0" w:afterAutospacing="0" w:line="480" w:lineRule="atLeast"/>
        <w:ind w:left="720" w:hanging="720"/>
        <w:rPr>
          <w:color w:val="000000"/>
        </w:rPr>
      </w:pPr>
      <w:r>
        <w:rPr>
          <w:color w:val="000000"/>
        </w:rPr>
        <w:t>Glaze, A. (2023, January 31).</w:t>
      </w:r>
      <w:r>
        <w:rPr>
          <w:rStyle w:val="apple-converted-space"/>
          <w:color w:val="000000"/>
        </w:rPr>
        <w:t> </w:t>
      </w:r>
      <w:r>
        <w:rPr>
          <w:i/>
          <w:iCs/>
          <w:color w:val="000000"/>
        </w:rPr>
        <w:t>Council Post: How Rising Interest Rates Can Hurt—Or Help—Businesses</w:t>
      </w:r>
      <w:r>
        <w:rPr>
          <w:color w:val="000000"/>
        </w:rPr>
        <w:t>. Forbes. https://www.forbes.com/sites/forbesfinancecouncil/2023/01/31/how-rising-interest-rates-can-hurt-or-help-businesses/?sh=4b38ba5624f0</w:t>
      </w:r>
    </w:p>
    <w:p w14:paraId="154FBD30" w14:textId="77777777" w:rsidR="007D0519" w:rsidRDefault="007D0519" w:rsidP="007D0519">
      <w:pPr>
        <w:pStyle w:val="NormalWeb"/>
        <w:shd w:val="clear" w:color="auto" w:fill="FFFFFF"/>
        <w:spacing w:before="0" w:beforeAutospacing="0" w:after="0" w:afterAutospacing="0" w:line="480" w:lineRule="atLeast"/>
        <w:ind w:left="720" w:hanging="720"/>
        <w:rPr>
          <w:color w:val="000000"/>
        </w:rPr>
      </w:pPr>
      <w:proofErr w:type="spellStart"/>
      <w:r>
        <w:rPr>
          <w:color w:val="000000"/>
        </w:rPr>
        <w:t>GlobalData</w:t>
      </w:r>
      <w:proofErr w:type="spellEnd"/>
      <w:r>
        <w:rPr>
          <w:color w:val="000000"/>
        </w:rPr>
        <w:t>. (2022, November).</w:t>
      </w:r>
      <w:r>
        <w:rPr>
          <w:rStyle w:val="apple-converted-space"/>
          <w:color w:val="000000"/>
        </w:rPr>
        <w:t> </w:t>
      </w:r>
      <w:r>
        <w:rPr>
          <w:i/>
          <w:iCs/>
          <w:color w:val="000000"/>
        </w:rPr>
        <w:t>Market Size of the Sports betting Industry in the UK (2017-2021, $ Billion)</w:t>
      </w:r>
      <w:r>
        <w:rPr>
          <w:color w:val="000000"/>
        </w:rPr>
        <w:t>. Www.globaldata.com. https://www.globaldata.com/data-insights/travel-and-tourism/market-size-of-the-sports-betting-industry-in-the-uk/</w:t>
      </w:r>
    </w:p>
    <w:p w14:paraId="2F19A07F" w14:textId="77777777" w:rsidR="007D0519" w:rsidRDefault="007D0519" w:rsidP="007D0519">
      <w:pPr>
        <w:pStyle w:val="NormalWeb"/>
        <w:shd w:val="clear" w:color="auto" w:fill="FFFFFF"/>
        <w:spacing w:before="0" w:beforeAutospacing="0" w:after="0" w:afterAutospacing="0" w:line="480" w:lineRule="atLeast"/>
        <w:ind w:left="720" w:hanging="720"/>
        <w:rPr>
          <w:color w:val="000000"/>
        </w:rPr>
      </w:pPr>
      <w:proofErr w:type="spellStart"/>
      <w:r>
        <w:rPr>
          <w:color w:val="000000"/>
        </w:rPr>
        <w:t>Grimditch</w:t>
      </w:r>
      <w:proofErr w:type="spellEnd"/>
      <w:r>
        <w:rPr>
          <w:color w:val="000000"/>
        </w:rPr>
        <w:t>, J. (2022, March 15).</w:t>
      </w:r>
      <w:r>
        <w:rPr>
          <w:rStyle w:val="apple-converted-space"/>
          <w:color w:val="000000"/>
        </w:rPr>
        <w:t> </w:t>
      </w:r>
      <w:r>
        <w:rPr>
          <w:i/>
          <w:iCs/>
          <w:color w:val="000000"/>
        </w:rPr>
        <w:t xml:space="preserve">The </w:t>
      </w:r>
      <w:proofErr w:type="spellStart"/>
      <w:r>
        <w:rPr>
          <w:i/>
          <w:iCs/>
          <w:color w:val="000000"/>
        </w:rPr>
        <w:t>Galácticos</w:t>
      </w:r>
      <w:proofErr w:type="spellEnd"/>
      <w:r>
        <w:rPr>
          <w:i/>
          <w:iCs/>
          <w:color w:val="000000"/>
        </w:rPr>
        <w:t>: how not to forge identity in a changing football climate</w:t>
      </w:r>
      <w:r>
        <w:rPr>
          <w:color w:val="000000"/>
        </w:rPr>
        <w:t>. Varsity Online. https://www.varsity.co.uk/sport/23371</w:t>
      </w:r>
    </w:p>
    <w:p w14:paraId="052EFB9C" w14:textId="77777777" w:rsidR="007D0519" w:rsidRDefault="007D0519" w:rsidP="007D0519">
      <w:pPr>
        <w:pStyle w:val="NormalWeb"/>
        <w:shd w:val="clear" w:color="auto" w:fill="FFFFFF"/>
        <w:spacing w:before="0" w:beforeAutospacing="0" w:after="0" w:afterAutospacing="0" w:line="480" w:lineRule="atLeast"/>
        <w:ind w:left="720" w:hanging="720"/>
        <w:rPr>
          <w:color w:val="000000"/>
        </w:rPr>
      </w:pPr>
      <w:r>
        <w:rPr>
          <w:color w:val="000000"/>
        </w:rPr>
        <w:lastRenderedPageBreak/>
        <w:t xml:space="preserve">Han, C., Vu, N., &amp; </w:t>
      </w:r>
      <w:proofErr w:type="spellStart"/>
      <w:r>
        <w:rPr>
          <w:color w:val="000000"/>
        </w:rPr>
        <w:t>Andås</w:t>
      </w:r>
      <w:proofErr w:type="spellEnd"/>
      <w:r>
        <w:rPr>
          <w:color w:val="000000"/>
        </w:rPr>
        <w:t>, C. (2020).</w:t>
      </w:r>
      <w:r>
        <w:rPr>
          <w:rStyle w:val="apple-converted-space"/>
          <w:color w:val="000000"/>
        </w:rPr>
        <w:t> </w:t>
      </w:r>
      <w:r>
        <w:rPr>
          <w:i/>
          <w:iCs/>
          <w:color w:val="000000"/>
        </w:rPr>
        <w:t>How will Brexit affect the English Premier League?</w:t>
      </w:r>
      <w:r>
        <w:rPr>
          <w:rStyle w:val="apple-converted-space"/>
          <w:color w:val="000000"/>
        </w:rPr>
        <w:t> </w:t>
      </w:r>
      <w:r>
        <w:rPr>
          <w:color w:val="000000"/>
        </w:rPr>
        <w:t>https://oda.oslomet.no/oda-xmlui/bitstream/handle/11250/2824185/Vu_CamillaHanNgoc-Andas_Christopher.pdf?sequence=1&amp;isAllowed=y</w:t>
      </w:r>
    </w:p>
    <w:p w14:paraId="7677507B" w14:textId="77777777" w:rsidR="007D0519" w:rsidRDefault="007D0519" w:rsidP="007D0519">
      <w:pPr>
        <w:pStyle w:val="NormalWeb"/>
        <w:shd w:val="clear" w:color="auto" w:fill="FFFFFF"/>
        <w:spacing w:before="0" w:beforeAutospacing="0" w:after="0" w:afterAutospacing="0" w:line="480" w:lineRule="atLeast"/>
        <w:ind w:left="720" w:hanging="720"/>
        <w:rPr>
          <w:color w:val="000000"/>
        </w:rPr>
      </w:pPr>
      <w:r>
        <w:rPr>
          <w:color w:val="000000"/>
        </w:rPr>
        <w:t>Hardy, M. (2019, March 13).</w:t>
      </w:r>
      <w:r>
        <w:rPr>
          <w:rStyle w:val="apple-converted-space"/>
          <w:color w:val="000000"/>
        </w:rPr>
        <w:t> </w:t>
      </w:r>
      <w:r>
        <w:rPr>
          <w:i/>
          <w:iCs/>
          <w:color w:val="000000"/>
        </w:rPr>
        <w:t xml:space="preserve">The last four seasons Premier League-clubs have paid £130 million in compensation to sacked managers | Off </w:t>
      </w:r>
      <w:proofErr w:type="gramStart"/>
      <w:r>
        <w:rPr>
          <w:i/>
          <w:iCs/>
          <w:color w:val="000000"/>
        </w:rPr>
        <w:t>The</w:t>
      </w:r>
      <w:proofErr w:type="gramEnd"/>
      <w:r>
        <w:rPr>
          <w:i/>
          <w:iCs/>
          <w:color w:val="000000"/>
        </w:rPr>
        <w:t xml:space="preserve"> Pitch</w:t>
      </w:r>
      <w:r>
        <w:rPr>
          <w:color w:val="000000"/>
        </w:rPr>
        <w:t>. Offthepitch.com. https://offthepitch.com/a/last-four-seasons-premier-league-clubs-have-paid-ps130-million-compensation-sacked-managers</w:t>
      </w:r>
    </w:p>
    <w:p w14:paraId="5A578375" w14:textId="77777777" w:rsidR="007D0519" w:rsidRDefault="007D0519" w:rsidP="007D0519">
      <w:pPr>
        <w:pStyle w:val="NormalWeb"/>
        <w:shd w:val="clear" w:color="auto" w:fill="FFFFFF"/>
        <w:spacing w:before="0" w:beforeAutospacing="0" w:after="0" w:afterAutospacing="0" w:line="480" w:lineRule="atLeast"/>
        <w:ind w:left="720" w:hanging="720"/>
        <w:rPr>
          <w:color w:val="000000"/>
        </w:rPr>
      </w:pPr>
      <w:r>
        <w:rPr>
          <w:color w:val="000000"/>
        </w:rPr>
        <w:t>HITC Sevens. (2022, October 2).</w:t>
      </w:r>
      <w:r>
        <w:rPr>
          <w:rStyle w:val="apple-converted-space"/>
          <w:color w:val="000000"/>
        </w:rPr>
        <w:t> </w:t>
      </w:r>
      <w:r>
        <w:rPr>
          <w:i/>
          <w:iCs/>
          <w:color w:val="000000"/>
        </w:rPr>
        <w:t xml:space="preserve">Ranking EVERY Premier League Academy </w:t>
      </w:r>
      <w:proofErr w:type="gramStart"/>
      <w:r>
        <w:rPr>
          <w:i/>
          <w:iCs/>
          <w:color w:val="000000"/>
        </w:rPr>
        <w:t>From</w:t>
      </w:r>
      <w:proofErr w:type="gramEnd"/>
      <w:r>
        <w:rPr>
          <w:i/>
          <w:iCs/>
          <w:color w:val="000000"/>
        </w:rPr>
        <w:t xml:space="preserve"> Worst to Best</w:t>
      </w:r>
      <w:r>
        <w:rPr>
          <w:color w:val="000000"/>
        </w:rPr>
        <w:t>. Www.youtube.com. https://www.youtube.com/watch?v=NAElplES4Uo</w:t>
      </w:r>
    </w:p>
    <w:p w14:paraId="6A5AF43F" w14:textId="77777777" w:rsidR="007D0519" w:rsidRDefault="007D0519" w:rsidP="007D0519">
      <w:pPr>
        <w:pStyle w:val="NormalWeb"/>
        <w:shd w:val="clear" w:color="auto" w:fill="FFFFFF"/>
        <w:spacing w:before="0" w:beforeAutospacing="0" w:after="0" w:afterAutospacing="0" w:line="480" w:lineRule="atLeast"/>
        <w:ind w:left="720" w:hanging="720"/>
        <w:rPr>
          <w:color w:val="000000"/>
        </w:rPr>
      </w:pPr>
      <w:r>
        <w:rPr>
          <w:color w:val="000000"/>
        </w:rPr>
        <w:t>IBIS World. (2022, April 29).</w:t>
      </w:r>
      <w:r>
        <w:rPr>
          <w:rStyle w:val="apple-converted-space"/>
          <w:color w:val="000000"/>
        </w:rPr>
        <w:t> </w:t>
      </w:r>
      <w:r>
        <w:rPr>
          <w:i/>
          <w:iCs/>
          <w:color w:val="000000"/>
        </w:rPr>
        <w:t>IBISWorld - Industry Market Research, Reports, and Statistics</w:t>
      </w:r>
      <w:r>
        <w:rPr>
          <w:color w:val="000000"/>
        </w:rPr>
        <w:t>. Www.ibisworld.com. https://www.ibisworld.com/uk/bed/sport-participation/44182/</w:t>
      </w:r>
    </w:p>
    <w:p w14:paraId="3E58FF6F" w14:textId="77777777" w:rsidR="007D0519" w:rsidRDefault="007D0519" w:rsidP="007D0519">
      <w:pPr>
        <w:pStyle w:val="NormalWeb"/>
        <w:shd w:val="clear" w:color="auto" w:fill="FFFFFF"/>
        <w:spacing w:before="0" w:beforeAutospacing="0" w:after="0" w:afterAutospacing="0" w:line="480" w:lineRule="atLeast"/>
        <w:ind w:left="720" w:hanging="720"/>
        <w:rPr>
          <w:color w:val="000000"/>
        </w:rPr>
      </w:pPr>
      <w:r>
        <w:rPr>
          <w:color w:val="000000"/>
        </w:rPr>
        <w:t>Inman, P. (2022, December 30).</w:t>
      </w:r>
      <w:r>
        <w:rPr>
          <w:rStyle w:val="apple-converted-space"/>
          <w:color w:val="000000"/>
        </w:rPr>
        <w:t> </w:t>
      </w:r>
      <w:r>
        <w:rPr>
          <w:i/>
          <w:iCs/>
          <w:color w:val="000000"/>
        </w:rPr>
        <w:t>“Groundhog year”: UK disposable incomes to fall by 3.8% in 2023</w:t>
      </w:r>
      <w:r>
        <w:rPr>
          <w:color w:val="000000"/>
        </w:rPr>
        <w:t>. The Guardian. https://www.theguardian.com/business/2022/dec/30/groundhog-year-uk-disposable-incomes-to-fall-by-38-in-2023</w:t>
      </w:r>
    </w:p>
    <w:p w14:paraId="774C2A66" w14:textId="77777777" w:rsidR="007D0519" w:rsidRDefault="007D0519" w:rsidP="007D0519">
      <w:pPr>
        <w:pStyle w:val="NormalWeb"/>
        <w:shd w:val="clear" w:color="auto" w:fill="FFFFFF"/>
        <w:spacing w:before="0" w:beforeAutospacing="0" w:after="0" w:afterAutospacing="0" w:line="480" w:lineRule="atLeast"/>
        <w:ind w:left="720" w:hanging="720"/>
        <w:rPr>
          <w:color w:val="000000"/>
        </w:rPr>
      </w:pPr>
      <w:r>
        <w:rPr>
          <w:color w:val="000000"/>
        </w:rPr>
        <w:t xml:space="preserve">Jackson, J. (2023, April 28). Sheikh </w:t>
      </w:r>
      <w:proofErr w:type="spellStart"/>
      <w:r>
        <w:rPr>
          <w:color w:val="000000"/>
        </w:rPr>
        <w:t>Jassim</w:t>
      </w:r>
      <w:proofErr w:type="spellEnd"/>
      <w:r>
        <w:rPr>
          <w:color w:val="000000"/>
        </w:rPr>
        <w:t xml:space="preserve"> and Sir Jim Ratcliffe lodge final Manchester United bids.</w:t>
      </w:r>
      <w:r>
        <w:rPr>
          <w:rStyle w:val="apple-converted-space"/>
          <w:color w:val="000000"/>
        </w:rPr>
        <w:t> </w:t>
      </w:r>
      <w:r>
        <w:rPr>
          <w:i/>
          <w:iCs/>
          <w:color w:val="000000"/>
        </w:rPr>
        <w:t>The Guardian</w:t>
      </w:r>
      <w:r>
        <w:rPr>
          <w:color w:val="000000"/>
        </w:rPr>
        <w:t>. https://www.theguardian.com/football/2023/apr/28/sheikh-jassim-manchester-united-bid-glazers-ratcliffe</w:t>
      </w:r>
    </w:p>
    <w:p w14:paraId="40038C88" w14:textId="77777777" w:rsidR="007D0519" w:rsidRDefault="007D0519" w:rsidP="007D0519">
      <w:pPr>
        <w:pStyle w:val="NormalWeb"/>
        <w:shd w:val="clear" w:color="auto" w:fill="FFFFFF"/>
        <w:spacing w:before="0" w:beforeAutospacing="0" w:after="0" w:afterAutospacing="0" w:line="480" w:lineRule="atLeast"/>
        <w:ind w:left="720" w:hanging="720"/>
        <w:rPr>
          <w:color w:val="000000"/>
        </w:rPr>
      </w:pPr>
      <w:r>
        <w:rPr>
          <w:color w:val="000000"/>
        </w:rPr>
        <w:t>Kelly, R. (2021, April 21).</w:t>
      </w:r>
      <w:r>
        <w:rPr>
          <w:rStyle w:val="apple-converted-space"/>
          <w:color w:val="000000"/>
        </w:rPr>
        <w:t> </w:t>
      </w:r>
      <w:r>
        <w:rPr>
          <w:i/>
          <w:iCs/>
          <w:color w:val="000000"/>
        </w:rPr>
        <w:t xml:space="preserve">Who </w:t>
      </w:r>
      <w:proofErr w:type="gramStart"/>
      <w:r>
        <w:rPr>
          <w:i/>
          <w:iCs/>
          <w:color w:val="000000"/>
        </w:rPr>
        <w:t>are</w:t>
      </w:r>
      <w:proofErr w:type="gramEnd"/>
      <w:r>
        <w:rPr>
          <w:i/>
          <w:iCs/>
          <w:color w:val="000000"/>
        </w:rPr>
        <w:t xml:space="preserve"> the Premier League “big six”? Top English clubs &amp; nickname explained | Goal.com</w:t>
      </w:r>
      <w:r>
        <w:rPr>
          <w:color w:val="000000"/>
        </w:rPr>
        <w:t>. Www.goal.com. https://www.goal.com/en/news/who-are-premier-league-big-six-top-english-clubs-nickname-explained/130iokmi8t8dt1k3kudou73s1k</w:t>
      </w:r>
    </w:p>
    <w:p w14:paraId="63331273" w14:textId="77777777" w:rsidR="007D0519" w:rsidRDefault="007D0519" w:rsidP="007D0519">
      <w:pPr>
        <w:pStyle w:val="NormalWeb"/>
        <w:shd w:val="clear" w:color="auto" w:fill="FFFFFF"/>
        <w:spacing w:before="0" w:beforeAutospacing="0" w:after="0" w:afterAutospacing="0" w:line="480" w:lineRule="atLeast"/>
        <w:ind w:left="720" w:hanging="720"/>
        <w:rPr>
          <w:color w:val="000000"/>
        </w:rPr>
      </w:pPr>
      <w:r>
        <w:rPr>
          <w:color w:val="000000"/>
        </w:rPr>
        <w:t>Kenmare, J. (2022, October 30).</w:t>
      </w:r>
      <w:r>
        <w:rPr>
          <w:rStyle w:val="apple-converted-space"/>
          <w:color w:val="000000"/>
        </w:rPr>
        <w:t> </w:t>
      </w:r>
      <w:proofErr w:type="gramStart"/>
      <w:r>
        <w:rPr>
          <w:i/>
          <w:iCs/>
          <w:color w:val="000000"/>
        </w:rPr>
        <w:t>Man</w:t>
      </w:r>
      <w:proofErr w:type="gramEnd"/>
      <w:r>
        <w:rPr>
          <w:i/>
          <w:iCs/>
          <w:color w:val="000000"/>
        </w:rPr>
        <w:t xml:space="preserve"> Utd have named an academy graduate in their squad for the last 85 years</w:t>
      </w:r>
      <w:r>
        <w:rPr>
          <w:color w:val="000000"/>
        </w:rPr>
        <w:t xml:space="preserve">. </w:t>
      </w:r>
      <w:proofErr w:type="spellStart"/>
      <w:r>
        <w:rPr>
          <w:color w:val="000000"/>
        </w:rPr>
        <w:t>SPORTbible</w:t>
      </w:r>
      <w:proofErr w:type="spellEnd"/>
      <w:r>
        <w:rPr>
          <w:color w:val="000000"/>
        </w:rPr>
        <w:t>. https://www.sportbible.com/football/man-utd-premier-league-west-ham-squad-academy-20221030</w:t>
      </w:r>
    </w:p>
    <w:p w14:paraId="3957A5D6" w14:textId="77777777" w:rsidR="007D0519" w:rsidRDefault="007D0519" w:rsidP="007D0519">
      <w:pPr>
        <w:pStyle w:val="NormalWeb"/>
        <w:shd w:val="clear" w:color="auto" w:fill="FFFFFF"/>
        <w:spacing w:before="0" w:beforeAutospacing="0" w:after="0" w:afterAutospacing="0" w:line="480" w:lineRule="atLeast"/>
        <w:ind w:left="720" w:hanging="720"/>
        <w:rPr>
          <w:color w:val="000000"/>
        </w:rPr>
      </w:pPr>
      <w:proofErr w:type="spellStart"/>
      <w:r>
        <w:rPr>
          <w:color w:val="000000"/>
        </w:rPr>
        <w:lastRenderedPageBreak/>
        <w:t>Lisubila</w:t>
      </w:r>
      <w:proofErr w:type="spellEnd"/>
      <w:r>
        <w:rPr>
          <w:color w:val="000000"/>
        </w:rPr>
        <w:t>, S. (2022, November 10).</w:t>
      </w:r>
      <w:r>
        <w:rPr>
          <w:rStyle w:val="apple-converted-space"/>
          <w:color w:val="000000"/>
        </w:rPr>
        <w:t> </w:t>
      </w:r>
      <w:r>
        <w:rPr>
          <w:i/>
          <w:iCs/>
          <w:color w:val="000000"/>
        </w:rPr>
        <w:t>Premier League vs La Liga: Which is the best football league and why?</w:t>
      </w:r>
      <w:r>
        <w:rPr>
          <w:rStyle w:val="apple-converted-space"/>
          <w:color w:val="000000"/>
        </w:rPr>
        <w:t> </w:t>
      </w:r>
      <w:proofErr w:type="spellStart"/>
      <w:r>
        <w:rPr>
          <w:color w:val="000000"/>
        </w:rPr>
        <w:t>SportsBrief</w:t>
      </w:r>
      <w:proofErr w:type="spellEnd"/>
      <w:r>
        <w:rPr>
          <w:color w:val="000000"/>
        </w:rPr>
        <w:t xml:space="preserve"> - Sport News. https://sportsbrief.com/facts/bio/27039-premier-league-la-liga-football-league/</w:t>
      </w:r>
    </w:p>
    <w:p w14:paraId="7281D755" w14:textId="77777777" w:rsidR="007D0519" w:rsidRDefault="007D0519" w:rsidP="007D0519">
      <w:pPr>
        <w:pStyle w:val="NormalWeb"/>
        <w:shd w:val="clear" w:color="auto" w:fill="FFFFFF"/>
        <w:spacing w:before="0" w:beforeAutospacing="0" w:after="0" w:afterAutospacing="0" w:line="480" w:lineRule="atLeast"/>
        <w:ind w:left="720" w:hanging="720"/>
        <w:rPr>
          <w:color w:val="000000"/>
        </w:rPr>
      </w:pPr>
      <w:proofErr w:type="spellStart"/>
      <w:r>
        <w:rPr>
          <w:color w:val="000000"/>
        </w:rPr>
        <w:t>MacroTrends</w:t>
      </w:r>
      <w:proofErr w:type="spellEnd"/>
      <w:r>
        <w:rPr>
          <w:color w:val="000000"/>
        </w:rPr>
        <w:t>. (2022).</w:t>
      </w:r>
      <w:r>
        <w:rPr>
          <w:rStyle w:val="apple-converted-space"/>
          <w:color w:val="000000"/>
        </w:rPr>
        <w:t> </w:t>
      </w:r>
      <w:r>
        <w:rPr>
          <w:i/>
          <w:iCs/>
          <w:color w:val="000000"/>
        </w:rPr>
        <w:t>U.K. Population Growth Rate 1950-2020</w:t>
      </w:r>
      <w:r>
        <w:rPr>
          <w:color w:val="000000"/>
        </w:rPr>
        <w:t>. Www.macrotrends.net. https://www.macrotrends.net/countries/GBR/united-kingdom/population-growth-rate</w:t>
      </w:r>
    </w:p>
    <w:p w14:paraId="7A2EDADA" w14:textId="77777777" w:rsidR="007D0519" w:rsidRDefault="007D0519" w:rsidP="007D0519">
      <w:pPr>
        <w:pStyle w:val="NormalWeb"/>
        <w:shd w:val="clear" w:color="auto" w:fill="FFFFFF"/>
        <w:spacing w:before="0" w:beforeAutospacing="0" w:after="0" w:afterAutospacing="0" w:line="480" w:lineRule="atLeast"/>
        <w:ind w:left="720" w:hanging="720"/>
        <w:rPr>
          <w:color w:val="000000"/>
        </w:rPr>
      </w:pPr>
      <w:r>
        <w:rPr>
          <w:color w:val="000000"/>
        </w:rPr>
        <w:t>Manchester United. (2019).</w:t>
      </w:r>
      <w:r>
        <w:rPr>
          <w:rStyle w:val="apple-converted-space"/>
          <w:color w:val="000000"/>
        </w:rPr>
        <w:t> </w:t>
      </w:r>
      <w:r>
        <w:rPr>
          <w:i/>
          <w:iCs/>
          <w:color w:val="000000"/>
        </w:rPr>
        <w:t>About Manchester United</w:t>
      </w:r>
      <w:r>
        <w:rPr>
          <w:color w:val="000000"/>
        </w:rPr>
        <w:t>. Manutd.com. https://ir.manutd.com/company-information/about-manchester-united.aspx</w:t>
      </w:r>
    </w:p>
    <w:p w14:paraId="728ECA83" w14:textId="77777777" w:rsidR="007D0519" w:rsidRDefault="007D0519" w:rsidP="007D0519">
      <w:pPr>
        <w:pStyle w:val="NormalWeb"/>
        <w:shd w:val="clear" w:color="auto" w:fill="FFFFFF"/>
        <w:spacing w:before="0" w:beforeAutospacing="0" w:after="0" w:afterAutospacing="0" w:line="480" w:lineRule="atLeast"/>
        <w:ind w:left="720" w:hanging="720"/>
        <w:rPr>
          <w:color w:val="000000"/>
        </w:rPr>
      </w:pPr>
      <w:r>
        <w:rPr>
          <w:color w:val="000000"/>
        </w:rPr>
        <w:t>Manchester United. (2020).</w:t>
      </w:r>
      <w:r>
        <w:rPr>
          <w:rStyle w:val="apple-converted-space"/>
          <w:color w:val="000000"/>
        </w:rPr>
        <w:t> </w:t>
      </w:r>
      <w:r>
        <w:rPr>
          <w:i/>
          <w:iCs/>
          <w:color w:val="000000"/>
        </w:rPr>
        <w:t>Business Model</w:t>
      </w:r>
      <w:r>
        <w:rPr>
          <w:color w:val="000000"/>
        </w:rPr>
        <w:t>. Manutd.com. https://ir.manutd.com/company-information/business-model.aspx</w:t>
      </w:r>
    </w:p>
    <w:p w14:paraId="6AFC0464" w14:textId="77777777" w:rsidR="007D0519" w:rsidRDefault="007D0519" w:rsidP="007D0519">
      <w:pPr>
        <w:pStyle w:val="NormalWeb"/>
        <w:shd w:val="clear" w:color="auto" w:fill="FFFFFF"/>
        <w:spacing w:before="0" w:beforeAutospacing="0" w:after="0" w:afterAutospacing="0" w:line="480" w:lineRule="atLeast"/>
        <w:ind w:left="720" w:hanging="720"/>
        <w:rPr>
          <w:color w:val="000000"/>
        </w:rPr>
      </w:pPr>
      <w:proofErr w:type="spellStart"/>
      <w:r>
        <w:rPr>
          <w:color w:val="000000"/>
        </w:rPr>
        <w:t>Manoli</w:t>
      </w:r>
      <w:proofErr w:type="spellEnd"/>
      <w:r>
        <w:rPr>
          <w:color w:val="000000"/>
        </w:rPr>
        <w:t>, A. (2014).</w:t>
      </w:r>
      <w:r>
        <w:rPr>
          <w:rStyle w:val="apple-converted-space"/>
          <w:color w:val="000000"/>
        </w:rPr>
        <w:t> </w:t>
      </w:r>
      <w:r>
        <w:rPr>
          <w:i/>
          <w:iCs/>
          <w:color w:val="000000"/>
        </w:rPr>
        <w:t>The football industry through traditional management theories</w:t>
      </w:r>
      <w:r>
        <w:rPr>
          <w:color w:val="000000"/>
        </w:rPr>
        <w:t>. http://sportstudies.org/wp-content/uploads/2014/11/093-109_vol_5_2014_manoli.pdf</w:t>
      </w:r>
    </w:p>
    <w:p w14:paraId="61415375" w14:textId="77777777" w:rsidR="007D0519" w:rsidRDefault="007D0519" w:rsidP="007D0519">
      <w:pPr>
        <w:pStyle w:val="NormalWeb"/>
        <w:shd w:val="clear" w:color="auto" w:fill="FFFFFF"/>
        <w:spacing w:before="0" w:beforeAutospacing="0" w:after="0" w:afterAutospacing="0" w:line="480" w:lineRule="atLeast"/>
        <w:ind w:left="720" w:hanging="720"/>
        <w:rPr>
          <w:color w:val="000000"/>
        </w:rPr>
      </w:pPr>
      <w:proofErr w:type="spellStart"/>
      <w:r>
        <w:rPr>
          <w:color w:val="000000"/>
        </w:rPr>
        <w:t>McCambridge</w:t>
      </w:r>
      <w:proofErr w:type="spellEnd"/>
      <w:r>
        <w:rPr>
          <w:color w:val="000000"/>
        </w:rPr>
        <w:t>, E. (2023, May 5).</w:t>
      </w:r>
      <w:r>
        <w:rPr>
          <w:rStyle w:val="apple-converted-space"/>
          <w:color w:val="000000"/>
        </w:rPr>
        <w:t> </w:t>
      </w:r>
      <w:r>
        <w:rPr>
          <w:i/>
          <w:iCs/>
          <w:color w:val="000000"/>
        </w:rPr>
        <w:t>Manchester United’s transfer budget “only” £100m this summer, even if Qatari owners arrive - report</w:t>
      </w:r>
      <w:r>
        <w:rPr>
          <w:color w:val="000000"/>
        </w:rPr>
        <w:t>. Yahoo Sports. https://sports.yahoo.com/manchester-uniteds-transfer-budget-only-124234282.html</w:t>
      </w:r>
    </w:p>
    <w:p w14:paraId="222B9555" w14:textId="77777777" w:rsidR="007D0519" w:rsidRDefault="007D0519" w:rsidP="007D0519">
      <w:pPr>
        <w:pStyle w:val="NormalWeb"/>
        <w:shd w:val="clear" w:color="auto" w:fill="FFFFFF"/>
        <w:spacing w:before="0" w:beforeAutospacing="0" w:after="0" w:afterAutospacing="0" w:line="480" w:lineRule="atLeast"/>
        <w:ind w:left="720" w:hanging="720"/>
        <w:rPr>
          <w:color w:val="000000"/>
        </w:rPr>
      </w:pPr>
      <w:r>
        <w:rPr>
          <w:color w:val="000000"/>
        </w:rPr>
        <w:t>McNulty, P. (2022, August 5).</w:t>
      </w:r>
      <w:r>
        <w:rPr>
          <w:rStyle w:val="apple-converted-space"/>
          <w:color w:val="000000"/>
        </w:rPr>
        <w:t> </w:t>
      </w:r>
      <w:r>
        <w:rPr>
          <w:i/>
          <w:iCs/>
          <w:color w:val="000000"/>
        </w:rPr>
        <w:t>Ranking the 2022/2023 Premier League Stadiums</w:t>
      </w:r>
      <w:r>
        <w:rPr>
          <w:color w:val="000000"/>
        </w:rPr>
        <w:t>. 13th Man Sports. https://13thmansports.ca/2022/08/05/ranking-the-2022-2023-premier-league-stadiums/</w:t>
      </w:r>
    </w:p>
    <w:p w14:paraId="7D0CB1F2" w14:textId="77777777" w:rsidR="007D0519" w:rsidRDefault="007D0519" w:rsidP="007D0519">
      <w:pPr>
        <w:pStyle w:val="NormalWeb"/>
        <w:shd w:val="clear" w:color="auto" w:fill="FFFFFF"/>
        <w:spacing w:before="0" w:beforeAutospacing="0" w:after="0" w:afterAutospacing="0" w:line="480" w:lineRule="atLeast"/>
        <w:ind w:left="720" w:hanging="720"/>
        <w:rPr>
          <w:color w:val="000000"/>
        </w:rPr>
      </w:pPr>
      <w:r>
        <w:rPr>
          <w:color w:val="000000"/>
        </w:rPr>
        <w:t>Migration Policy Institute. (2021).</w:t>
      </w:r>
      <w:r>
        <w:rPr>
          <w:rStyle w:val="apple-converted-space"/>
          <w:color w:val="000000"/>
        </w:rPr>
        <w:t> </w:t>
      </w:r>
      <w:r>
        <w:rPr>
          <w:i/>
          <w:iCs/>
          <w:color w:val="000000"/>
        </w:rPr>
        <w:t>Top 25 Destinations of International Migrants</w:t>
      </w:r>
      <w:r>
        <w:rPr>
          <w:color w:val="000000"/>
        </w:rPr>
        <w:t>. Migrationpolicy.org. https://www.migrationpolicy.org/programs/data-hub/charts/top-25-destinations-international-migrants</w:t>
      </w:r>
    </w:p>
    <w:p w14:paraId="6B138979" w14:textId="77777777" w:rsidR="007D0519" w:rsidRDefault="007D0519" w:rsidP="007D0519">
      <w:pPr>
        <w:pStyle w:val="NormalWeb"/>
        <w:shd w:val="clear" w:color="auto" w:fill="FFFFFF"/>
        <w:spacing w:before="0" w:beforeAutospacing="0" w:after="0" w:afterAutospacing="0" w:line="480" w:lineRule="atLeast"/>
        <w:ind w:left="720" w:hanging="720"/>
        <w:rPr>
          <w:color w:val="000000"/>
        </w:rPr>
      </w:pPr>
      <w:r>
        <w:rPr>
          <w:color w:val="000000"/>
        </w:rPr>
        <w:t>Odhiambo, H. (2022, March 3).</w:t>
      </w:r>
      <w:r>
        <w:rPr>
          <w:rStyle w:val="apple-converted-space"/>
          <w:color w:val="000000"/>
        </w:rPr>
        <w:t> </w:t>
      </w:r>
      <w:r>
        <w:rPr>
          <w:i/>
          <w:iCs/>
          <w:color w:val="000000"/>
        </w:rPr>
        <w:t>Ranking the best training grounds in England 2023 with their cost</w:t>
      </w:r>
      <w:r>
        <w:rPr>
          <w:color w:val="000000"/>
        </w:rPr>
        <w:t xml:space="preserve">. </w:t>
      </w:r>
      <w:proofErr w:type="spellStart"/>
      <w:r>
        <w:rPr>
          <w:color w:val="000000"/>
        </w:rPr>
        <w:t>SportsBrief</w:t>
      </w:r>
      <w:proofErr w:type="spellEnd"/>
      <w:r>
        <w:rPr>
          <w:color w:val="000000"/>
        </w:rPr>
        <w:t xml:space="preserve"> - Sport News. https://sportsbrief.com/facts/top-listicles/12155-ranking-training-grounds-england-top/</w:t>
      </w:r>
    </w:p>
    <w:p w14:paraId="678DCAD6" w14:textId="77777777" w:rsidR="007D0519" w:rsidRDefault="007D0519" w:rsidP="007D0519">
      <w:pPr>
        <w:pStyle w:val="NormalWeb"/>
        <w:shd w:val="clear" w:color="auto" w:fill="FFFFFF"/>
        <w:spacing w:before="0" w:beforeAutospacing="0" w:after="0" w:afterAutospacing="0" w:line="480" w:lineRule="atLeast"/>
        <w:ind w:left="720" w:hanging="720"/>
        <w:rPr>
          <w:color w:val="000000"/>
        </w:rPr>
      </w:pPr>
      <w:r>
        <w:rPr>
          <w:color w:val="000000"/>
        </w:rPr>
        <w:t xml:space="preserve">Prinz, A., &amp; </w:t>
      </w:r>
      <w:proofErr w:type="spellStart"/>
      <w:r>
        <w:rPr>
          <w:color w:val="000000"/>
        </w:rPr>
        <w:t>Thiem</w:t>
      </w:r>
      <w:proofErr w:type="spellEnd"/>
      <w:r>
        <w:rPr>
          <w:color w:val="000000"/>
        </w:rPr>
        <w:t>, S. (2021). Value‐maximizing football clubs.</w:t>
      </w:r>
      <w:r>
        <w:rPr>
          <w:rStyle w:val="apple-converted-space"/>
          <w:color w:val="000000"/>
        </w:rPr>
        <w:t> </w:t>
      </w:r>
      <w:r>
        <w:rPr>
          <w:i/>
          <w:iCs/>
          <w:color w:val="000000"/>
        </w:rPr>
        <w:t>Scottish Journal of Political Economy</w:t>
      </w:r>
      <w:r>
        <w:rPr>
          <w:color w:val="000000"/>
        </w:rPr>
        <w:t>. https://doi.org/10.1111/sjpe.12282</w:t>
      </w:r>
    </w:p>
    <w:p w14:paraId="45AB5287" w14:textId="77777777" w:rsidR="007D0519" w:rsidRDefault="007D0519" w:rsidP="007D0519">
      <w:pPr>
        <w:pStyle w:val="NormalWeb"/>
        <w:shd w:val="clear" w:color="auto" w:fill="FFFFFF"/>
        <w:spacing w:before="0" w:beforeAutospacing="0" w:after="0" w:afterAutospacing="0" w:line="480" w:lineRule="atLeast"/>
        <w:ind w:left="720" w:hanging="720"/>
        <w:rPr>
          <w:color w:val="000000"/>
        </w:rPr>
      </w:pPr>
      <w:r>
        <w:rPr>
          <w:color w:val="000000"/>
        </w:rPr>
        <w:t>Rappaport, S. (2023, February 14). How to Win in Football Despite Losing Matches.</w:t>
      </w:r>
      <w:r>
        <w:rPr>
          <w:rStyle w:val="apple-converted-space"/>
          <w:color w:val="000000"/>
        </w:rPr>
        <w:t> </w:t>
      </w:r>
      <w:r>
        <w:rPr>
          <w:i/>
          <w:iCs/>
          <w:color w:val="000000"/>
        </w:rPr>
        <w:t>Bloomberg.com</w:t>
      </w:r>
      <w:r>
        <w:rPr>
          <w:color w:val="000000"/>
        </w:rPr>
        <w:t>. https://www.bloomberg.com/news/articles/2023-02-14/how-venezia-fc-became-most-fashionable-football-team-in-the-world#xj4y7vzkg</w:t>
      </w:r>
    </w:p>
    <w:p w14:paraId="5889D644" w14:textId="77777777" w:rsidR="007D0519" w:rsidRDefault="007D0519" w:rsidP="007D0519">
      <w:pPr>
        <w:pStyle w:val="NormalWeb"/>
        <w:shd w:val="clear" w:color="auto" w:fill="FFFFFF"/>
        <w:spacing w:before="0" w:beforeAutospacing="0" w:after="0" w:afterAutospacing="0" w:line="480" w:lineRule="atLeast"/>
        <w:ind w:left="720" w:hanging="720"/>
        <w:rPr>
          <w:color w:val="000000"/>
        </w:rPr>
      </w:pPr>
      <w:r>
        <w:rPr>
          <w:color w:val="000000"/>
        </w:rPr>
        <w:lastRenderedPageBreak/>
        <w:t>Reuters. (2023, March 2). English clubs spending more after Brexit changed immigration system - Masters.</w:t>
      </w:r>
      <w:r>
        <w:rPr>
          <w:rStyle w:val="apple-converted-space"/>
          <w:color w:val="000000"/>
        </w:rPr>
        <w:t> </w:t>
      </w:r>
      <w:r>
        <w:rPr>
          <w:i/>
          <w:iCs/>
          <w:color w:val="000000"/>
        </w:rPr>
        <w:t>Reuters</w:t>
      </w:r>
      <w:r>
        <w:rPr>
          <w:color w:val="000000"/>
        </w:rPr>
        <w:t>. https://www.reuters.com/lifestyle/sports/english-clubs-spending-more-after-brexit-changed-immigration-system-masters-2023-03-02/</w:t>
      </w:r>
    </w:p>
    <w:p w14:paraId="3AEDC4A6" w14:textId="77777777" w:rsidR="007D0519" w:rsidRDefault="007D0519" w:rsidP="007D0519">
      <w:pPr>
        <w:pStyle w:val="NormalWeb"/>
        <w:shd w:val="clear" w:color="auto" w:fill="FFFFFF"/>
        <w:spacing w:before="0" w:beforeAutospacing="0" w:after="0" w:afterAutospacing="0" w:line="480" w:lineRule="atLeast"/>
        <w:ind w:left="720" w:hanging="720"/>
        <w:rPr>
          <w:color w:val="000000"/>
        </w:rPr>
      </w:pPr>
      <w:r>
        <w:rPr>
          <w:color w:val="000000"/>
        </w:rPr>
        <w:t>Robertson, J. (2021, May 5).</w:t>
      </w:r>
      <w:r>
        <w:rPr>
          <w:rStyle w:val="apple-converted-space"/>
          <w:color w:val="000000"/>
        </w:rPr>
        <w:t> </w:t>
      </w:r>
      <w:r>
        <w:rPr>
          <w:i/>
          <w:iCs/>
          <w:color w:val="000000"/>
        </w:rPr>
        <w:t>Mike Ashley v the other Premier League clubs - Infrastructure spend since 2010</w:t>
      </w:r>
      <w:r>
        <w:rPr>
          <w:color w:val="000000"/>
        </w:rPr>
        <w:t>. NUFC the Mag. https://www.themag.co.uk/2021/05/mike-ashley-v-the-other-premier-league-clubs-infrastructure-spend-since-2010-newcastle-united/</w:t>
      </w:r>
    </w:p>
    <w:p w14:paraId="4E9DD4E4" w14:textId="77777777" w:rsidR="007D0519" w:rsidRDefault="007D0519" w:rsidP="007D0519">
      <w:pPr>
        <w:pStyle w:val="NormalWeb"/>
        <w:shd w:val="clear" w:color="auto" w:fill="FFFFFF"/>
        <w:spacing w:before="0" w:beforeAutospacing="0" w:after="0" w:afterAutospacing="0" w:line="480" w:lineRule="atLeast"/>
        <w:ind w:left="720" w:hanging="720"/>
        <w:rPr>
          <w:color w:val="000000"/>
        </w:rPr>
      </w:pPr>
      <w:proofErr w:type="spellStart"/>
      <w:r>
        <w:rPr>
          <w:color w:val="000000"/>
        </w:rPr>
        <w:t>Rockart</w:t>
      </w:r>
      <w:proofErr w:type="spellEnd"/>
      <w:r>
        <w:rPr>
          <w:color w:val="000000"/>
        </w:rPr>
        <w:t>, J. (1979, March).</w:t>
      </w:r>
      <w:r>
        <w:rPr>
          <w:rStyle w:val="apple-converted-space"/>
          <w:color w:val="000000"/>
        </w:rPr>
        <w:t> </w:t>
      </w:r>
      <w:r>
        <w:rPr>
          <w:i/>
          <w:iCs/>
          <w:color w:val="000000"/>
        </w:rPr>
        <w:t>Chief Executives Define Their Own Data Needs</w:t>
      </w:r>
      <w:r>
        <w:rPr>
          <w:color w:val="000000"/>
        </w:rPr>
        <w:t>. Harvard Business Review. https://hbr.org/1979/03/chief-executives-define-their-own-data-needs</w:t>
      </w:r>
    </w:p>
    <w:p w14:paraId="17FD1EB3" w14:textId="77777777" w:rsidR="007D0519" w:rsidRDefault="007D0519" w:rsidP="007D0519">
      <w:pPr>
        <w:pStyle w:val="NormalWeb"/>
        <w:shd w:val="clear" w:color="auto" w:fill="FFFFFF"/>
        <w:spacing w:before="0" w:beforeAutospacing="0" w:after="0" w:afterAutospacing="0" w:line="480" w:lineRule="atLeast"/>
        <w:ind w:left="720" w:hanging="720"/>
        <w:rPr>
          <w:color w:val="000000"/>
        </w:rPr>
      </w:pPr>
      <w:r>
        <w:rPr>
          <w:color w:val="000000"/>
        </w:rPr>
        <w:t xml:space="preserve">Royuela, V., &amp; </w:t>
      </w:r>
      <w:proofErr w:type="spellStart"/>
      <w:r>
        <w:rPr>
          <w:color w:val="000000"/>
        </w:rPr>
        <w:t>Gásquez</w:t>
      </w:r>
      <w:proofErr w:type="spellEnd"/>
      <w:r>
        <w:rPr>
          <w:color w:val="000000"/>
        </w:rPr>
        <w:t>, R. (2019).</w:t>
      </w:r>
      <w:r>
        <w:rPr>
          <w:rStyle w:val="apple-converted-space"/>
          <w:color w:val="000000"/>
        </w:rPr>
        <w:t> </w:t>
      </w:r>
      <w:r>
        <w:rPr>
          <w:i/>
          <w:iCs/>
          <w:color w:val="000000"/>
        </w:rPr>
        <w:t>On the influence of foreign players on the success of football clubs</w:t>
      </w:r>
      <w:r>
        <w:rPr>
          <w:color w:val="000000"/>
        </w:rPr>
        <w:t>. https://diposit.ub.edu/dspace/bitstream/2445/135458/1/683643.pdf</w:t>
      </w:r>
    </w:p>
    <w:p w14:paraId="648F73C5" w14:textId="77777777" w:rsidR="007D0519" w:rsidRDefault="007D0519" w:rsidP="007D0519">
      <w:pPr>
        <w:pStyle w:val="NormalWeb"/>
        <w:shd w:val="clear" w:color="auto" w:fill="FFFFFF"/>
        <w:spacing w:before="0" w:beforeAutospacing="0" w:after="0" w:afterAutospacing="0" w:line="480" w:lineRule="atLeast"/>
        <w:ind w:left="720" w:hanging="720"/>
        <w:rPr>
          <w:color w:val="000000"/>
        </w:rPr>
      </w:pPr>
      <w:r>
        <w:rPr>
          <w:color w:val="000000"/>
        </w:rPr>
        <w:t>Schneider-</w:t>
      </w:r>
      <w:proofErr w:type="spellStart"/>
      <w:r>
        <w:rPr>
          <w:color w:val="000000"/>
        </w:rPr>
        <w:t>Weiler</w:t>
      </w:r>
      <w:proofErr w:type="spellEnd"/>
      <w:r>
        <w:rPr>
          <w:color w:val="000000"/>
        </w:rPr>
        <w:t xml:space="preserve">, J., &amp; </w:t>
      </w:r>
      <w:proofErr w:type="gramStart"/>
      <w:r>
        <w:rPr>
          <w:color w:val="000000"/>
        </w:rPr>
        <w:t>Austin ,</w:t>
      </w:r>
      <w:proofErr w:type="gramEnd"/>
      <w:r>
        <w:rPr>
          <w:color w:val="000000"/>
        </w:rPr>
        <w:t xml:space="preserve"> S. (2022, October 13).</w:t>
      </w:r>
      <w:r>
        <w:rPr>
          <w:rStyle w:val="apple-converted-space"/>
          <w:color w:val="000000"/>
        </w:rPr>
        <w:t> </w:t>
      </w:r>
      <w:r>
        <w:rPr>
          <w:i/>
          <w:iCs/>
          <w:color w:val="000000"/>
        </w:rPr>
        <w:t>Training Ground Guru | 2021/22 Academy Productivity Rankings: Chelsea top for first time</w:t>
      </w:r>
      <w:r>
        <w:rPr>
          <w:color w:val="000000"/>
        </w:rPr>
        <w:t>. Training Ground Guru. https://trainingground.guru/articles/2021/22-academy-productivity-rankings-chelsea-top-for-first-time</w:t>
      </w:r>
    </w:p>
    <w:p w14:paraId="6E5935FD" w14:textId="77777777" w:rsidR="007D0519" w:rsidRDefault="007D0519" w:rsidP="007D0519">
      <w:pPr>
        <w:pStyle w:val="NormalWeb"/>
        <w:shd w:val="clear" w:color="auto" w:fill="FFFFFF"/>
        <w:spacing w:before="0" w:beforeAutospacing="0" w:after="0" w:afterAutospacing="0" w:line="480" w:lineRule="atLeast"/>
        <w:ind w:left="720" w:hanging="720"/>
        <w:rPr>
          <w:color w:val="000000"/>
        </w:rPr>
      </w:pPr>
      <w:r>
        <w:rPr>
          <w:color w:val="000000"/>
        </w:rPr>
        <w:t>Score and Change. (2022a, August 3).</w:t>
      </w:r>
      <w:r>
        <w:rPr>
          <w:rStyle w:val="apple-converted-space"/>
          <w:color w:val="000000"/>
        </w:rPr>
        <w:t> </w:t>
      </w:r>
      <w:r>
        <w:rPr>
          <w:i/>
          <w:iCs/>
          <w:color w:val="000000"/>
        </w:rPr>
        <w:t>Overview of the 2022/2023 Premier League sponsors￼</w:t>
      </w:r>
      <w:r>
        <w:rPr>
          <w:color w:val="000000"/>
        </w:rPr>
        <w:t>. Score and Change. https://www.scoreandchange.com/overview-of-the-2022-2023-premier-league-sponsors/</w:t>
      </w:r>
    </w:p>
    <w:p w14:paraId="6F791A8D" w14:textId="77777777" w:rsidR="007D0519" w:rsidRDefault="007D0519" w:rsidP="007D0519">
      <w:pPr>
        <w:pStyle w:val="NormalWeb"/>
        <w:shd w:val="clear" w:color="auto" w:fill="FFFFFF"/>
        <w:spacing w:before="0" w:beforeAutospacing="0" w:after="0" w:afterAutospacing="0" w:line="480" w:lineRule="atLeast"/>
        <w:ind w:left="720" w:hanging="720"/>
        <w:rPr>
          <w:color w:val="000000"/>
        </w:rPr>
      </w:pPr>
      <w:r>
        <w:rPr>
          <w:color w:val="000000"/>
        </w:rPr>
        <w:t>Score and Change. (2022b, August 15).</w:t>
      </w:r>
      <w:r>
        <w:rPr>
          <w:rStyle w:val="apple-converted-space"/>
          <w:color w:val="000000"/>
        </w:rPr>
        <w:t> </w:t>
      </w:r>
      <w:r>
        <w:rPr>
          <w:i/>
          <w:iCs/>
          <w:color w:val="000000"/>
        </w:rPr>
        <w:t>Overview of the 2022/2023 Championship sponsors</w:t>
      </w:r>
      <w:r>
        <w:rPr>
          <w:color w:val="000000"/>
        </w:rPr>
        <w:t>. Score and Change. https://www.scoreandchange.com/overview-of-the-2022-2023-championship-sponsors/</w:t>
      </w:r>
    </w:p>
    <w:p w14:paraId="13FC85F1" w14:textId="77777777" w:rsidR="007D0519" w:rsidRDefault="007D0519" w:rsidP="007D0519">
      <w:pPr>
        <w:pStyle w:val="NormalWeb"/>
        <w:shd w:val="clear" w:color="auto" w:fill="FFFFFF"/>
        <w:spacing w:before="0" w:beforeAutospacing="0" w:after="0" w:afterAutospacing="0" w:line="480" w:lineRule="atLeast"/>
        <w:ind w:left="720" w:hanging="720"/>
        <w:rPr>
          <w:color w:val="000000"/>
        </w:rPr>
      </w:pPr>
      <w:proofErr w:type="spellStart"/>
      <w:r>
        <w:rPr>
          <w:color w:val="000000"/>
        </w:rPr>
        <w:t>Sedky</w:t>
      </w:r>
      <w:proofErr w:type="spellEnd"/>
      <w:r>
        <w:rPr>
          <w:color w:val="000000"/>
        </w:rPr>
        <w:t xml:space="preserve">, D., </w:t>
      </w:r>
      <w:proofErr w:type="spellStart"/>
      <w:r>
        <w:rPr>
          <w:color w:val="000000"/>
        </w:rPr>
        <w:t>Kortam</w:t>
      </w:r>
      <w:proofErr w:type="spellEnd"/>
      <w:r>
        <w:rPr>
          <w:color w:val="000000"/>
        </w:rPr>
        <w:t xml:space="preserve">, W., &amp; </w:t>
      </w:r>
      <w:proofErr w:type="spellStart"/>
      <w:r>
        <w:rPr>
          <w:color w:val="000000"/>
        </w:rPr>
        <w:t>AbouAish</w:t>
      </w:r>
      <w:proofErr w:type="spellEnd"/>
      <w:r>
        <w:rPr>
          <w:color w:val="000000"/>
        </w:rPr>
        <w:t>, E. (2020, December 7).</w:t>
      </w:r>
      <w:r>
        <w:rPr>
          <w:rStyle w:val="apple-converted-space"/>
          <w:color w:val="000000"/>
        </w:rPr>
        <w:t> </w:t>
      </w:r>
      <w:r>
        <w:rPr>
          <w:i/>
          <w:iCs/>
          <w:color w:val="000000"/>
        </w:rPr>
        <w:t>The role of sports marketing in attracting audiences towards less popular sports</w:t>
      </w:r>
      <w:r>
        <w:rPr>
          <w:color w:val="000000"/>
        </w:rPr>
        <w:t>. https://www.emerald.com/insight/content/doi/10.1108/JHASS-04-2020-0059/full/html#sec014</w:t>
      </w:r>
    </w:p>
    <w:p w14:paraId="59AB259F" w14:textId="77777777" w:rsidR="007D0519" w:rsidRDefault="007D0519" w:rsidP="007D0519">
      <w:pPr>
        <w:pStyle w:val="NormalWeb"/>
        <w:shd w:val="clear" w:color="auto" w:fill="FFFFFF"/>
        <w:spacing w:before="0" w:beforeAutospacing="0" w:after="0" w:afterAutospacing="0" w:line="480" w:lineRule="atLeast"/>
        <w:ind w:left="720" w:hanging="720"/>
        <w:rPr>
          <w:color w:val="000000"/>
        </w:rPr>
      </w:pPr>
      <w:r>
        <w:rPr>
          <w:color w:val="000000"/>
        </w:rPr>
        <w:t xml:space="preserve">Shakina, E., </w:t>
      </w:r>
      <w:proofErr w:type="spellStart"/>
      <w:r>
        <w:rPr>
          <w:color w:val="000000"/>
        </w:rPr>
        <w:t>Gasparetto</w:t>
      </w:r>
      <w:proofErr w:type="spellEnd"/>
      <w:r>
        <w:rPr>
          <w:color w:val="000000"/>
        </w:rPr>
        <w:t>, T., &amp; Barajas, A. (2020, May 15).</w:t>
      </w:r>
      <w:r>
        <w:rPr>
          <w:rStyle w:val="apple-converted-space"/>
          <w:color w:val="000000"/>
        </w:rPr>
        <w:t> </w:t>
      </w:r>
      <w:r>
        <w:rPr>
          <w:i/>
          <w:iCs/>
          <w:color w:val="000000"/>
        </w:rPr>
        <w:t>Football Fans’ Emotions: Uncertainty Against Brand Perception</w:t>
      </w:r>
      <w:r>
        <w:rPr>
          <w:color w:val="000000"/>
        </w:rPr>
        <w:t>. https://www.frontiersin.org/articles/10.3389/fpsyg.2020.00659/full</w:t>
      </w:r>
    </w:p>
    <w:p w14:paraId="15CF3203" w14:textId="77777777" w:rsidR="007D0519" w:rsidRDefault="007D0519" w:rsidP="007D0519">
      <w:pPr>
        <w:pStyle w:val="NormalWeb"/>
        <w:shd w:val="clear" w:color="auto" w:fill="FFFFFF"/>
        <w:spacing w:before="0" w:beforeAutospacing="0" w:after="0" w:afterAutospacing="0" w:line="480" w:lineRule="atLeast"/>
        <w:ind w:left="720" w:hanging="720"/>
        <w:rPr>
          <w:color w:val="000000"/>
        </w:rPr>
      </w:pPr>
      <w:r>
        <w:rPr>
          <w:color w:val="000000"/>
        </w:rPr>
        <w:lastRenderedPageBreak/>
        <w:t>Smith, C. (2022, September 16).</w:t>
      </w:r>
      <w:r>
        <w:rPr>
          <w:rStyle w:val="apple-converted-space"/>
          <w:color w:val="000000"/>
        </w:rPr>
        <w:t> </w:t>
      </w:r>
      <w:r>
        <w:rPr>
          <w:i/>
          <w:iCs/>
          <w:color w:val="000000"/>
        </w:rPr>
        <w:t xml:space="preserve">9 Premier League Teams </w:t>
      </w:r>
      <w:proofErr w:type="gramStart"/>
      <w:r>
        <w:rPr>
          <w:i/>
          <w:iCs/>
          <w:color w:val="000000"/>
        </w:rPr>
        <w:t>With</w:t>
      </w:r>
      <w:proofErr w:type="gramEnd"/>
      <w:r>
        <w:rPr>
          <w:i/>
          <w:iCs/>
          <w:color w:val="000000"/>
        </w:rPr>
        <w:t xml:space="preserve"> The Best Fans (2023 Rankings)</w:t>
      </w:r>
      <w:r>
        <w:rPr>
          <w:color w:val="000000"/>
        </w:rPr>
        <w:t xml:space="preserve">. </w:t>
      </w:r>
      <w:proofErr w:type="spellStart"/>
      <w:r>
        <w:rPr>
          <w:color w:val="000000"/>
        </w:rPr>
        <w:t>Soccerprime</w:t>
      </w:r>
      <w:proofErr w:type="spellEnd"/>
      <w:r>
        <w:rPr>
          <w:color w:val="000000"/>
        </w:rPr>
        <w:t>. https://soccerprime.com/premier-league-teams-with-the-best-fans-2/</w:t>
      </w:r>
    </w:p>
    <w:p w14:paraId="48BE4A1F" w14:textId="77777777" w:rsidR="007D0519" w:rsidRDefault="007D0519" w:rsidP="007D0519">
      <w:pPr>
        <w:pStyle w:val="NormalWeb"/>
        <w:shd w:val="clear" w:color="auto" w:fill="FFFFFF"/>
        <w:spacing w:before="0" w:beforeAutospacing="0" w:after="0" w:afterAutospacing="0" w:line="480" w:lineRule="atLeast"/>
        <w:ind w:left="720" w:hanging="720"/>
        <w:rPr>
          <w:color w:val="000000"/>
        </w:rPr>
      </w:pPr>
      <w:proofErr w:type="spellStart"/>
      <w:r>
        <w:rPr>
          <w:color w:val="000000"/>
        </w:rPr>
        <w:t>Sogut</w:t>
      </w:r>
      <w:proofErr w:type="spellEnd"/>
      <w:r>
        <w:rPr>
          <w:color w:val="000000"/>
        </w:rPr>
        <w:t>, E., &amp; Khan, J. (2022, April 10).</w:t>
      </w:r>
      <w:r>
        <w:rPr>
          <w:rStyle w:val="apple-converted-space"/>
          <w:color w:val="000000"/>
        </w:rPr>
        <w:t> </w:t>
      </w:r>
      <w:r>
        <w:rPr>
          <w:i/>
          <w:iCs/>
          <w:color w:val="000000"/>
        </w:rPr>
        <w:t>The Impact of Brexit on Football and its Players, Coaches and Clubs</w:t>
      </w:r>
      <w:r>
        <w:rPr>
          <w:color w:val="000000"/>
        </w:rPr>
        <w:t xml:space="preserve">. Dr. </w:t>
      </w:r>
      <w:proofErr w:type="spellStart"/>
      <w:r>
        <w:rPr>
          <w:color w:val="000000"/>
        </w:rPr>
        <w:t>Erkut</w:t>
      </w:r>
      <w:proofErr w:type="spellEnd"/>
      <w:r>
        <w:rPr>
          <w:color w:val="000000"/>
        </w:rPr>
        <w:t xml:space="preserve"> </w:t>
      </w:r>
      <w:proofErr w:type="spellStart"/>
      <w:r>
        <w:rPr>
          <w:color w:val="000000"/>
        </w:rPr>
        <w:t>Sögüt</w:t>
      </w:r>
      <w:proofErr w:type="spellEnd"/>
      <w:r>
        <w:rPr>
          <w:color w:val="000000"/>
        </w:rPr>
        <w:t>. https://erkutsogut.com/the-impact-of-brexit-on-football-and-its-players-coaches-and-clubs/</w:t>
      </w:r>
    </w:p>
    <w:p w14:paraId="472E6778" w14:textId="77777777" w:rsidR="007D0519" w:rsidRDefault="007D0519" w:rsidP="007D0519">
      <w:pPr>
        <w:pStyle w:val="NormalWeb"/>
        <w:shd w:val="clear" w:color="auto" w:fill="FFFFFF"/>
        <w:spacing w:before="0" w:beforeAutospacing="0" w:after="0" w:afterAutospacing="0" w:line="480" w:lineRule="atLeast"/>
        <w:ind w:left="720" w:hanging="720"/>
        <w:rPr>
          <w:color w:val="000000"/>
        </w:rPr>
      </w:pPr>
      <w:r>
        <w:rPr>
          <w:color w:val="000000"/>
        </w:rPr>
        <w:t>Sohns, J. (2021, August 22).</w:t>
      </w:r>
      <w:r>
        <w:rPr>
          <w:rStyle w:val="apple-converted-space"/>
          <w:color w:val="000000"/>
        </w:rPr>
        <w:t> </w:t>
      </w:r>
      <w:r>
        <w:rPr>
          <w:i/>
          <w:iCs/>
          <w:color w:val="000000"/>
        </w:rPr>
        <w:t xml:space="preserve">FIFA Ratings Explained: How Is </w:t>
      </w:r>
      <w:proofErr w:type="gramStart"/>
      <w:r>
        <w:rPr>
          <w:i/>
          <w:iCs/>
          <w:color w:val="000000"/>
        </w:rPr>
        <w:t>The</w:t>
      </w:r>
      <w:proofErr w:type="gramEnd"/>
      <w:r>
        <w:rPr>
          <w:i/>
          <w:iCs/>
          <w:color w:val="000000"/>
        </w:rPr>
        <w:t xml:space="preserve"> Overall Rating Created?</w:t>
      </w:r>
      <w:r>
        <w:rPr>
          <w:rStyle w:val="apple-converted-space"/>
          <w:color w:val="000000"/>
        </w:rPr>
        <w:t> </w:t>
      </w:r>
      <w:proofErr w:type="spellStart"/>
      <w:r>
        <w:rPr>
          <w:color w:val="000000"/>
        </w:rPr>
        <w:t>EarlyGame</w:t>
      </w:r>
      <w:proofErr w:type="spellEnd"/>
      <w:r>
        <w:rPr>
          <w:color w:val="000000"/>
        </w:rPr>
        <w:t>. https://earlygame.com/fifa/fifa-ratings-explained-overall-rating</w:t>
      </w:r>
    </w:p>
    <w:p w14:paraId="5A444920" w14:textId="77777777" w:rsidR="007D0519" w:rsidRDefault="007D0519" w:rsidP="007D0519">
      <w:pPr>
        <w:pStyle w:val="NormalWeb"/>
        <w:shd w:val="clear" w:color="auto" w:fill="FFFFFF"/>
        <w:spacing w:before="0" w:beforeAutospacing="0" w:after="0" w:afterAutospacing="0" w:line="480" w:lineRule="atLeast"/>
        <w:ind w:left="720" w:hanging="720"/>
        <w:rPr>
          <w:color w:val="000000"/>
        </w:rPr>
      </w:pPr>
      <w:r>
        <w:rPr>
          <w:color w:val="000000"/>
        </w:rPr>
        <w:t>Statista. (2020).</w:t>
      </w:r>
      <w:r>
        <w:rPr>
          <w:rStyle w:val="apple-converted-space"/>
          <w:color w:val="000000"/>
        </w:rPr>
        <w:t> </w:t>
      </w:r>
      <w:r>
        <w:rPr>
          <w:i/>
          <w:iCs/>
          <w:color w:val="000000"/>
        </w:rPr>
        <w:t>Premier League clubs by revenue 2016/17 | Statistic</w:t>
      </w:r>
      <w:r>
        <w:rPr>
          <w:color w:val="000000"/>
        </w:rPr>
        <w:t>. Statista; Statista. https://www.statista.com/statistics/566666/premier-league-clubs-by-revenue/</w:t>
      </w:r>
    </w:p>
    <w:p w14:paraId="08B624FF" w14:textId="77777777" w:rsidR="007D0519" w:rsidRDefault="007D0519" w:rsidP="007D0519">
      <w:pPr>
        <w:pStyle w:val="NormalWeb"/>
        <w:shd w:val="clear" w:color="auto" w:fill="FFFFFF"/>
        <w:spacing w:before="0" w:beforeAutospacing="0" w:after="0" w:afterAutospacing="0" w:line="480" w:lineRule="atLeast"/>
        <w:ind w:left="720" w:hanging="720"/>
        <w:rPr>
          <w:color w:val="000000"/>
        </w:rPr>
      </w:pPr>
      <w:r>
        <w:rPr>
          <w:color w:val="000000"/>
        </w:rPr>
        <w:t>Statista. (2022a).</w:t>
      </w:r>
      <w:r>
        <w:rPr>
          <w:rStyle w:val="apple-converted-space"/>
          <w:color w:val="000000"/>
        </w:rPr>
        <w:t> </w:t>
      </w:r>
      <w:r>
        <w:rPr>
          <w:i/>
          <w:iCs/>
          <w:color w:val="000000"/>
        </w:rPr>
        <w:t>Manchester United revenue by segment 2009-2020</w:t>
      </w:r>
      <w:r>
        <w:rPr>
          <w:color w:val="000000"/>
        </w:rPr>
        <w:t>. Statista. https://www.statista.com/statistics/267743/revenue-segmentation-of-manchester-united/</w:t>
      </w:r>
    </w:p>
    <w:p w14:paraId="4EB61258" w14:textId="77777777" w:rsidR="007D0519" w:rsidRDefault="007D0519" w:rsidP="007D0519">
      <w:pPr>
        <w:pStyle w:val="NormalWeb"/>
        <w:shd w:val="clear" w:color="auto" w:fill="FFFFFF"/>
        <w:spacing w:before="0" w:beforeAutospacing="0" w:after="0" w:afterAutospacing="0" w:line="480" w:lineRule="atLeast"/>
        <w:ind w:left="720" w:hanging="720"/>
        <w:rPr>
          <w:color w:val="000000"/>
        </w:rPr>
      </w:pPr>
      <w:r>
        <w:rPr>
          <w:color w:val="000000"/>
        </w:rPr>
        <w:t>Statista. (2022b).</w:t>
      </w:r>
      <w:r>
        <w:rPr>
          <w:rStyle w:val="apple-converted-space"/>
          <w:color w:val="000000"/>
        </w:rPr>
        <w:t> </w:t>
      </w:r>
      <w:r>
        <w:rPr>
          <w:i/>
          <w:iCs/>
          <w:color w:val="000000"/>
        </w:rPr>
        <w:t>Professional male football players by country 2021</w:t>
      </w:r>
      <w:r>
        <w:rPr>
          <w:color w:val="000000"/>
        </w:rPr>
        <w:t>. Statista. https://www.statista.com/statistics/1283927/number-pro-soccer-players-by-country/</w:t>
      </w:r>
    </w:p>
    <w:p w14:paraId="39EA8D4A" w14:textId="77777777" w:rsidR="007D0519" w:rsidRDefault="007D0519" w:rsidP="007D0519">
      <w:pPr>
        <w:pStyle w:val="NormalWeb"/>
        <w:shd w:val="clear" w:color="auto" w:fill="FFFFFF"/>
        <w:spacing w:before="0" w:beforeAutospacing="0" w:after="0" w:afterAutospacing="0" w:line="480" w:lineRule="atLeast"/>
        <w:ind w:left="720" w:hanging="720"/>
        <w:rPr>
          <w:color w:val="000000"/>
        </w:rPr>
      </w:pPr>
      <w:r>
        <w:rPr>
          <w:color w:val="000000"/>
        </w:rPr>
        <w:t>Szymanski, S. (2013).</w:t>
      </w:r>
      <w:r>
        <w:rPr>
          <w:rStyle w:val="apple-converted-space"/>
          <w:color w:val="000000"/>
        </w:rPr>
        <w:t> </w:t>
      </w:r>
      <w:r>
        <w:rPr>
          <w:i/>
          <w:iCs/>
          <w:color w:val="000000"/>
        </w:rPr>
        <w:t>Stefan Szymanski on the business of football</w:t>
      </w:r>
      <w:r>
        <w:rPr>
          <w:color w:val="000000"/>
        </w:rPr>
        <w:t xml:space="preserve">. </w:t>
      </w:r>
      <w:proofErr w:type="spellStart"/>
      <w:r>
        <w:rPr>
          <w:color w:val="000000"/>
        </w:rPr>
        <w:t>OpenLearn</w:t>
      </w:r>
      <w:proofErr w:type="spellEnd"/>
      <w:r>
        <w:rPr>
          <w:color w:val="000000"/>
        </w:rPr>
        <w:t>. https://www.open.edu/openlearn/money-management/management/business-studies/stefan-szymanski-on-the-business-football</w:t>
      </w:r>
    </w:p>
    <w:p w14:paraId="763B291F" w14:textId="77777777" w:rsidR="007D0519" w:rsidRDefault="007D0519" w:rsidP="007D0519">
      <w:pPr>
        <w:pStyle w:val="NormalWeb"/>
        <w:shd w:val="clear" w:color="auto" w:fill="FFFFFF"/>
        <w:spacing w:before="0" w:beforeAutospacing="0" w:after="0" w:afterAutospacing="0" w:line="480" w:lineRule="atLeast"/>
        <w:ind w:left="720" w:hanging="720"/>
        <w:rPr>
          <w:color w:val="000000"/>
        </w:rPr>
      </w:pPr>
      <w:r>
        <w:rPr>
          <w:color w:val="000000"/>
        </w:rPr>
        <w:t>The Blizzard. (2022, July 27).</w:t>
      </w:r>
      <w:r>
        <w:rPr>
          <w:rStyle w:val="apple-converted-space"/>
          <w:color w:val="000000"/>
        </w:rPr>
        <w:t> </w:t>
      </w:r>
      <w:r>
        <w:rPr>
          <w:i/>
          <w:iCs/>
          <w:color w:val="000000"/>
        </w:rPr>
        <w:t>Battle of the “football” leagues: Which is bigger the EPL or NFL?</w:t>
      </w:r>
      <w:r>
        <w:rPr>
          <w:rStyle w:val="apple-converted-space"/>
          <w:color w:val="000000"/>
        </w:rPr>
        <w:t> </w:t>
      </w:r>
      <w:r>
        <w:rPr>
          <w:color w:val="000000"/>
        </w:rPr>
        <w:t>The Blizzard. https://theblizzard.co.uk/battle-of-the-football-leagues-which-is-bigger-the-epl-or-nfl/news/</w:t>
      </w:r>
    </w:p>
    <w:p w14:paraId="56A570EA" w14:textId="77777777" w:rsidR="007D0519" w:rsidRDefault="007D0519" w:rsidP="007D0519">
      <w:pPr>
        <w:pStyle w:val="NormalWeb"/>
        <w:shd w:val="clear" w:color="auto" w:fill="FFFFFF"/>
        <w:spacing w:before="0" w:beforeAutospacing="0" w:after="0" w:afterAutospacing="0" w:line="480" w:lineRule="atLeast"/>
        <w:ind w:left="720" w:hanging="720"/>
        <w:rPr>
          <w:color w:val="000000"/>
        </w:rPr>
      </w:pPr>
      <w:r>
        <w:rPr>
          <w:color w:val="000000"/>
        </w:rPr>
        <w:t>The UK Law Societies. (2021, August 31).</w:t>
      </w:r>
      <w:r>
        <w:rPr>
          <w:rStyle w:val="apple-converted-space"/>
          <w:color w:val="000000"/>
        </w:rPr>
        <w:t> </w:t>
      </w:r>
      <w:r>
        <w:rPr>
          <w:i/>
          <w:iCs/>
          <w:color w:val="000000"/>
        </w:rPr>
        <w:t>Brexit Impact on Football Player Transfers</w:t>
      </w:r>
      <w:r>
        <w:rPr>
          <w:color w:val="000000"/>
        </w:rPr>
        <w:t>. LS Brussels. https://www.lawsocieties.eu/news/brexit-impact-on-football-player-transfers/6001959.article</w:t>
      </w:r>
    </w:p>
    <w:p w14:paraId="23E99528" w14:textId="77777777" w:rsidR="007D0519" w:rsidRDefault="007D0519" w:rsidP="007D0519">
      <w:pPr>
        <w:pStyle w:val="NormalWeb"/>
        <w:shd w:val="clear" w:color="auto" w:fill="FFFFFF"/>
        <w:spacing w:before="0" w:beforeAutospacing="0" w:after="0" w:afterAutospacing="0" w:line="480" w:lineRule="atLeast"/>
        <w:ind w:left="720" w:hanging="720"/>
        <w:rPr>
          <w:color w:val="000000"/>
        </w:rPr>
      </w:pPr>
      <w:r>
        <w:rPr>
          <w:color w:val="000000"/>
        </w:rPr>
        <w:t>The University of Manchester. (2019, July 25).</w:t>
      </w:r>
      <w:r>
        <w:rPr>
          <w:rStyle w:val="apple-converted-space"/>
          <w:color w:val="000000"/>
        </w:rPr>
        <w:t> </w:t>
      </w:r>
      <w:r>
        <w:rPr>
          <w:i/>
          <w:iCs/>
          <w:color w:val="000000"/>
        </w:rPr>
        <w:t>University students accurately track time taken for new Premier League stars to find their feet</w:t>
      </w:r>
      <w:r>
        <w:rPr>
          <w:color w:val="000000"/>
        </w:rPr>
        <w:t>. University Students Accurately Track Time Taken for New Premier League Stars to Find Their Feet. https://www.manchester.ac.uk/discover/news/university-students-accurately-track-time-taken-for-new-premier-league-stars-to-find-their-feet/</w:t>
      </w:r>
    </w:p>
    <w:p w14:paraId="530BD255" w14:textId="77777777" w:rsidR="007D0519" w:rsidRDefault="007D0519" w:rsidP="007D0519">
      <w:pPr>
        <w:pStyle w:val="NormalWeb"/>
        <w:shd w:val="clear" w:color="auto" w:fill="FFFFFF"/>
        <w:spacing w:before="0" w:beforeAutospacing="0" w:after="0" w:afterAutospacing="0" w:line="480" w:lineRule="atLeast"/>
        <w:ind w:left="720" w:hanging="720"/>
        <w:rPr>
          <w:color w:val="000000"/>
        </w:rPr>
      </w:pPr>
      <w:r>
        <w:rPr>
          <w:color w:val="000000"/>
        </w:rPr>
        <w:lastRenderedPageBreak/>
        <w:t>The World Bank. (2019, May).</w:t>
      </w:r>
      <w:r>
        <w:rPr>
          <w:rStyle w:val="apple-converted-space"/>
          <w:color w:val="000000"/>
        </w:rPr>
        <w:t> </w:t>
      </w:r>
      <w:r>
        <w:rPr>
          <w:i/>
          <w:iCs/>
          <w:color w:val="000000"/>
        </w:rPr>
        <w:t>Rankings</w:t>
      </w:r>
      <w:r>
        <w:rPr>
          <w:color w:val="000000"/>
        </w:rPr>
        <w:t>. World Bank. https://archive.doingbusiness.org/en/rankings</w:t>
      </w:r>
    </w:p>
    <w:p w14:paraId="0790E691" w14:textId="77777777" w:rsidR="007D0519" w:rsidRDefault="007D0519" w:rsidP="007D0519">
      <w:pPr>
        <w:pStyle w:val="NormalWeb"/>
        <w:shd w:val="clear" w:color="auto" w:fill="FFFFFF"/>
        <w:spacing w:before="0" w:beforeAutospacing="0" w:after="0" w:afterAutospacing="0" w:line="480" w:lineRule="atLeast"/>
        <w:ind w:left="720" w:hanging="720"/>
        <w:rPr>
          <w:color w:val="000000"/>
        </w:rPr>
      </w:pPr>
      <w:r>
        <w:rPr>
          <w:color w:val="000000"/>
        </w:rPr>
        <w:t>The World Bank. (2022).</w:t>
      </w:r>
      <w:r>
        <w:rPr>
          <w:rStyle w:val="apple-converted-space"/>
          <w:color w:val="000000"/>
        </w:rPr>
        <w:t> </w:t>
      </w:r>
      <w:r>
        <w:rPr>
          <w:i/>
          <w:iCs/>
          <w:color w:val="000000"/>
        </w:rPr>
        <w:t>GDP (current US$) - United Kingdom | Data</w:t>
      </w:r>
      <w:r>
        <w:rPr>
          <w:color w:val="000000"/>
        </w:rPr>
        <w:t>. Data.worldbank.org. https://data.worldbank.org/indicator/NY.GDP.MKTP.CD?end=2021&amp;locations=GB&amp;start=2015</w:t>
      </w:r>
    </w:p>
    <w:p w14:paraId="5CE9FA6D" w14:textId="77777777" w:rsidR="007D0519" w:rsidRDefault="007D0519" w:rsidP="007D0519">
      <w:pPr>
        <w:pStyle w:val="NormalWeb"/>
        <w:shd w:val="clear" w:color="auto" w:fill="FFFFFF"/>
        <w:spacing w:before="0" w:beforeAutospacing="0" w:after="0" w:afterAutospacing="0" w:line="480" w:lineRule="atLeast"/>
        <w:ind w:left="720" w:hanging="720"/>
        <w:rPr>
          <w:color w:val="000000"/>
        </w:rPr>
      </w:pPr>
      <w:proofErr w:type="spellStart"/>
      <w:r>
        <w:rPr>
          <w:color w:val="000000"/>
        </w:rPr>
        <w:t>Tranfermarkt</w:t>
      </w:r>
      <w:proofErr w:type="spellEnd"/>
      <w:r>
        <w:rPr>
          <w:color w:val="000000"/>
        </w:rPr>
        <w:t>. (2022).</w:t>
      </w:r>
      <w:r>
        <w:rPr>
          <w:rStyle w:val="apple-converted-space"/>
          <w:color w:val="000000"/>
        </w:rPr>
        <w:t> </w:t>
      </w:r>
      <w:r>
        <w:rPr>
          <w:i/>
          <w:iCs/>
          <w:color w:val="000000"/>
        </w:rPr>
        <w:t>Top transfers (2021/2022)</w:t>
      </w:r>
      <w:r>
        <w:rPr>
          <w:color w:val="000000"/>
        </w:rPr>
        <w:t>. Www.transfermarkt.co.uk. https://www.transfermarkt.co.uk/transfers/saisontransfers/statistik/top/plus/0/galerie/0?saison_id=2021&amp;transferfenster</w:t>
      </w:r>
    </w:p>
    <w:p w14:paraId="173918D1" w14:textId="77777777" w:rsidR="007D0519" w:rsidRDefault="007D0519" w:rsidP="007D0519">
      <w:pPr>
        <w:pStyle w:val="NormalWeb"/>
        <w:shd w:val="clear" w:color="auto" w:fill="FFFFFF"/>
        <w:spacing w:before="0" w:beforeAutospacing="0" w:after="0" w:afterAutospacing="0" w:line="480" w:lineRule="atLeast"/>
        <w:ind w:left="720" w:hanging="720"/>
        <w:rPr>
          <w:color w:val="000000"/>
        </w:rPr>
      </w:pPr>
      <w:r>
        <w:rPr>
          <w:color w:val="000000"/>
        </w:rPr>
        <w:t>Transfermarkt. (n.d.-a).</w:t>
      </w:r>
      <w:r>
        <w:rPr>
          <w:rStyle w:val="apple-converted-space"/>
          <w:color w:val="000000"/>
        </w:rPr>
        <w:t> </w:t>
      </w:r>
      <w:r>
        <w:rPr>
          <w:i/>
          <w:iCs/>
          <w:color w:val="000000"/>
        </w:rPr>
        <w:t>Callum Wilson - Player profile 22/23</w:t>
      </w:r>
      <w:r>
        <w:rPr>
          <w:color w:val="000000"/>
        </w:rPr>
        <w:t>. Www.transfermarkt.com. Retrieved May 20, 2023, from https://www.transfermarkt.com/callum-wilson/profil/spieler/123682</w:t>
      </w:r>
    </w:p>
    <w:p w14:paraId="0479CF03" w14:textId="77777777" w:rsidR="007D0519" w:rsidRDefault="007D0519" w:rsidP="007D0519">
      <w:pPr>
        <w:pStyle w:val="NormalWeb"/>
        <w:shd w:val="clear" w:color="auto" w:fill="FFFFFF"/>
        <w:spacing w:before="0" w:beforeAutospacing="0" w:after="0" w:afterAutospacing="0" w:line="480" w:lineRule="atLeast"/>
        <w:ind w:left="720" w:hanging="720"/>
        <w:rPr>
          <w:color w:val="000000"/>
        </w:rPr>
      </w:pPr>
      <w:r>
        <w:rPr>
          <w:color w:val="000000"/>
        </w:rPr>
        <w:t>Transfermarkt. (n.d.-b).</w:t>
      </w:r>
      <w:r>
        <w:rPr>
          <w:rStyle w:val="apple-converted-space"/>
          <w:color w:val="000000"/>
        </w:rPr>
        <w:t> </w:t>
      </w:r>
      <w:r>
        <w:rPr>
          <w:i/>
          <w:iCs/>
          <w:color w:val="000000"/>
        </w:rPr>
        <w:t xml:space="preserve">Chris </w:t>
      </w:r>
      <w:proofErr w:type="spellStart"/>
      <w:r>
        <w:rPr>
          <w:i/>
          <w:iCs/>
          <w:color w:val="000000"/>
        </w:rPr>
        <w:t>Mepham</w:t>
      </w:r>
      <w:proofErr w:type="spellEnd"/>
      <w:r>
        <w:rPr>
          <w:i/>
          <w:iCs/>
          <w:color w:val="000000"/>
        </w:rPr>
        <w:t xml:space="preserve"> - Player profile 22/23</w:t>
      </w:r>
      <w:r>
        <w:rPr>
          <w:color w:val="000000"/>
        </w:rPr>
        <w:t>. Www.transfermarkt.com. Retrieved May 20, 2023, from https://www.transfermarkt.com/chris-mepham/profil/spieler/480987</w:t>
      </w:r>
    </w:p>
    <w:p w14:paraId="50076BB3" w14:textId="77777777" w:rsidR="007D0519" w:rsidRDefault="007D0519" w:rsidP="007D0519">
      <w:pPr>
        <w:pStyle w:val="NormalWeb"/>
        <w:shd w:val="clear" w:color="auto" w:fill="FFFFFF"/>
        <w:spacing w:before="0" w:beforeAutospacing="0" w:after="0" w:afterAutospacing="0" w:line="480" w:lineRule="atLeast"/>
        <w:ind w:left="720" w:hanging="720"/>
        <w:rPr>
          <w:color w:val="000000"/>
        </w:rPr>
      </w:pPr>
      <w:r>
        <w:rPr>
          <w:color w:val="000000"/>
        </w:rPr>
        <w:t>Transfermarkt. (n.d.-c).</w:t>
      </w:r>
      <w:r>
        <w:rPr>
          <w:rStyle w:val="apple-converted-space"/>
          <w:color w:val="000000"/>
        </w:rPr>
        <w:t> </w:t>
      </w:r>
      <w:r>
        <w:rPr>
          <w:i/>
          <w:iCs/>
          <w:color w:val="000000"/>
        </w:rPr>
        <w:t>Chris Smalling - Player profile 22/23</w:t>
      </w:r>
      <w:r>
        <w:rPr>
          <w:color w:val="000000"/>
        </w:rPr>
        <w:t>. Www.transfermarkt.com. Retrieved May 20, 2023, from https://www.transfermarkt.com/chris-smalling/profil/spieler/103427</w:t>
      </w:r>
    </w:p>
    <w:p w14:paraId="47BB820D" w14:textId="77777777" w:rsidR="007D0519" w:rsidRDefault="007D0519" w:rsidP="007D0519">
      <w:pPr>
        <w:pStyle w:val="NormalWeb"/>
        <w:shd w:val="clear" w:color="auto" w:fill="FFFFFF"/>
        <w:spacing w:before="0" w:beforeAutospacing="0" w:after="0" w:afterAutospacing="0" w:line="480" w:lineRule="atLeast"/>
        <w:ind w:left="720" w:hanging="720"/>
        <w:rPr>
          <w:color w:val="000000"/>
        </w:rPr>
      </w:pPr>
      <w:r>
        <w:rPr>
          <w:color w:val="000000"/>
        </w:rPr>
        <w:t>Transfermarkt. (n.d.-d).</w:t>
      </w:r>
      <w:r>
        <w:rPr>
          <w:rStyle w:val="apple-converted-space"/>
          <w:color w:val="000000"/>
        </w:rPr>
        <w:t> </w:t>
      </w:r>
      <w:r>
        <w:rPr>
          <w:i/>
          <w:iCs/>
          <w:color w:val="000000"/>
        </w:rPr>
        <w:t>Declan Rice - Player profile 22/23</w:t>
      </w:r>
      <w:r>
        <w:rPr>
          <w:color w:val="000000"/>
        </w:rPr>
        <w:t>. Www.transfermarkt.com. Retrieved May 22, 2023, from https://www.transfermarkt.com/declan-rice/profil/spieler/357662</w:t>
      </w:r>
    </w:p>
    <w:p w14:paraId="7F790642" w14:textId="77777777" w:rsidR="007D0519" w:rsidRDefault="007D0519" w:rsidP="007D0519">
      <w:pPr>
        <w:pStyle w:val="NormalWeb"/>
        <w:shd w:val="clear" w:color="auto" w:fill="FFFFFF"/>
        <w:spacing w:before="0" w:beforeAutospacing="0" w:after="0" w:afterAutospacing="0" w:line="480" w:lineRule="atLeast"/>
        <w:ind w:left="720" w:hanging="720"/>
        <w:rPr>
          <w:color w:val="000000"/>
        </w:rPr>
      </w:pPr>
      <w:r>
        <w:rPr>
          <w:color w:val="000000"/>
        </w:rPr>
        <w:t>Transfermarkt. (n.d.-e).</w:t>
      </w:r>
      <w:r>
        <w:rPr>
          <w:rStyle w:val="apple-converted-space"/>
          <w:color w:val="000000"/>
        </w:rPr>
        <w:t> </w:t>
      </w:r>
      <w:r>
        <w:rPr>
          <w:i/>
          <w:iCs/>
          <w:color w:val="000000"/>
        </w:rPr>
        <w:t xml:space="preserve">Enzo Le </w:t>
      </w:r>
      <w:proofErr w:type="spellStart"/>
      <w:r>
        <w:rPr>
          <w:i/>
          <w:iCs/>
          <w:color w:val="000000"/>
        </w:rPr>
        <w:t>Fée</w:t>
      </w:r>
      <w:proofErr w:type="spellEnd"/>
      <w:r>
        <w:rPr>
          <w:i/>
          <w:iCs/>
          <w:color w:val="000000"/>
        </w:rPr>
        <w:t xml:space="preserve"> - Player profile 22/23</w:t>
      </w:r>
      <w:r>
        <w:rPr>
          <w:color w:val="000000"/>
        </w:rPr>
        <w:t>. Www.transfermarkt.com. Retrieved May 22, 2023, from https://www.transfermarkt.com/enzo-le-fee/profil/spieler/633992</w:t>
      </w:r>
    </w:p>
    <w:p w14:paraId="60F21480" w14:textId="77777777" w:rsidR="007D0519" w:rsidRDefault="007D0519" w:rsidP="007D0519">
      <w:pPr>
        <w:pStyle w:val="NormalWeb"/>
        <w:shd w:val="clear" w:color="auto" w:fill="FFFFFF"/>
        <w:spacing w:before="0" w:beforeAutospacing="0" w:after="0" w:afterAutospacing="0" w:line="480" w:lineRule="atLeast"/>
        <w:ind w:left="720" w:hanging="720"/>
        <w:rPr>
          <w:color w:val="000000"/>
        </w:rPr>
      </w:pPr>
      <w:r>
        <w:rPr>
          <w:color w:val="000000"/>
        </w:rPr>
        <w:t>Transfermarkt. (n.d.-f).</w:t>
      </w:r>
      <w:r>
        <w:rPr>
          <w:rStyle w:val="apple-converted-space"/>
          <w:color w:val="000000"/>
        </w:rPr>
        <w:t> </w:t>
      </w:r>
      <w:r>
        <w:rPr>
          <w:i/>
          <w:iCs/>
          <w:color w:val="000000"/>
        </w:rPr>
        <w:t>Harry Kane - Player profile 22/23</w:t>
      </w:r>
      <w:r>
        <w:rPr>
          <w:color w:val="000000"/>
        </w:rPr>
        <w:t>. Www.transfermarkt.com. Retrieved May 20, 2023, from https://www.transfermarkt.com/harry-kane/profil/spieler/132098</w:t>
      </w:r>
    </w:p>
    <w:p w14:paraId="42095C86" w14:textId="77777777" w:rsidR="007D0519" w:rsidRDefault="007D0519" w:rsidP="007D0519">
      <w:pPr>
        <w:pStyle w:val="NormalWeb"/>
        <w:shd w:val="clear" w:color="auto" w:fill="FFFFFF"/>
        <w:spacing w:before="0" w:beforeAutospacing="0" w:after="0" w:afterAutospacing="0" w:line="480" w:lineRule="atLeast"/>
        <w:ind w:left="720" w:hanging="720"/>
        <w:rPr>
          <w:color w:val="000000"/>
        </w:rPr>
      </w:pPr>
      <w:r>
        <w:rPr>
          <w:color w:val="000000"/>
        </w:rPr>
        <w:t>Transfermarkt. (n.d.-g).</w:t>
      </w:r>
      <w:r>
        <w:rPr>
          <w:rStyle w:val="apple-converted-space"/>
          <w:color w:val="000000"/>
        </w:rPr>
        <w:t> </w:t>
      </w:r>
      <w:r>
        <w:rPr>
          <w:i/>
          <w:iCs/>
          <w:color w:val="000000"/>
        </w:rPr>
        <w:t>Hiroki Ito - Player profile 22/23</w:t>
      </w:r>
      <w:r>
        <w:rPr>
          <w:color w:val="000000"/>
        </w:rPr>
        <w:t>. Www.transfermarkt.com. Retrieved May 20, 2023, from https://www.transfermarkt.com/hiroki-ito/profil/spieler/353892</w:t>
      </w:r>
    </w:p>
    <w:p w14:paraId="7C2F5B57" w14:textId="77777777" w:rsidR="007D0519" w:rsidRDefault="007D0519" w:rsidP="007D0519">
      <w:pPr>
        <w:pStyle w:val="NormalWeb"/>
        <w:shd w:val="clear" w:color="auto" w:fill="FFFFFF"/>
        <w:spacing w:before="0" w:beforeAutospacing="0" w:after="0" w:afterAutospacing="0" w:line="480" w:lineRule="atLeast"/>
        <w:ind w:left="720" w:hanging="720"/>
        <w:rPr>
          <w:color w:val="000000"/>
        </w:rPr>
      </w:pPr>
      <w:r>
        <w:rPr>
          <w:color w:val="000000"/>
        </w:rPr>
        <w:lastRenderedPageBreak/>
        <w:t>Transfermarkt. (n.d.-h).</w:t>
      </w:r>
      <w:r>
        <w:rPr>
          <w:rStyle w:val="apple-converted-space"/>
          <w:color w:val="000000"/>
        </w:rPr>
        <w:t> </w:t>
      </w:r>
      <w:r>
        <w:rPr>
          <w:i/>
          <w:iCs/>
          <w:color w:val="000000"/>
        </w:rPr>
        <w:t>Joshua Kimmich - Player profile 22/23</w:t>
      </w:r>
      <w:r>
        <w:rPr>
          <w:color w:val="000000"/>
        </w:rPr>
        <w:t>. Www.transfermarkt.com. Retrieved May 22, 2023, from https://www.transfermarkt.com/joshua-kimmich/profil/spieler/161056</w:t>
      </w:r>
    </w:p>
    <w:p w14:paraId="3FD01091" w14:textId="77777777" w:rsidR="007D0519" w:rsidRDefault="007D0519" w:rsidP="007D0519">
      <w:pPr>
        <w:pStyle w:val="NormalWeb"/>
        <w:shd w:val="clear" w:color="auto" w:fill="FFFFFF"/>
        <w:spacing w:before="0" w:beforeAutospacing="0" w:after="0" w:afterAutospacing="0" w:line="480" w:lineRule="atLeast"/>
        <w:ind w:left="720" w:hanging="720"/>
        <w:rPr>
          <w:color w:val="000000"/>
        </w:rPr>
      </w:pPr>
      <w:r>
        <w:rPr>
          <w:color w:val="000000"/>
        </w:rPr>
        <w:t>Transfermarkt. (n.d.-</w:t>
      </w:r>
      <w:proofErr w:type="spellStart"/>
      <w:r>
        <w:rPr>
          <w:color w:val="000000"/>
        </w:rPr>
        <w:t>i</w:t>
      </w:r>
      <w:proofErr w:type="spellEnd"/>
      <w:r>
        <w:rPr>
          <w:color w:val="000000"/>
        </w:rPr>
        <w:t>).</w:t>
      </w:r>
      <w:r>
        <w:rPr>
          <w:rStyle w:val="apple-converted-space"/>
          <w:color w:val="000000"/>
        </w:rPr>
        <w:t> </w:t>
      </w:r>
      <w:proofErr w:type="spellStart"/>
      <w:r>
        <w:rPr>
          <w:i/>
          <w:iCs/>
          <w:color w:val="000000"/>
        </w:rPr>
        <w:t>Terem</w:t>
      </w:r>
      <w:proofErr w:type="spellEnd"/>
      <w:r>
        <w:rPr>
          <w:i/>
          <w:iCs/>
          <w:color w:val="000000"/>
        </w:rPr>
        <w:t xml:space="preserve"> </w:t>
      </w:r>
      <w:proofErr w:type="spellStart"/>
      <w:r>
        <w:rPr>
          <w:i/>
          <w:iCs/>
          <w:color w:val="000000"/>
        </w:rPr>
        <w:t>Moffi</w:t>
      </w:r>
      <w:proofErr w:type="spellEnd"/>
      <w:r>
        <w:rPr>
          <w:i/>
          <w:iCs/>
          <w:color w:val="000000"/>
        </w:rPr>
        <w:t xml:space="preserve"> - Player profile 22/23</w:t>
      </w:r>
      <w:r>
        <w:rPr>
          <w:color w:val="000000"/>
        </w:rPr>
        <w:t>. Www.transfermarkt.com. Retrieved May 20, 2023, from https://www.transfermarkt.com/terem-moffi/profil/spieler/538874</w:t>
      </w:r>
    </w:p>
    <w:p w14:paraId="2C185D2C" w14:textId="77777777" w:rsidR="007D0519" w:rsidRDefault="007D0519" w:rsidP="007D0519">
      <w:pPr>
        <w:pStyle w:val="NormalWeb"/>
        <w:shd w:val="clear" w:color="auto" w:fill="FFFFFF"/>
        <w:spacing w:before="0" w:beforeAutospacing="0" w:after="0" w:afterAutospacing="0" w:line="480" w:lineRule="atLeast"/>
        <w:ind w:left="720" w:hanging="720"/>
        <w:rPr>
          <w:color w:val="000000"/>
        </w:rPr>
      </w:pPr>
      <w:r>
        <w:rPr>
          <w:color w:val="000000"/>
        </w:rPr>
        <w:t>Transfermarkt. (n.d.-j).</w:t>
      </w:r>
      <w:r>
        <w:rPr>
          <w:rStyle w:val="apple-converted-space"/>
          <w:color w:val="000000"/>
        </w:rPr>
        <w:t> </w:t>
      </w:r>
      <w:r>
        <w:rPr>
          <w:i/>
          <w:iCs/>
          <w:color w:val="000000"/>
        </w:rPr>
        <w:t>Willi Orbán - Player profile 22/23</w:t>
      </w:r>
      <w:r>
        <w:rPr>
          <w:color w:val="000000"/>
        </w:rPr>
        <w:t>. Www.transfermarkt.com. Retrieved May 20, 2023, from https://www.transfermarkt.com/willi-orban/profil/spieler/93740</w:t>
      </w:r>
    </w:p>
    <w:p w14:paraId="3DBB3A4D" w14:textId="77777777" w:rsidR="007D0519" w:rsidRDefault="007D0519" w:rsidP="007D0519">
      <w:pPr>
        <w:pStyle w:val="NormalWeb"/>
        <w:shd w:val="clear" w:color="auto" w:fill="FFFFFF"/>
        <w:spacing w:before="0" w:beforeAutospacing="0" w:after="0" w:afterAutospacing="0" w:line="480" w:lineRule="atLeast"/>
        <w:ind w:left="720" w:hanging="720"/>
        <w:rPr>
          <w:color w:val="000000"/>
        </w:rPr>
      </w:pPr>
      <w:r>
        <w:rPr>
          <w:color w:val="000000"/>
        </w:rPr>
        <w:t>Transfermarkt. (2021).</w:t>
      </w:r>
      <w:r>
        <w:rPr>
          <w:rStyle w:val="apple-converted-space"/>
          <w:color w:val="000000"/>
        </w:rPr>
        <w:t> </w:t>
      </w:r>
      <w:r>
        <w:rPr>
          <w:i/>
          <w:iCs/>
          <w:color w:val="000000"/>
        </w:rPr>
        <w:t>Top transfers (2020/2021)</w:t>
      </w:r>
      <w:r>
        <w:rPr>
          <w:color w:val="000000"/>
        </w:rPr>
        <w:t>. Www.transfermarkt.co.uk. https://www.transfermarkt.co.uk/transfers/saisontransfers/statistik/top/plus/0/galerie/0?saison_id=2020&amp;transferfenster=alle&amp;land_id=&amp;ausrichtung=&amp;spielerposition_id=&amp;altersklasse=&amp;leihe=</w:t>
      </w:r>
    </w:p>
    <w:p w14:paraId="52B8633B" w14:textId="77777777" w:rsidR="007D0519" w:rsidRDefault="007D0519" w:rsidP="007D0519">
      <w:pPr>
        <w:pStyle w:val="NormalWeb"/>
        <w:shd w:val="clear" w:color="auto" w:fill="FFFFFF"/>
        <w:spacing w:before="0" w:beforeAutospacing="0" w:after="0" w:afterAutospacing="0" w:line="480" w:lineRule="atLeast"/>
        <w:ind w:left="720" w:hanging="720"/>
        <w:rPr>
          <w:color w:val="000000"/>
        </w:rPr>
      </w:pPr>
      <w:r>
        <w:rPr>
          <w:color w:val="000000"/>
        </w:rPr>
        <w:t>Transfermarkt. (2023a).</w:t>
      </w:r>
      <w:r>
        <w:rPr>
          <w:rStyle w:val="apple-converted-space"/>
          <w:color w:val="000000"/>
        </w:rPr>
        <w:t> </w:t>
      </w:r>
      <w:r>
        <w:rPr>
          <w:i/>
          <w:iCs/>
          <w:color w:val="000000"/>
        </w:rPr>
        <w:t>Championship 22/23</w:t>
      </w:r>
      <w:r>
        <w:rPr>
          <w:color w:val="000000"/>
        </w:rPr>
        <w:t>. Www.transfermarkt.co.uk. https://www.transfermarkt.co.uk/championship/startseite/wettbewerb/GB2</w:t>
      </w:r>
    </w:p>
    <w:p w14:paraId="06C39E50" w14:textId="77777777" w:rsidR="007D0519" w:rsidRDefault="007D0519" w:rsidP="007D0519">
      <w:pPr>
        <w:pStyle w:val="NormalWeb"/>
        <w:shd w:val="clear" w:color="auto" w:fill="FFFFFF"/>
        <w:spacing w:before="0" w:beforeAutospacing="0" w:after="0" w:afterAutospacing="0" w:line="480" w:lineRule="atLeast"/>
        <w:ind w:left="720" w:hanging="720"/>
        <w:rPr>
          <w:color w:val="000000"/>
        </w:rPr>
      </w:pPr>
      <w:r>
        <w:rPr>
          <w:color w:val="000000"/>
        </w:rPr>
        <w:t>Transfermarkt. (2023b).</w:t>
      </w:r>
      <w:r>
        <w:rPr>
          <w:rStyle w:val="apple-converted-space"/>
          <w:color w:val="000000"/>
        </w:rPr>
        <w:t> </w:t>
      </w:r>
      <w:r>
        <w:rPr>
          <w:i/>
          <w:iCs/>
          <w:color w:val="000000"/>
        </w:rPr>
        <w:t>Premier League - Attendance figures (Detailed view)</w:t>
      </w:r>
      <w:r>
        <w:rPr>
          <w:color w:val="000000"/>
        </w:rPr>
        <w:t>. Www.transfermarkt.co.uk. https://www.transfermarkt.co.uk/premier-league/besucherzahlen/wettbewerb/GB1/saison_id/2022/plus/1</w:t>
      </w:r>
    </w:p>
    <w:p w14:paraId="199D084E" w14:textId="77777777" w:rsidR="007D0519" w:rsidRDefault="007D0519" w:rsidP="007D0519">
      <w:pPr>
        <w:pStyle w:val="NormalWeb"/>
        <w:shd w:val="clear" w:color="auto" w:fill="FFFFFF"/>
        <w:spacing w:before="0" w:beforeAutospacing="0" w:after="0" w:afterAutospacing="0" w:line="480" w:lineRule="atLeast"/>
        <w:ind w:left="720" w:hanging="720"/>
        <w:rPr>
          <w:color w:val="000000"/>
        </w:rPr>
      </w:pPr>
      <w:r>
        <w:rPr>
          <w:color w:val="000000"/>
        </w:rPr>
        <w:t>Transfermarkt. (2023c).</w:t>
      </w:r>
      <w:r>
        <w:rPr>
          <w:rStyle w:val="apple-converted-space"/>
          <w:color w:val="000000"/>
        </w:rPr>
        <w:t> </w:t>
      </w:r>
      <w:r>
        <w:rPr>
          <w:i/>
          <w:iCs/>
          <w:color w:val="000000"/>
        </w:rPr>
        <w:t>Premier League 22/23</w:t>
      </w:r>
      <w:r>
        <w:rPr>
          <w:color w:val="000000"/>
        </w:rPr>
        <w:t>. Www.transfermarkt.co.uk. https://www.transfermarkt.co.uk/premier-league/startseite/wettbewerb/GB1</w:t>
      </w:r>
    </w:p>
    <w:p w14:paraId="38545661" w14:textId="77777777" w:rsidR="007D0519" w:rsidRDefault="007D0519" w:rsidP="007D0519">
      <w:pPr>
        <w:pStyle w:val="NormalWeb"/>
        <w:shd w:val="clear" w:color="auto" w:fill="FFFFFF"/>
        <w:spacing w:before="0" w:beforeAutospacing="0" w:after="0" w:afterAutospacing="0" w:line="480" w:lineRule="atLeast"/>
        <w:ind w:left="720" w:hanging="720"/>
        <w:rPr>
          <w:color w:val="000000"/>
        </w:rPr>
      </w:pPr>
      <w:r>
        <w:rPr>
          <w:color w:val="000000"/>
        </w:rPr>
        <w:t>Transfermarkt. (2023d).</w:t>
      </w:r>
      <w:r>
        <w:rPr>
          <w:rStyle w:val="apple-converted-space"/>
          <w:color w:val="000000"/>
        </w:rPr>
        <w:t> </w:t>
      </w:r>
      <w:r>
        <w:rPr>
          <w:i/>
          <w:iCs/>
          <w:color w:val="000000"/>
        </w:rPr>
        <w:t>Top transfers (2022/2023)</w:t>
      </w:r>
      <w:r>
        <w:rPr>
          <w:color w:val="000000"/>
        </w:rPr>
        <w:t>. Www.transfermarkt.co.uk. https://www.transfermarkt.co.uk/statistik/saisontransfers</w:t>
      </w:r>
    </w:p>
    <w:p w14:paraId="16828A01" w14:textId="77777777" w:rsidR="007D0519" w:rsidRDefault="007D0519" w:rsidP="007D0519">
      <w:pPr>
        <w:pStyle w:val="NormalWeb"/>
        <w:shd w:val="clear" w:color="auto" w:fill="FFFFFF"/>
        <w:spacing w:before="0" w:beforeAutospacing="0" w:after="0" w:afterAutospacing="0" w:line="480" w:lineRule="atLeast"/>
        <w:ind w:left="720" w:hanging="720"/>
        <w:rPr>
          <w:color w:val="000000"/>
        </w:rPr>
      </w:pPr>
      <w:r>
        <w:rPr>
          <w:color w:val="000000"/>
        </w:rPr>
        <w:t>Transfermarkt. (2023e).</w:t>
      </w:r>
      <w:r>
        <w:rPr>
          <w:rStyle w:val="apple-converted-space"/>
          <w:color w:val="000000"/>
        </w:rPr>
        <w:t> </w:t>
      </w:r>
      <w:r>
        <w:rPr>
          <w:i/>
          <w:iCs/>
          <w:color w:val="000000"/>
        </w:rPr>
        <w:t>Tottenham Hotspur - Staff</w:t>
      </w:r>
      <w:r>
        <w:rPr>
          <w:color w:val="000000"/>
        </w:rPr>
        <w:t>. Www.transfermarkt.com. https://www.transfermarkt.com/tottenham-hotspur/mitarbeiter/verein/148</w:t>
      </w:r>
    </w:p>
    <w:p w14:paraId="28F4F5C6" w14:textId="77777777" w:rsidR="007D0519" w:rsidRDefault="007D0519" w:rsidP="007D0519">
      <w:pPr>
        <w:pStyle w:val="NormalWeb"/>
        <w:shd w:val="clear" w:color="auto" w:fill="FFFFFF"/>
        <w:spacing w:before="0" w:beforeAutospacing="0" w:after="0" w:afterAutospacing="0" w:line="480" w:lineRule="atLeast"/>
        <w:ind w:left="720" w:hanging="720"/>
        <w:rPr>
          <w:color w:val="000000"/>
        </w:rPr>
      </w:pPr>
      <w:r>
        <w:rPr>
          <w:color w:val="000000"/>
        </w:rPr>
        <w:t>Transfermarkt. (2023f).</w:t>
      </w:r>
      <w:r>
        <w:rPr>
          <w:rStyle w:val="apple-converted-space"/>
          <w:color w:val="000000"/>
        </w:rPr>
        <w:t> </w:t>
      </w:r>
      <w:r>
        <w:rPr>
          <w:i/>
          <w:iCs/>
          <w:color w:val="000000"/>
        </w:rPr>
        <w:t>TRANSFER INCOME AND EXPENDITURE (2010 - 2023)</w:t>
      </w:r>
      <w:r>
        <w:rPr>
          <w:color w:val="000000"/>
        </w:rPr>
        <w:t>. Transfermarkt.co.uk. https://www.transfermarkt.co.uk/transfers/einnahmenausgaben/statistik/plus/0?ids=a&amp;sa=&amp;saison_id=2010&amp;saison_id_bis=2022&amp;land_id=&amp;nat=&amp;kontinent_id=&amp;pos=&amp;altersklasse=&amp;w_s=&amp;leihe=&amp;intern=0&amp;plus=0</w:t>
      </w:r>
    </w:p>
    <w:p w14:paraId="58856340" w14:textId="77777777" w:rsidR="007D0519" w:rsidRDefault="007D0519" w:rsidP="007D0519">
      <w:pPr>
        <w:pStyle w:val="NormalWeb"/>
        <w:shd w:val="clear" w:color="auto" w:fill="FFFFFF"/>
        <w:spacing w:before="0" w:beforeAutospacing="0" w:after="0" w:afterAutospacing="0" w:line="480" w:lineRule="atLeast"/>
        <w:ind w:left="720" w:hanging="720"/>
        <w:rPr>
          <w:color w:val="000000"/>
        </w:rPr>
      </w:pPr>
      <w:r>
        <w:rPr>
          <w:color w:val="000000"/>
        </w:rPr>
        <w:lastRenderedPageBreak/>
        <w:t>Transfermarkt. (2023g).</w:t>
      </w:r>
      <w:r>
        <w:rPr>
          <w:rStyle w:val="apple-converted-space"/>
          <w:color w:val="000000"/>
        </w:rPr>
        <w:t> </w:t>
      </w:r>
      <w:r>
        <w:rPr>
          <w:i/>
          <w:iCs/>
          <w:color w:val="000000"/>
        </w:rPr>
        <w:t>TRANSFER INCOME AND EXPENDITURE (2017 - 2023)</w:t>
      </w:r>
      <w:r>
        <w:rPr>
          <w:color w:val="000000"/>
        </w:rPr>
        <w:t>. Transfermarkt.co.uk. https://www.transfermarkt.co.uk/transfers/einnahmenausgaben/statistik/plus/0?ids=a&amp;sa=&amp;saison_id=2017&amp;saison_id_bis=2022&amp;land_id=&amp;nat=&amp;kontinent_id=&amp;pos=&amp;altersklasse=&amp;w_s=&amp;leihe=&amp;intern=0&amp;plus=0</w:t>
      </w:r>
    </w:p>
    <w:p w14:paraId="103D828B" w14:textId="77777777" w:rsidR="007D0519" w:rsidRDefault="007D0519" w:rsidP="007D0519">
      <w:pPr>
        <w:pStyle w:val="NormalWeb"/>
        <w:shd w:val="clear" w:color="auto" w:fill="FFFFFF"/>
        <w:spacing w:before="0" w:beforeAutospacing="0" w:after="0" w:afterAutospacing="0" w:line="480" w:lineRule="atLeast"/>
        <w:ind w:left="720" w:hanging="720"/>
        <w:rPr>
          <w:color w:val="000000"/>
        </w:rPr>
      </w:pPr>
      <w:r>
        <w:rPr>
          <w:color w:val="000000"/>
        </w:rPr>
        <w:t>UEFA. (2020).</w:t>
      </w:r>
      <w:r>
        <w:rPr>
          <w:rStyle w:val="apple-converted-space"/>
          <w:color w:val="000000"/>
        </w:rPr>
        <w:t> </w:t>
      </w:r>
      <w:r>
        <w:rPr>
          <w:i/>
          <w:iCs/>
          <w:color w:val="000000"/>
        </w:rPr>
        <w:t>The European Club Footballing Landscape Club Licensing Benchmarking Report Financial Year 2018</w:t>
      </w:r>
      <w:r>
        <w:rPr>
          <w:color w:val="000000"/>
        </w:rPr>
        <w:t>. https://www.footballbenchmark.com/documents/files/UEFA%20Club%20Licensing%20Benchmarking%20report_2020_FY%202018.pdf</w:t>
      </w:r>
    </w:p>
    <w:p w14:paraId="22C5BE61" w14:textId="77777777" w:rsidR="007D0519" w:rsidRDefault="007D0519" w:rsidP="007D0519">
      <w:pPr>
        <w:pStyle w:val="NormalWeb"/>
        <w:shd w:val="clear" w:color="auto" w:fill="FFFFFF"/>
        <w:spacing w:before="0" w:beforeAutospacing="0" w:after="0" w:afterAutospacing="0" w:line="480" w:lineRule="atLeast"/>
        <w:ind w:left="720" w:hanging="720"/>
        <w:rPr>
          <w:color w:val="000000"/>
        </w:rPr>
      </w:pPr>
      <w:r>
        <w:rPr>
          <w:color w:val="000000"/>
        </w:rPr>
        <w:t>UEFA. (2022a).</w:t>
      </w:r>
      <w:r>
        <w:rPr>
          <w:rStyle w:val="apple-converted-space"/>
          <w:color w:val="000000"/>
        </w:rPr>
        <w:t> </w:t>
      </w:r>
      <w:r>
        <w:rPr>
          <w:i/>
          <w:iCs/>
          <w:color w:val="000000"/>
        </w:rPr>
        <w:t>Finals | History | UEFA Champions League</w:t>
      </w:r>
      <w:r>
        <w:rPr>
          <w:color w:val="000000"/>
        </w:rPr>
        <w:t>. UEFA.com. https://www.uefa.com/uefachampionsleague/history/winners/finals/</w:t>
      </w:r>
    </w:p>
    <w:p w14:paraId="17254557" w14:textId="77777777" w:rsidR="007D0519" w:rsidRDefault="007D0519" w:rsidP="007D0519">
      <w:pPr>
        <w:pStyle w:val="NormalWeb"/>
        <w:shd w:val="clear" w:color="auto" w:fill="FFFFFF"/>
        <w:spacing w:before="0" w:beforeAutospacing="0" w:after="0" w:afterAutospacing="0" w:line="480" w:lineRule="atLeast"/>
        <w:ind w:left="720" w:hanging="720"/>
        <w:rPr>
          <w:color w:val="000000"/>
        </w:rPr>
      </w:pPr>
      <w:r>
        <w:rPr>
          <w:color w:val="000000"/>
        </w:rPr>
        <w:t>UEFA. (2022b, May 17).</w:t>
      </w:r>
      <w:r>
        <w:rPr>
          <w:rStyle w:val="apple-converted-space"/>
          <w:color w:val="000000"/>
        </w:rPr>
        <w:t> </w:t>
      </w:r>
      <w:r>
        <w:rPr>
          <w:i/>
          <w:iCs/>
          <w:color w:val="000000"/>
        </w:rPr>
        <w:t>Has any team ever won the quadruple? Who’s won the treble?</w:t>
      </w:r>
      <w:r>
        <w:rPr>
          <w:rStyle w:val="apple-converted-space"/>
          <w:color w:val="000000"/>
        </w:rPr>
        <w:t> </w:t>
      </w:r>
      <w:r>
        <w:rPr>
          <w:color w:val="000000"/>
        </w:rPr>
        <w:t>UEFA.com. https://www.uefa.com/uefachampionsleague/news/0251-0e99b1ba85da-ec8053dc0a29-1000--has-any-team-ever-won-the-quadruple-who-s-won-the-treble/</w:t>
      </w:r>
    </w:p>
    <w:p w14:paraId="0BE1D3A1" w14:textId="77777777" w:rsidR="007D0519" w:rsidRDefault="007D0519" w:rsidP="007D0519">
      <w:pPr>
        <w:pStyle w:val="NormalWeb"/>
        <w:shd w:val="clear" w:color="auto" w:fill="FFFFFF"/>
        <w:spacing w:before="0" w:beforeAutospacing="0" w:after="0" w:afterAutospacing="0" w:line="480" w:lineRule="atLeast"/>
        <w:ind w:left="720" w:hanging="720"/>
        <w:rPr>
          <w:color w:val="000000"/>
        </w:rPr>
      </w:pPr>
      <w:r>
        <w:rPr>
          <w:color w:val="000000"/>
        </w:rPr>
        <w:t>UEFA. (2023).</w:t>
      </w:r>
      <w:r>
        <w:rPr>
          <w:rStyle w:val="apple-converted-space"/>
          <w:color w:val="000000"/>
        </w:rPr>
        <w:t> </w:t>
      </w:r>
      <w:r>
        <w:rPr>
          <w:i/>
          <w:iCs/>
          <w:color w:val="000000"/>
        </w:rPr>
        <w:t>Club coefficients | UEFA Coefficients</w:t>
      </w:r>
      <w:r>
        <w:rPr>
          <w:color w:val="000000"/>
        </w:rPr>
        <w:t>. UEFA.com. https://www.uefa.com/nationalassociations/uefarankings/club/#/yr/2023</w:t>
      </w:r>
    </w:p>
    <w:p w14:paraId="718083BA" w14:textId="77777777" w:rsidR="007D0519" w:rsidRDefault="007D0519" w:rsidP="007D0519">
      <w:pPr>
        <w:pStyle w:val="NormalWeb"/>
        <w:shd w:val="clear" w:color="auto" w:fill="FFFFFF"/>
        <w:spacing w:before="0" w:beforeAutospacing="0" w:after="0" w:afterAutospacing="0" w:line="480" w:lineRule="atLeast"/>
        <w:ind w:left="720" w:hanging="720"/>
        <w:rPr>
          <w:color w:val="000000"/>
        </w:rPr>
      </w:pPr>
      <w:r>
        <w:rPr>
          <w:color w:val="000000"/>
        </w:rPr>
        <w:t>Vimal, V. (2023, March 7).</w:t>
      </w:r>
      <w:r>
        <w:rPr>
          <w:rStyle w:val="apple-converted-space"/>
          <w:color w:val="000000"/>
        </w:rPr>
        <w:t> </w:t>
      </w:r>
      <w:r>
        <w:rPr>
          <w:i/>
          <w:iCs/>
          <w:color w:val="000000"/>
        </w:rPr>
        <w:t>The Power of Analytics in Football: How Data is Revolutionizing the Sport</w:t>
      </w:r>
      <w:r>
        <w:rPr>
          <w:color w:val="000000"/>
        </w:rPr>
        <w:t>. Www.linkedin.com. https://www.linkedin.com/pulse/power-analytics-football-how-data-revolutionizing-sport-varun-vimal/</w:t>
      </w:r>
    </w:p>
    <w:p w14:paraId="6A4A7845" w14:textId="77777777" w:rsidR="007D0519" w:rsidRDefault="007D0519" w:rsidP="007D0519">
      <w:pPr>
        <w:pStyle w:val="NormalWeb"/>
        <w:shd w:val="clear" w:color="auto" w:fill="FFFFFF"/>
        <w:spacing w:before="0" w:beforeAutospacing="0" w:after="0" w:afterAutospacing="0" w:line="480" w:lineRule="atLeast"/>
        <w:ind w:left="720" w:hanging="720"/>
        <w:rPr>
          <w:color w:val="000000"/>
        </w:rPr>
      </w:pPr>
      <w:proofErr w:type="spellStart"/>
      <w:r>
        <w:rPr>
          <w:color w:val="000000"/>
        </w:rPr>
        <w:t>Viquez</w:t>
      </w:r>
      <w:proofErr w:type="spellEnd"/>
      <w:r>
        <w:rPr>
          <w:color w:val="000000"/>
        </w:rPr>
        <w:t>, M. (2022, December 19).</w:t>
      </w:r>
      <w:r>
        <w:rPr>
          <w:rStyle w:val="apple-converted-space"/>
          <w:color w:val="000000"/>
        </w:rPr>
        <w:t> </w:t>
      </w:r>
      <w:r>
        <w:rPr>
          <w:i/>
          <w:iCs/>
          <w:color w:val="000000"/>
        </w:rPr>
        <w:t>Stadium Journey Premier League Stadium Ranking</w:t>
      </w:r>
      <w:r>
        <w:rPr>
          <w:color w:val="000000"/>
        </w:rPr>
        <w:t>. Stadium Journey. https://www.stadiumjourney.com/stadiums/epl-stadium-rankings-2023</w:t>
      </w:r>
    </w:p>
    <w:p w14:paraId="45F4D917" w14:textId="77777777" w:rsidR="007D0519" w:rsidRDefault="007D0519" w:rsidP="007D0519">
      <w:pPr>
        <w:pStyle w:val="NormalWeb"/>
        <w:shd w:val="clear" w:color="auto" w:fill="FFFFFF"/>
        <w:spacing w:before="0" w:beforeAutospacing="0" w:after="0" w:afterAutospacing="0" w:line="480" w:lineRule="atLeast"/>
        <w:ind w:left="720" w:hanging="720"/>
        <w:rPr>
          <w:color w:val="000000"/>
        </w:rPr>
      </w:pPr>
      <w:r>
        <w:rPr>
          <w:color w:val="000000"/>
        </w:rPr>
        <w:t>Whitmore, J. (2021, July 22).</w:t>
      </w:r>
      <w:r>
        <w:rPr>
          <w:rStyle w:val="apple-converted-space"/>
          <w:color w:val="000000"/>
        </w:rPr>
        <w:t> </w:t>
      </w:r>
      <w:r>
        <w:rPr>
          <w:i/>
          <w:iCs/>
          <w:color w:val="000000"/>
        </w:rPr>
        <w:t>5 Key Differences Between International and Club Football</w:t>
      </w:r>
      <w:r>
        <w:rPr>
          <w:color w:val="000000"/>
        </w:rPr>
        <w:t>. The Analyst. https://theanalyst.com/eu/2021/07/five-differences-between-international-and-club-football/</w:t>
      </w:r>
    </w:p>
    <w:p w14:paraId="5D392204" w14:textId="77777777" w:rsidR="007D0519" w:rsidRDefault="007D0519" w:rsidP="007D0519">
      <w:pPr>
        <w:pStyle w:val="NormalWeb"/>
        <w:shd w:val="clear" w:color="auto" w:fill="FFFFFF"/>
        <w:spacing w:before="0" w:beforeAutospacing="0" w:after="0" w:afterAutospacing="0" w:line="480" w:lineRule="atLeast"/>
        <w:ind w:left="720" w:hanging="720"/>
        <w:rPr>
          <w:color w:val="000000"/>
        </w:rPr>
      </w:pPr>
      <w:r>
        <w:rPr>
          <w:color w:val="000000"/>
        </w:rPr>
        <w:t>Wikipedia. (2023, March 21).</w:t>
      </w:r>
      <w:r>
        <w:rPr>
          <w:rStyle w:val="apple-converted-space"/>
          <w:color w:val="000000"/>
        </w:rPr>
        <w:t> </w:t>
      </w:r>
      <w:r>
        <w:rPr>
          <w:i/>
          <w:iCs/>
          <w:color w:val="000000"/>
        </w:rPr>
        <w:t>Deloitte Football Money League</w:t>
      </w:r>
      <w:r>
        <w:rPr>
          <w:color w:val="000000"/>
        </w:rPr>
        <w:t>. Wikipedia. https://en.wikipedia.org/wiki/Deloitte_Football_Money_League#Summary_performance_timeline</w:t>
      </w:r>
    </w:p>
    <w:p w14:paraId="73DAEB69" w14:textId="77777777" w:rsidR="007D0519" w:rsidRDefault="007D0519" w:rsidP="007D0519">
      <w:pPr>
        <w:pStyle w:val="NormalWeb"/>
        <w:shd w:val="clear" w:color="auto" w:fill="FFFFFF"/>
        <w:spacing w:before="0" w:beforeAutospacing="0" w:after="0" w:afterAutospacing="0" w:line="480" w:lineRule="atLeast"/>
        <w:ind w:left="720" w:hanging="720"/>
        <w:rPr>
          <w:color w:val="000000"/>
        </w:rPr>
      </w:pPr>
      <w:r>
        <w:rPr>
          <w:color w:val="000000"/>
        </w:rPr>
        <w:lastRenderedPageBreak/>
        <w:t>YouGov. (2020, September 15).</w:t>
      </w:r>
      <w:r>
        <w:rPr>
          <w:rStyle w:val="apple-converted-space"/>
          <w:color w:val="000000"/>
        </w:rPr>
        <w:t> </w:t>
      </w:r>
      <w:r>
        <w:rPr>
          <w:i/>
          <w:iCs/>
          <w:color w:val="000000"/>
        </w:rPr>
        <w:t>Who are Britain’s sport addicts? | YouGov</w:t>
      </w:r>
      <w:r>
        <w:rPr>
          <w:color w:val="000000"/>
        </w:rPr>
        <w:t>. Yougov.co.uk. https://yougov.co.uk/topics/sport/articles-reports/2020/09/15/who-are-britains-sport-addicts</w:t>
      </w:r>
    </w:p>
    <w:p w14:paraId="308613EE" w14:textId="77777777" w:rsidR="007D0519" w:rsidRDefault="007D0519" w:rsidP="007D0519">
      <w:r>
        <w:rPr>
          <w:color w:val="000000"/>
          <w:shd w:val="clear" w:color="auto" w:fill="FFFFFF"/>
        </w:rPr>
        <w:t>‌</w:t>
      </w:r>
    </w:p>
    <w:p w14:paraId="58AC8BE2" w14:textId="22B763CF" w:rsidR="003A3BCA" w:rsidRDefault="003A3BCA"/>
    <w:p w14:paraId="6E7F41BA" w14:textId="77777777" w:rsidR="003A3BCA" w:rsidRDefault="003A3BCA">
      <w:pPr>
        <w:pBdr>
          <w:top w:val="nil"/>
          <w:left w:val="nil"/>
          <w:bottom w:val="nil"/>
          <w:right w:val="nil"/>
          <w:between w:val="nil"/>
        </w:pBdr>
        <w:shd w:val="clear" w:color="auto" w:fill="FFFFFF"/>
        <w:ind w:left="720" w:hanging="720"/>
        <w:rPr>
          <w:color w:val="000000"/>
        </w:rPr>
      </w:pPr>
    </w:p>
    <w:sectPr w:rsidR="003A3BCA">
      <w:footerReference w:type="even" r:id="rId23"/>
      <w:footerReference w:type="default" r:id="rId24"/>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872651" w14:textId="77777777" w:rsidR="0077032A" w:rsidRDefault="0077032A">
      <w:r>
        <w:separator/>
      </w:r>
    </w:p>
  </w:endnote>
  <w:endnote w:type="continuationSeparator" w:id="0">
    <w:p w14:paraId="138CD74B" w14:textId="77777777" w:rsidR="0077032A" w:rsidRDefault="007703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alibri">
    <w:panose1 w:val="020F0502020204030204"/>
    <w:charset w:val="CC"/>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DAF4C7" w14:textId="77777777" w:rsidR="003A3BCA" w:rsidRDefault="003A3BCA">
    <w:pPr>
      <w:pBdr>
        <w:top w:val="nil"/>
        <w:left w:val="nil"/>
        <w:bottom w:val="nil"/>
        <w:right w:val="nil"/>
        <w:between w:val="nil"/>
      </w:pBdr>
      <w:tabs>
        <w:tab w:val="center" w:pos="4513"/>
        <w:tab w:val="right" w:pos="9026"/>
      </w:tabs>
      <w:jc w:val="center"/>
      <w:rPr>
        <w:rFonts w:ascii="Calibri" w:eastAsia="Calibri" w:hAnsi="Calibri" w:cs="Calibri"/>
        <w:color w:val="000000"/>
      </w:rPr>
    </w:pPr>
  </w:p>
  <w:p w14:paraId="11ED5E39" w14:textId="77777777" w:rsidR="003A3BCA" w:rsidRDefault="008276B6">
    <w:pPr>
      <w:pBdr>
        <w:top w:val="nil"/>
        <w:left w:val="nil"/>
        <w:bottom w:val="nil"/>
        <w:right w:val="nil"/>
        <w:between w:val="nil"/>
      </w:pBdr>
      <w:tabs>
        <w:tab w:val="center" w:pos="4513"/>
        <w:tab w:val="right" w:pos="9026"/>
      </w:tabs>
      <w:rPr>
        <w:rFonts w:ascii="Calibri" w:eastAsia="Calibri" w:hAnsi="Calibri" w:cs="Calibri"/>
        <w:color w:val="000000"/>
      </w:rPr>
    </w:pPr>
    <w:r>
      <w:rPr>
        <w:rFonts w:ascii="Calibri" w:eastAsia="Calibri" w:hAnsi="Calibri" w:cs="Calibri"/>
        <w:color w:val="000000"/>
      </w:rPr>
      <w:fldChar w:fldCharType="begin"/>
    </w:r>
    <w:r>
      <w:rPr>
        <w:rFonts w:ascii="Calibri" w:eastAsia="Calibri" w:hAnsi="Calibri" w:cs="Calibri"/>
        <w:color w:val="000000"/>
      </w:rPr>
      <w:instrText>PAGE</w:instrText>
    </w:r>
    <w:r w:rsidR="0077032A">
      <w:rPr>
        <w:rFonts w:ascii="Calibri" w:eastAsia="Calibri" w:hAnsi="Calibri" w:cs="Calibri"/>
        <w:color w:val="000000"/>
      </w:rPr>
      <w:fldChar w:fldCharType="separate"/>
    </w:r>
    <w:r>
      <w:rPr>
        <w:rFonts w:ascii="Calibri" w:eastAsia="Calibri" w:hAnsi="Calibri" w:cs="Calibri"/>
        <w:color w:val="00000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655504" w14:textId="77777777" w:rsidR="003A3BCA" w:rsidRDefault="008276B6">
    <w:pPr>
      <w:pBdr>
        <w:top w:val="nil"/>
        <w:left w:val="nil"/>
        <w:bottom w:val="nil"/>
        <w:right w:val="nil"/>
        <w:between w:val="nil"/>
      </w:pBdr>
      <w:tabs>
        <w:tab w:val="center" w:pos="4513"/>
        <w:tab w:val="right" w:pos="9026"/>
      </w:tabs>
      <w:jc w:val="center"/>
      <w:rPr>
        <w:rFonts w:ascii="Calibri" w:eastAsia="Calibri" w:hAnsi="Calibri" w:cs="Calibri"/>
        <w:color w:val="000000"/>
      </w:rPr>
    </w:pPr>
    <w:r>
      <w:rPr>
        <w:rFonts w:ascii="Calibri" w:eastAsia="Calibri" w:hAnsi="Calibri" w:cs="Calibri"/>
        <w:color w:val="000000"/>
      </w:rPr>
      <w:fldChar w:fldCharType="begin"/>
    </w:r>
    <w:r>
      <w:rPr>
        <w:rFonts w:ascii="Calibri" w:eastAsia="Calibri" w:hAnsi="Calibri" w:cs="Calibri"/>
        <w:color w:val="000000"/>
      </w:rPr>
      <w:instrText>PAGE</w:instrText>
    </w:r>
    <w:r>
      <w:rPr>
        <w:rFonts w:ascii="Calibri" w:eastAsia="Calibri" w:hAnsi="Calibri" w:cs="Calibri"/>
        <w:color w:val="000000"/>
      </w:rPr>
      <w:fldChar w:fldCharType="separate"/>
    </w:r>
    <w:r w:rsidR="00A9259A">
      <w:rPr>
        <w:rFonts w:ascii="Calibri" w:eastAsia="Calibri" w:hAnsi="Calibri" w:cs="Calibri"/>
        <w:noProof/>
        <w:color w:val="000000"/>
      </w:rPr>
      <w:t>1</w:t>
    </w:r>
    <w:r>
      <w:rPr>
        <w:rFonts w:ascii="Calibri" w:eastAsia="Calibri" w:hAnsi="Calibri" w:cs="Calibri"/>
        <w:color w:val="000000"/>
      </w:rPr>
      <w:fldChar w:fldCharType="end"/>
    </w:r>
  </w:p>
  <w:p w14:paraId="267B4263" w14:textId="77777777" w:rsidR="003A3BCA" w:rsidRDefault="003A3BCA">
    <w:pPr>
      <w:pBdr>
        <w:top w:val="nil"/>
        <w:left w:val="nil"/>
        <w:bottom w:val="nil"/>
        <w:right w:val="nil"/>
        <w:between w:val="nil"/>
      </w:pBdr>
      <w:tabs>
        <w:tab w:val="center" w:pos="4513"/>
        <w:tab w:val="right" w:pos="9026"/>
      </w:tabs>
      <w:rPr>
        <w:rFonts w:ascii="Calibri" w:eastAsia="Calibri" w:hAnsi="Calibri" w:cs="Calibri"/>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3E0944" w14:textId="77777777" w:rsidR="0077032A" w:rsidRDefault="0077032A">
      <w:r>
        <w:separator/>
      </w:r>
    </w:p>
  </w:footnote>
  <w:footnote w:type="continuationSeparator" w:id="0">
    <w:p w14:paraId="2F657D91" w14:textId="77777777" w:rsidR="0077032A" w:rsidRDefault="0077032A">
      <w:r>
        <w:continuationSeparator/>
      </w:r>
    </w:p>
  </w:footnote>
  <w:footnote w:id="1">
    <w:p w14:paraId="5A02989A" w14:textId="77777777" w:rsidR="003A3BCA" w:rsidRDefault="008276B6">
      <w:pPr>
        <w:pBdr>
          <w:top w:val="nil"/>
          <w:left w:val="nil"/>
          <w:bottom w:val="nil"/>
          <w:right w:val="nil"/>
          <w:between w:val="nil"/>
        </w:pBdr>
        <w:rPr>
          <w:rFonts w:ascii="Calibri" w:eastAsia="Calibri" w:hAnsi="Calibri" w:cs="Calibri"/>
          <w:color w:val="000000"/>
          <w:sz w:val="20"/>
          <w:szCs w:val="20"/>
        </w:rPr>
      </w:pPr>
      <w:r>
        <w:rPr>
          <w:rStyle w:val="FootnoteReference"/>
        </w:rPr>
        <w:footnoteRef/>
      </w:r>
      <w:r>
        <w:rPr>
          <w:rFonts w:ascii="Calibri" w:eastAsia="Calibri" w:hAnsi="Calibri" w:cs="Calibri"/>
          <w:color w:val="000000"/>
          <w:sz w:val="20"/>
          <w:szCs w:val="20"/>
        </w:rPr>
        <w:t xml:space="preserve"> See Net Transfer Balance  (2017 – 2022); Transfermarkt; </w:t>
      </w:r>
      <w:hyperlink r:id="rId1">
        <w:r>
          <w:rPr>
            <w:rFonts w:ascii="Calibri" w:eastAsia="Calibri" w:hAnsi="Calibri" w:cs="Calibri"/>
            <w:color w:val="0000FF"/>
            <w:sz w:val="20"/>
            <w:szCs w:val="20"/>
            <w:u w:val="single"/>
          </w:rPr>
          <w:t>https://www.transfermarkt.co.uk/transfers/einnahmenausgaben/statistik/plus/0?ids=a&amp;sa=&amp;saison_id=2017&amp;saison_id_bis=2021&amp;land_id=&amp;nat=&amp;kontinent_id=&amp;pos=&amp;altersklasse=&amp;w_s=&amp;leihe=&amp;intern=0&amp;plus=0</w:t>
        </w:r>
      </w:hyperlink>
    </w:p>
  </w:footnote>
  <w:footnote w:id="2">
    <w:p w14:paraId="30A53BBE" w14:textId="77777777" w:rsidR="003A3BCA" w:rsidRDefault="008276B6">
      <w:pPr>
        <w:pBdr>
          <w:top w:val="nil"/>
          <w:left w:val="nil"/>
          <w:bottom w:val="nil"/>
          <w:right w:val="nil"/>
          <w:between w:val="nil"/>
        </w:pBdr>
        <w:rPr>
          <w:rFonts w:ascii="Calibri" w:eastAsia="Calibri" w:hAnsi="Calibri" w:cs="Calibri"/>
          <w:color w:val="000000"/>
          <w:sz w:val="20"/>
          <w:szCs w:val="20"/>
        </w:rPr>
      </w:pPr>
      <w:r>
        <w:rPr>
          <w:rStyle w:val="FootnoteReference"/>
        </w:rPr>
        <w:footnoteRef/>
      </w:r>
      <w:r>
        <w:rPr>
          <w:rFonts w:ascii="Calibri" w:eastAsia="Calibri" w:hAnsi="Calibri" w:cs="Calibri"/>
          <w:color w:val="000000"/>
          <w:sz w:val="20"/>
          <w:szCs w:val="20"/>
        </w:rPr>
        <w:t xml:space="preserve"> See Transfermarkt (2021), Top transfers section, </w:t>
      </w:r>
      <w:hyperlink r:id="rId2">
        <w:r>
          <w:rPr>
            <w:rFonts w:ascii="Calibri" w:eastAsia="Calibri" w:hAnsi="Calibri" w:cs="Calibri"/>
            <w:color w:val="0000FF"/>
            <w:sz w:val="20"/>
            <w:szCs w:val="20"/>
            <w:u w:val="single"/>
          </w:rPr>
          <w:t>https://www.transfermarkt.co.uk/transfers/saisontransfers/statistik/top/plus/0/galerie/0?saison_id=2020&amp;transferfenster=alle&amp;land_id=&amp;ausrichtung=&amp;spielerposition_id=&amp;altersklasse=&amp;leihe=</w:t>
        </w:r>
      </w:hyperlink>
    </w:p>
  </w:footnote>
  <w:footnote w:id="3">
    <w:p w14:paraId="4DF1A743" w14:textId="77777777" w:rsidR="003A3BCA" w:rsidRDefault="008276B6">
      <w:pPr>
        <w:pBdr>
          <w:top w:val="nil"/>
          <w:left w:val="nil"/>
          <w:bottom w:val="nil"/>
          <w:right w:val="nil"/>
          <w:between w:val="nil"/>
        </w:pBdr>
        <w:rPr>
          <w:rFonts w:ascii="Calibri" w:eastAsia="Calibri" w:hAnsi="Calibri" w:cs="Calibri"/>
          <w:color w:val="000000"/>
          <w:sz w:val="20"/>
          <w:szCs w:val="20"/>
        </w:rPr>
      </w:pPr>
      <w:r>
        <w:rPr>
          <w:rStyle w:val="FootnoteReference"/>
        </w:rPr>
        <w:footnoteRef/>
      </w:r>
      <w:r>
        <w:rPr>
          <w:rFonts w:ascii="Calibri" w:eastAsia="Calibri" w:hAnsi="Calibri" w:cs="Calibri"/>
          <w:color w:val="000000"/>
          <w:sz w:val="20"/>
          <w:szCs w:val="20"/>
        </w:rPr>
        <w:t xml:space="preserve">See Transfermarkt (2022), Top transfers section, </w:t>
      </w:r>
      <w:hyperlink r:id="rId3">
        <w:r>
          <w:rPr>
            <w:rFonts w:ascii="Calibri" w:eastAsia="Calibri" w:hAnsi="Calibri" w:cs="Calibri"/>
            <w:color w:val="0000FF"/>
            <w:sz w:val="20"/>
            <w:szCs w:val="20"/>
            <w:u w:val="single"/>
          </w:rPr>
          <w:t>https://www.transfermarkt.co.uk/transfers/saisontransfers/statistik/top/plus/0/galerie/0?saison_id=2021&amp;transferfenster</w:t>
        </w:r>
      </w:hyperlink>
    </w:p>
  </w:footnote>
  <w:footnote w:id="4">
    <w:p w14:paraId="4AAA9ADE" w14:textId="77777777" w:rsidR="003A3BCA" w:rsidRDefault="008276B6">
      <w:pPr>
        <w:pBdr>
          <w:top w:val="nil"/>
          <w:left w:val="nil"/>
          <w:bottom w:val="nil"/>
          <w:right w:val="nil"/>
          <w:between w:val="nil"/>
        </w:pBdr>
        <w:rPr>
          <w:rFonts w:ascii="Calibri" w:eastAsia="Calibri" w:hAnsi="Calibri" w:cs="Calibri"/>
          <w:color w:val="000000"/>
          <w:sz w:val="20"/>
          <w:szCs w:val="20"/>
        </w:rPr>
      </w:pPr>
      <w:r>
        <w:rPr>
          <w:rStyle w:val="FootnoteReference"/>
        </w:rPr>
        <w:footnoteRef/>
      </w:r>
      <w:r>
        <w:rPr>
          <w:rFonts w:ascii="Calibri" w:eastAsia="Calibri" w:hAnsi="Calibri" w:cs="Calibri"/>
          <w:color w:val="000000"/>
          <w:sz w:val="20"/>
          <w:szCs w:val="20"/>
        </w:rPr>
        <w:t xml:space="preserve"> See Transfermarkt (2023), Top transfers section, </w:t>
      </w:r>
      <w:hyperlink r:id="rId4">
        <w:r>
          <w:rPr>
            <w:rFonts w:ascii="Calibri" w:eastAsia="Calibri" w:hAnsi="Calibri" w:cs="Calibri"/>
            <w:color w:val="0000FF"/>
            <w:sz w:val="20"/>
            <w:szCs w:val="20"/>
            <w:u w:val="single"/>
          </w:rPr>
          <w:t>https://www.transfermarkt.co.uk/statistik/saisontransfers</w:t>
        </w:r>
      </w:hyperlink>
    </w:p>
    <w:p w14:paraId="0E041536" w14:textId="77777777" w:rsidR="003A3BCA" w:rsidRDefault="003A3BCA">
      <w:pPr>
        <w:pBdr>
          <w:top w:val="nil"/>
          <w:left w:val="nil"/>
          <w:bottom w:val="nil"/>
          <w:right w:val="nil"/>
          <w:between w:val="nil"/>
        </w:pBdr>
        <w:rPr>
          <w:rFonts w:ascii="Calibri" w:eastAsia="Calibri" w:hAnsi="Calibri" w:cs="Calibri"/>
          <w:color w:val="000000"/>
          <w:sz w:val="20"/>
          <w:szCs w:val="20"/>
        </w:rPr>
      </w:pPr>
    </w:p>
  </w:footnote>
  <w:footnote w:id="5">
    <w:p w14:paraId="4DAE74EF" w14:textId="77777777" w:rsidR="003A3BCA" w:rsidRDefault="008276B6">
      <w:pPr>
        <w:pBdr>
          <w:top w:val="nil"/>
          <w:left w:val="nil"/>
          <w:bottom w:val="nil"/>
          <w:right w:val="nil"/>
          <w:between w:val="nil"/>
        </w:pBdr>
        <w:rPr>
          <w:rFonts w:ascii="Calibri" w:eastAsia="Calibri" w:hAnsi="Calibri" w:cs="Calibri"/>
          <w:color w:val="000000"/>
          <w:sz w:val="20"/>
          <w:szCs w:val="20"/>
        </w:rPr>
      </w:pPr>
      <w:r>
        <w:rPr>
          <w:rStyle w:val="FootnoteReference"/>
        </w:rPr>
        <w:footnoteRef/>
      </w:r>
      <w:r>
        <w:rPr>
          <w:rFonts w:ascii="Calibri" w:eastAsia="Calibri" w:hAnsi="Calibri" w:cs="Calibri"/>
          <w:color w:val="000000"/>
          <w:sz w:val="20"/>
          <w:szCs w:val="20"/>
        </w:rPr>
        <w:t xml:space="preserve">See </w:t>
      </w:r>
      <w:proofErr w:type="spellStart"/>
      <w:r>
        <w:rPr>
          <w:rFonts w:ascii="Calibri" w:eastAsia="Calibri" w:hAnsi="Calibri" w:cs="Calibri"/>
          <w:color w:val="000000"/>
          <w:sz w:val="20"/>
          <w:szCs w:val="20"/>
        </w:rPr>
        <w:t>MacroTrends</w:t>
      </w:r>
      <w:proofErr w:type="spellEnd"/>
      <w:r>
        <w:rPr>
          <w:rFonts w:ascii="Calibri" w:eastAsia="Calibri" w:hAnsi="Calibri" w:cs="Calibri"/>
          <w:color w:val="000000"/>
          <w:sz w:val="20"/>
          <w:szCs w:val="20"/>
        </w:rPr>
        <w:t xml:space="preserve"> (2022); </w:t>
      </w:r>
      <w:hyperlink r:id="rId5">
        <w:r>
          <w:rPr>
            <w:rFonts w:ascii="Calibri" w:eastAsia="Calibri" w:hAnsi="Calibri" w:cs="Calibri"/>
            <w:color w:val="0000FF"/>
            <w:sz w:val="20"/>
            <w:szCs w:val="20"/>
            <w:u w:val="single"/>
          </w:rPr>
          <w:t>https://www.macrotrends.net/countries/GBR/united-kingdom/population-growth-rate</w:t>
        </w:r>
      </w:hyperlink>
    </w:p>
  </w:footnote>
  <w:footnote w:id="6">
    <w:p w14:paraId="38C8D722" w14:textId="77777777" w:rsidR="003A3BCA" w:rsidRDefault="008276B6">
      <w:pPr>
        <w:pBdr>
          <w:top w:val="nil"/>
          <w:left w:val="nil"/>
          <w:bottom w:val="nil"/>
          <w:right w:val="nil"/>
          <w:between w:val="nil"/>
        </w:pBdr>
        <w:rPr>
          <w:rFonts w:ascii="Calibri" w:eastAsia="Calibri" w:hAnsi="Calibri" w:cs="Calibri"/>
          <w:color w:val="000000"/>
          <w:sz w:val="20"/>
          <w:szCs w:val="20"/>
        </w:rPr>
      </w:pPr>
      <w:r>
        <w:rPr>
          <w:rStyle w:val="FootnoteReference"/>
        </w:rPr>
        <w:footnoteRef/>
      </w:r>
      <w:r>
        <w:rPr>
          <w:rFonts w:ascii="Calibri" w:eastAsia="Calibri" w:hAnsi="Calibri" w:cs="Calibri"/>
          <w:color w:val="000000"/>
          <w:sz w:val="20"/>
          <w:szCs w:val="20"/>
        </w:rPr>
        <w:t xml:space="preserve">See Migration Policy Institute (2021); </w:t>
      </w:r>
      <w:hyperlink r:id="rId6">
        <w:r>
          <w:rPr>
            <w:rFonts w:ascii="Calibri" w:eastAsia="Calibri" w:hAnsi="Calibri" w:cs="Calibri"/>
            <w:color w:val="0000FF"/>
            <w:sz w:val="20"/>
            <w:szCs w:val="20"/>
            <w:u w:val="single"/>
          </w:rPr>
          <w:t>https://www.migrationpolicy.org/programs/data-hub/charts/top-25-destinations-international-migrants</w:t>
        </w:r>
      </w:hyperlink>
    </w:p>
  </w:footnote>
  <w:footnote w:id="7">
    <w:p w14:paraId="0BF1F2D2" w14:textId="77777777" w:rsidR="003A3BCA" w:rsidRDefault="008276B6">
      <w:pPr>
        <w:pBdr>
          <w:top w:val="nil"/>
          <w:left w:val="nil"/>
          <w:bottom w:val="nil"/>
          <w:right w:val="nil"/>
          <w:between w:val="nil"/>
        </w:pBdr>
        <w:rPr>
          <w:rFonts w:ascii="Calibri" w:eastAsia="Calibri" w:hAnsi="Calibri" w:cs="Calibri"/>
          <w:color w:val="000000"/>
          <w:sz w:val="20"/>
          <w:szCs w:val="20"/>
        </w:rPr>
      </w:pPr>
      <w:r>
        <w:rPr>
          <w:rStyle w:val="FootnoteReference"/>
        </w:rPr>
        <w:footnoteRef/>
      </w:r>
      <w:r>
        <w:rPr>
          <w:rFonts w:ascii="Calibri" w:eastAsia="Calibri" w:hAnsi="Calibri" w:cs="Calibri"/>
          <w:color w:val="000000"/>
          <w:sz w:val="20"/>
          <w:szCs w:val="20"/>
        </w:rPr>
        <w:t xml:space="preserve">See the Premier League’s Website on European qualification: </w:t>
      </w:r>
      <w:hyperlink r:id="rId7">
        <w:r>
          <w:rPr>
            <w:rFonts w:ascii="Calibri" w:eastAsia="Calibri" w:hAnsi="Calibri" w:cs="Calibri"/>
            <w:color w:val="0000FF"/>
            <w:sz w:val="20"/>
            <w:szCs w:val="20"/>
            <w:u w:val="single"/>
          </w:rPr>
          <w:t>https://www.premierleague.com/european-qualification-explained</w:t>
        </w:r>
      </w:hyperlink>
    </w:p>
  </w:footnote>
  <w:footnote w:id="8">
    <w:p w14:paraId="5BFD0FFE" w14:textId="77777777" w:rsidR="003A3BCA" w:rsidRDefault="008276B6">
      <w:pPr>
        <w:pBdr>
          <w:top w:val="nil"/>
          <w:left w:val="nil"/>
          <w:bottom w:val="nil"/>
          <w:right w:val="nil"/>
          <w:between w:val="nil"/>
        </w:pBdr>
        <w:rPr>
          <w:rFonts w:ascii="Calibri" w:eastAsia="Calibri" w:hAnsi="Calibri" w:cs="Calibri"/>
          <w:color w:val="000000"/>
          <w:sz w:val="20"/>
          <w:szCs w:val="20"/>
        </w:rPr>
      </w:pPr>
      <w:r>
        <w:rPr>
          <w:rStyle w:val="FootnoteReference"/>
        </w:rPr>
        <w:footnoteRef/>
      </w:r>
      <w:r>
        <w:rPr>
          <w:rFonts w:ascii="Calibri" w:eastAsia="Calibri" w:hAnsi="Calibri" w:cs="Calibri"/>
          <w:color w:val="000000"/>
          <w:sz w:val="20"/>
          <w:szCs w:val="20"/>
        </w:rPr>
        <w:t xml:space="preserve">See Statista (2021); </w:t>
      </w:r>
      <w:hyperlink r:id="rId8">
        <w:r>
          <w:rPr>
            <w:rFonts w:ascii="Calibri" w:eastAsia="Calibri" w:hAnsi="Calibri" w:cs="Calibri"/>
            <w:color w:val="0000FF"/>
            <w:sz w:val="20"/>
            <w:szCs w:val="20"/>
            <w:u w:val="single"/>
          </w:rPr>
          <w:t>https://www.statista.com/statistics/566666/premier-league-clubs-by-revenue/</w:t>
        </w:r>
      </w:hyperlink>
    </w:p>
  </w:footnote>
  <w:footnote w:id="9">
    <w:p w14:paraId="165B7BD6" w14:textId="77777777" w:rsidR="003A3BCA" w:rsidRDefault="008276B6">
      <w:pPr>
        <w:pBdr>
          <w:top w:val="nil"/>
          <w:left w:val="nil"/>
          <w:bottom w:val="nil"/>
          <w:right w:val="nil"/>
          <w:between w:val="nil"/>
        </w:pBdr>
        <w:rPr>
          <w:rFonts w:ascii="Calibri" w:eastAsia="Calibri" w:hAnsi="Calibri" w:cs="Calibri"/>
          <w:color w:val="000000"/>
          <w:sz w:val="20"/>
          <w:szCs w:val="20"/>
        </w:rPr>
      </w:pPr>
      <w:r>
        <w:rPr>
          <w:rStyle w:val="FootnoteReference"/>
        </w:rPr>
        <w:footnoteRef/>
      </w:r>
      <w:r>
        <w:rPr>
          <w:rFonts w:ascii="Calibri" w:eastAsia="Calibri" w:hAnsi="Calibri" w:cs="Calibri"/>
          <w:color w:val="000000"/>
          <w:sz w:val="20"/>
          <w:szCs w:val="20"/>
        </w:rPr>
        <w:t xml:space="preserve">See Carrera (2021) and the comparison between the two </w:t>
      </w:r>
      <w:proofErr w:type="gramStart"/>
      <w:r>
        <w:rPr>
          <w:rFonts w:ascii="Calibri" w:eastAsia="Calibri" w:hAnsi="Calibri" w:cs="Calibri"/>
          <w:color w:val="000000"/>
          <w:sz w:val="20"/>
          <w:szCs w:val="20"/>
        </w:rPr>
        <w:t>leagues;</w:t>
      </w:r>
      <w:proofErr w:type="gramEnd"/>
      <w:r>
        <w:rPr>
          <w:rFonts w:ascii="Calibri" w:eastAsia="Calibri" w:hAnsi="Calibri" w:cs="Calibri"/>
          <w:color w:val="000000"/>
          <w:sz w:val="20"/>
          <w:szCs w:val="20"/>
        </w:rPr>
        <w:t xml:space="preserve"> </w:t>
      </w:r>
      <w:hyperlink r:id="rId9">
        <w:r>
          <w:rPr>
            <w:rFonts w:ascii="Calibri" w:eastAsia="Calibri" w:hAnsi="Calibri" w:cs="Calibri"/>
            <w:color w:val="0000FF"/>
            <w:sz w:val="20"/>
            <w:szCs w:val="20"/>
            <w:u w:val="single"/>
          </w:rPr>
          <w:t>https://sqaf.club/premier-league-vs-championship-money/</w:t>
        </w:r>
      </w:hyperlink>
    </w:p>
  </w:footnote>
  <w:footnote w:id="10">
    <w:p w14:paraId="4EAA7E2F" w14:textId="77777777" w:rsidR="003A3BCA" w:rsidRDefault="008276B6">
      <w:pPr>
        <w:pBdr>
          <w:top w:val="nil"/>
          <w:left w:val="nil"/>
          <w:bottom w:val="nil"/>
          <w:right w:val="nil"/>
          <w:between w:val="nil"/>
        </w:pBdr>
        <w:rPr>
          <w:rFonts w:ascii="Calibri" w:eastAsia="Calibri" w:hAnsi="Calibri" w:cs="Calibri"/>
          <w:color w:val="000000"/>
          <w:sz w:val="20"/>
          <w:szCs w:val="20"/>
        </w:rPr>
      </w:pPr>
      <w:r>
        <w:rPr>
          <w:rStyle w:val="FootnoteReference"/>
        </w:rPr>
        <w:footnoteRef/>
      </w:r>
      <w:r>
        <w:rPr>
          <w:rFonts w:ascii="Calibri" w:eastAsia="Calibri" w:hAnsi="Calibri" w:cs="Calibri"/>
          <w:color w:val="000000"/>
          <w:sz w:val="20"/>
          <w:szCs w:val="20"/>
        </w:rPr>
        <w:t xml:space="preserve"> Score and Change (2022); </w:t>
      </w:r>
      <w:hyperlink r:id="rId10">
        <w:r>
          <w:rPr>
            <w:rFonts w:ascii="Calibri" w:eastAsia="Calibri" w:hAnsi="Calibri" w:cs="Calibri"/>
            <w:color w:val="0000FF"/>
            <w:sz w:val="20"/>
            <w:szCs w:val="20"/>
            <w:u w:val="single"/>
          </w:rPr>
          <w:t>https://www.scoreandchange.com/overview-of-the-2022-2023-premier-league-sponsors/</w:t>
        </w:r>
      </w:hyperlink>
    </w:p>
  </w:footnote>
  <w:footnote w:id="11">
    <w:p w14:paraId="7DB7A8D0" w14:textId="77777777" w:rsidR="003A3BCA" w:rsidRDefault="008276B6">
      <w:pPr>
        <w:pBdr>
          <w:top w:val="nil"/>
          <w:left w:val="nil"/>
          <w:bottom w:val="nil"/>
          <w:right w:val="nil"/>
          <w:between w:val="nil"/>
        </w:pBdr>
        <w:rPr>
          <w:rFonts w:ascii="Calibri" w:eastAsia="Calibri" w:hAnsi="Calibri" w:cs="Calibri"/>
          <w:color w:val="000000"/>
          <w:sz w:val="20"/>
          <w:szCs w:val="20"/>
        </w:rPr>
      </w:pPr>
      <w:r>
        <w:rPr>
          <w:rStyle w:val="FootnoteReference"/>
        </w:rPr>
        <w:footnoteRef/>
      </w:r>
      <w:r>
        <w:rPr>
          <w:rFonts w:ascii="Calibri" w:eastAsia="Calibri" w:hAnsi="Calibri" w:cs="Calibri"/>
          <w:color w:val="000000"/>
          <w:sz w:val="20"/>
          <w:szCs w:val="20"/>
        </w:rPr>
        <w:t xml:space="preserve"> Score and Change (2022); </w:t>
      </w:r>
      <w:hyperlink r:id="rId11">
        <w:r>
          <w:rPr>
            <w:rFonts w:ascii="Calibri" w:eastAsia="Calibri" w:hAnsi="Calibri" w:cs="Calibri"/>
            <w:color w:val="0000FF"/>
            <w:sz w:val="20"/>
            <w:szCs w:val="20"/>
            <w:u w:val="single"/>
          </w:rPr>
          <w:t>https://www.scoreandchange.com/overview-of-the-2022-2023-championship-sponsors/</w:t>
        </w:r>
      </w:hyperlink>
    </w:p>
  </w:footnote>
  <w:footnote w:id="12">
    <w:p w14:paraId="09D4284E" w14:textId="77777777" w:rsidR="003A3BCA" w:rsidRDefault="008276B6">
      <w:pPr>
        <w:pBdr>
          <w:top w:val="nil"/>
          <w:left w:val="nil"/>
          <w:bottom w:val="nil"/>
          <w:right w:val="nil"/>
          <w:between w:val="nil"/>
        </w:pBdr>
        <w:rPr>
          <w:rFonts w:ascii="Calibri" w:eastAsia="Calibri" w:hAnsi="Calibri" w:cs="Calibri"/>
          <w:color w:val="000000"/>
          <w:sz w:val="20"/>
          <w:szCs w:val="20"/>
        </w:rPr>
      </w:pPr>
      <w:r>
        <w:rPr>
          <w:rStyle w:val="FootnoteReference"/>
        </w:rPr>
        <w:footnoteRef/>
      </w:r>
      <w:r>
        <w:rPr>
          <w:rFonts w:ascii="Calibri" w:eastAsia="Calibri" w:hAnsi="Calibri" w:cs="Calibri"/>
          <w:color w:val="000000"/>
          <w:sz w:val="20"/>
          <w:szCs w:val="20"/>
        </w:rPr>
        <w:t xml:space="preserve"> See Transfermarkt (2023), detailed view on players and nationalities; </w:t>
      </w:r>
      <w:hyperlink r:id="rId12">
        <w:r>
          <w:rPr>
            <w:rFonts w:ascii="Calibri" w:eastAsia="Calibri" w:hAnsi="Calibri" w:cs="Calibri"/>
            <w:color w:val="0000FF"/>
            <w:sz w:val="20"/>
            <w:szCs w:val="20"/>
            <w:u w:val="single"/>
          </w:rPr>
          <w:t>https://www.transfermarkt.co.uk/premier-league/startseite/wettbewerb/GB1</w:t>
        </w:r>
      </w:hyperlink>
    </w:p>
  </w:footnote>
  <w:footnote w:id="13">
    <w:p w14:paraId="2B1AEBD0" w14:textId="77777777" w:rsidR="003A3BCA" w:rsidRDefault="008276B6">
      <w:pPr>
        <w:pBdr>
          <w:top w:val="nil"/>
          <w:left w:val="nil"/>
          <w:bottom w:val="nil"/>
          <w:right w:val="nil"/>
          <w:between w:val="nil"/>
        </w:pBdr>
        <w:rPr>
          <w:rFonts w:ascii="Calibri" w:eastAsia="Calibri" w:hAnsi="Calibri" w:cs="Calibri"/>
          <w:color w:val="000000"/>
          <w:sz w:val="20"/>
          <w:szCs w:val="20"/>
        </w:rPr>
      </w:pPr>
      <w:r>
        <w:rPr>
          <w:rStyle w:val="FootnoteReference"/>
        </w:rPr>
        <w:footnoteRef/>
      </w:r>
      <w:r>
        <w:rPr>
          <w:rFonts w:ascii="Calibri" w:eastAsia="Calibri" w:hAnsi="Calibri" w:cs="Calibri"/>
          <w:color w:val="000000"/>
          <w:sz w:val="20"/>
          <w:szCs w:val="20"/>
        </w:rPr>
        <w:t xml:space="preserve"> See Transfermarkt (2023), detailed view on players and nationalities; </w:t>
      </w:r>
      <w:hyperlink r:id="rId13">
        <w:r>
          <w:rPr>
            <w:rFonts w:ascii="Calibri" w:eastAsia="Calibri" w:hAnsi="Calibri" w:cs="Calibri"/>
            <w:color w:val="0000FF"/>
            <w:sz w:val="20"/>
            <w:szCs w:val="20"/>
            <w:u w:val="single"/>
          </w:rPr>
          <w:t>https://www.transfermarkt.co.uk/championship/startseite/wettbewerb/GB2</w:t>
        </w:r>
      </w:hyperlink>
    </w:p>
  </w:footnote>
  <w:footnote w:id="14">
    <w:p w14:paraId="42D55C3C" w14:textId="77777777" w:rsidR="003A3BCA" w:rsidRDefault="008276B6">
      <w:pPr>
        <w:pBdr>
          <w:top w:val="nil"/>
          <w:left w:val="nil"/>
          <w:bottom w:val="nil"/>
          <w:right w:val="nil"/>
          <w:between w:val="nil"/>
        </w:pBdr>
        <w:rPr>
          <w:rFonts w:ascii="Calibri" w:eastAsia="Calibri" w:hAnsi="Calibri" w:cs="Calibri"/>
          <w:color w:val="000000"/>
          <w:sz w:val="20"/>
          <w:szCs w:val="20"/>
        </w:rPr>
      </w:pPr>
      <w:r>
        <w:rPr>
          <w:rStyle w:val="FootnoteReference"/>
        </w:rPr>
        <w:footnoteRef/>
      </w:r>
      <w:r>
        <w:rPr>
          <w:rFonts w:ascii="Calibri" w:eastAsia="Calibri" w:hAnsi="Calibri" w:cs="Calibri"/>
          <w:color w:val="000000"/>
          <w:sz w:val="20"/>
          <w:szCs w:val="20"/>
        </w:rPr>
        <w:t xml:space="preserve"> See Statista (2022); </w:t>
      </w:r>
      <w:hyperlink r:id="rId14">
        <w:r>
          <w:rPr>
            <w:rFonts w:ascii="Calibri" w:eastAsia="Calibri" w:hAnsi="Calibri" w:cs="Calibri"/>
            <w:color w:val="0000FF"/>
            <w:sz w:val="20"/>
            <w:szCs w:val="20"/>
            <w:u w:val="single"/>
          </w:rPr>
          <w:t>https://www.statista.com/statistics/1283927/number-pro-soccer-players-by-country/</w:t>
        </w:r>
      </w:hyperlink>
    </w:p>
  </w:footnote>
  <w:footnote w:id="15">
    <w:p w14:paraId="0E404331" w14:textId="77777777" w:rsidR="003A3BCA" w:rsidRDefault="008276B6">
      <w:pPr>
        <w:pBdr>
          <w:top w:val="nil"/>
          <w:left w:val="nil"/>
          <w:bottom w:val="nil"/>
          <w:right w:val="nil"/>
          <w:between w:val="nil"/>
        </w:pBdr>
        <w:rPr>
          <w:rFonts w:ascii="Calibri" w:eastAsia="Calibri" w:hAnsi="Calibri" w:cs="Calibri"/>
          <w:color w:val="000000"/>
          <w:sz w:val="20"/>
          <w:szCs w:val="20"/>
        </w:rPr>
      </w:pPr>
      <w:r>
        <w:rPr>
          <w:rStyle w:val="FootnoteReference"/>
        </w:rPr>
        <w:footnoteRef/>
      </w:r>
      <w:r>
        <w:rPr>
          <w:rFonts w:ascii="Calibri" w:eastAsia="Calibri" w:hAnsi="Calibri" w:cs="Calibri"/>
          <w:color w:val="000000"/>
          <w:sz w:val="20"/>
          <w:szCs w:val="20"/>
        </w:rPr>
        <w:t xml:space="preserve"> See Transfermarkt (2023), Tottenham Hotspur’s backroom staff; </w:t>
      </w:r>
      <w:hyperlink r:id="rId15">
        <w:r>
          <w:rPr>
            <w:rFonts w:ascii="Calibri" w:eastAsia="Calibri" w:hAnsi="Calibri" w:cs="Calibri"/>
            <w:color w:val="0000FF"/>
            <w:sz w:val="20"/>
            <w:szCs w:val="20"/>
            <w:u w:val="single"/>
          </w:rPr>
          <w:t>https://www.transfermarkt.com/tottenham-hotspur/mitarbeiter/verein/148</w:t>
        </w:r>
      </w:hyperlink>
    </w:p>
  </w:footnote>
  <w:footnote w:id="16">
    <w:p w14:paraId="525E56A9" w14:textId="77777777" w:rsidR="003A3BCA" w:rsidRDefault="008276B6">
      <w:pPr>
        <w:pBdr>
          <w:top w:val="nil"/>
          <w:left w:val="nil"/>
          <w:bottom w:val="nil"/>
          <w:right w:val="nil"/>
          <w:between w:val="nil"/>
        </w:pBdr>
        <w:rPr>
          <w:rFonts w:ascii="Calibri" w:eastAsia="Calibri" w:hAnsi="Calibri" w:cs="Calibri"/>
          <w:color w:val="000000"/>
          <w:sz w:val="20"/>
          <w:szCs w:val="20"/>
        </w:rPr>
      </w:pPr>
      <w:r>
        <w:rPr>
          <w:rStyle w:val="FootnoteReference"/>
        </w:rPr>
        <w:footnoteRef/>
      </w:r>
      <w:r>
        <w:rPr>
          <w:rFonts w:ascii="Calibri" w:eastAsia="Calibri" w:hAnsi="Calibri" w:cs="Calibri"/>
          <w:color w:val="000000"/>
          <w:sz w:val="20"/>
          <w:szCs w:val="20"/>
        </w:rPr>
        <w:t xml:space="preserve"> See UEFA’s Benchmarking Report (2020); </w:t>
      </w:r>
      <w:hyperlink r:id="rId16">
        <w:r>
          <w:rPr>
            <w:rFonts w:ascii="Calibri" w:eastAsia="Calibri" w:hAnsi="Calibri" w:cs="Calibri"/>
            <w:color w:val="0000FF"/>
            <w:sz w:val="20"/>
            <w:szCs w:val="20"/>
            <w:u w:val="single"/>
          </w:rPr>
          <w:t>https://www.footballbenchmark.com/documents/files/UEFA%20Club%20Licensing%20Benchmarking%20report_2020_FY%202018.pdf</w:t>
        </w:r>
      </w:hyperlink>
    </w:p>
  </w:footnote>
  <w:footnote w:id="17">
    <w:p w14:paraId="082F8384" w14:textId="77777777" w:rsidR="003A3BCA" w:rsidRDefault="008276B6">
      <w:pPr>
        <w:pBdr>
          <w:top w:val="nil"/>
          <w:left w:val="nil"/>
          <w:bottom w:val="nil"/>
          <w:right w:val="nil"/>
          <w:between w:val="nil"/>
        </w:pBdr>
        <w:rPr>
          <w:rFonts w:ascii="Calibri" w:eastAsia="Calibri" w:hAnsi="Calibri" w:cs="Calibri"/>
          <w:color w:val="000000"/>
          <w:sz w:val="20"/>
          <w:szCs w:val="20"/>
        </w:rPr>
      </w:pPr>
      <w:r>
        <w:rPr>
          <w:rStyle w:val="FootnoteReference"/>
        </w:rPr>
        <w:footnoteRef/>
      </w:r>
      <w:r>
        <w:rPr>
          <w:rFonts w:ascii="Calibri" w:eastAsia="Calibri" w:hAnsi="Calibri" w:cs="Calibri"/>
          <w:color w:val="000000"/>
          <w:sz w:val="20"/>
          <w:szCs w:val="20"/>
        </w:rPr>
        <w:t xml:space="preserve"> See “Who are the Big Six in England”; Kelly (2021); </w:t>
      </w:r>
      <w:hyperlink r:id="rId17">
        <w:r>
          <w:rPr>
            <w:rFonts w:ascii="Calibri" w:eastAsia="Calibri" w:hAnsi="Calibri" w:cs="Calibri"/>
            <w:color w:val="0000FF"/>
            <w:sz w:val="20"/>
            <w:szCs w:val="20"/>
            <w:u w:val="single"/>
          </w:rPr>
          <w:t>https://www.goal.com/en/news/who-are-premier-league-big-six-top-english-clubs-nickname-explained/130iokmi8t8dt1k3kudou73s1k</w:t>
        </w:r>
      </w:hyperlink>
    </w:p>
  </w:footnote>
  <w:footnote w:id="18">
    <w:p w14:paraId="21D50492" w14:textId="77777777" w:rsidR="003A3BCA" w:rsidRDefault="008276B6">
      <w:pPr>
        <w:pBdr>
          <w:top w:val="nil"/>
          <w:left w:val="nil"/>
          <w:bottom w:val="nil"/>
          <w:right w:val="nil"/>
          <w:between w:val="nil"/>
        </w:pBdr>
        <w:rPr>
          <w:rFonts w:ascii="Calibri" w:eastAsia="Calibri" w:hAnsi="Calibri" w:cs="Calibri"/>
          <w:color w:val="000000"/>
          <w:sz w:val="20"/>
          <w:szCs w:val="20"/>
        </w:rPr>
      </w:pPr>
      <w:r>
        <w:rPr>
          <w:rStyle w:val="FootnoteReference"/>
        </w:rPr>
        <w:footnoteRef/>
      </w:r>
      <w:r>
        <w:rPr>
          <w:rFonts w:ascii="Calibri" w:eastAsia="Calibri" w:hAnsi="Calibri" w:cs="Calibri"/>
          <w:color w:val="000000"/>
          <w:sz w:val="20"/>
          <w:szCs w:val="20"/>
        </w:rPr>
        <w:t xml:space="preserve"> See UEFA Club Coefficients (2023);  </w:t>
      </w:r>
      <w:hyperlink r:id="rId18" w:anchor="/yr/2023">
        <w:r>
          <w:rPr>
            <w:rFonts w:ascii="Calibri" w:eastAsia="Calibri" w:hAnsi="Calibri" w:cs="Calibri"/>
            <w:color w:val="0000FF"/>
            <w:sz w:val="20"/>
            <w:szCs w:val="20"/>
            <w:u w:val="single"/>
          </w:rPr>
          <w:t>https://www.uefa.com/nationalassociations/uefarankings/club/#/yr/2023</w:t>
        </w:r>
      </w:hyperlink>
    </w:p>
  </w:footnote>
  <w:footnote w:id="19">
    <w:p w14:paraId="041D0F90" w14:textId="77777777" w:rsidR="003A3BCA" w:rsidRDefault="008276B6">
      <w:pPr>
        <w:pBdr>
          <w:top w:val="nil"/>
          <w:left w:val="nil"/>
          <w:bottom w:val="nil"/>
          <w:right w:val="nil"/>
          <w:between w:val="nil"/>
        </w:pBdr>
        <w:rPr>
          <w:rFonts w:ascii="Calibri" w:eastAsia="Calibri" w:hAnsi="Calibri" w:cs="Calibri"/>
          <w:color w:val="000000"/>
          <w:sz w:val="20"/>
          <w:szCs w:val="20"/>
        </w:rPr>
      </w:pPr>
      <w:r>
        <w:rPr>
          <w:rStyle w:val="FootnoteReference"/>
        </w:rPr>
        <w:footnoteRef/>
      </w:r>
      <w:r>
        <w:rPr>
          <w:rFonts w:ascii="Calibri" w:eastAsia="Calibri" w:hAnsi="Calibri" w:cs="Calibri"/>
          <w:color w:val="000000"/>
          <w:sz w:val="20"/>
          <w:szCs w:val="20"/>
        </w:rPr>
        <w:t xml:space="preserve"> See UEFA (2022); Champions League Finals; </w:t>
      </w:r>
      <w:hyperlink r:id="rId19">
        <w:r>
          <w:rPr>
            <w:rFonts w:ascii="Calibri" w:eastAsia="Calibri" w:hAnsi="Calibri" w:cs="Calibri"/>
            <w:color w:val="0000FF"/>
            <w:sz w:val="20"/>
            <w:szCs w:val="20"/>
            <w:u w:val="single"/>
          </w:rPr>
          <w:t>https://www.uefa.com/uefachampionsleague/history/winners/finals/</w:t>
        </w:r>
      </w:hyperlink>
    </w:p>
  </w:footnote>
  <w:footnote w:id="20">
    <w:p w14:paraId="69EAB577" w14:textId="77777777" w:rsidR="003A3BCA" w:rsidRDefault="008276B6">
      <w:pPr>
        <w:pBdr>
          <w:top w:val="nil"/>
          <w:left w:val="nil"/>
          <w:bottom w:val="nil"/>
          <w:right w:val="nil"/>
          <w:between w:val="nil"/>
        </w:pBdr>
        <w:rPr>
          <w:rFonts w:ascii="Calibri" w:eastAsia="Calibri" w:hAnsi="Calibri" w:cs="Calibri"/>
          <w:color w:val="000000"/>
          <w:sz w:val="20"/>
          <w:szCs w:val="20"/>
        </w:rPr>
      </w:pPr>
      <w:r>
        <w:rPr>
          <w:rStyle w:val="FootnoteReference"/>
        </w:rPr>
        <w:footnoteRef/>
      </w:r>
      <w:r>
        <w:rPr>
          <w:rFonts w:ascii="Calibri" w:eastAsia="Calibri" w:hAnsi="Calibri" w:cs="Calibri"/>
          <w:color w:val="000000"/>
          <w:sz w:val="20"/>
          <w:szCs w:val="20"/>
        </w:rPr>
        <w:t xml:space="preserve"> See Transfermarkt, section transfer records;  </w:t>
      </w:r>
      <w:hyperlink r:id="rId20">
        <w:r>
          <w:rPr>
            <w:rFonts w:ascii="Calibri" w:eastAsia="Calibri" w:hAnsi="Calibri" w:cs="Calibri"/>
            <w:color w:val="0000FF"/>
            <w:sz w:val="20"/>
            <w:szCs w:val="20"/>
            <w:u w:val="single"/>
          </w:rPr>
          <w:t>https://www.transfermarkt.co.uk/statistik/transferrekorde</w:t>
        </w:r>
      </w:hyperlink>
    </w:p>
  </w:footnote>
  <w:footnote w:id="21">
    <w:p w14:paraId="6C40923C" w14:textId="77777777" w:rsidR="003A3BCA" w:rsidRDefault="008276B6">
      <w:pPr>
        <w:pBdr>
          <w:top w:val="nil"/>
          <w:left w:val="nil"/>
          <w:bottom w:val="nil"/>
          <w:right w:val="nil"/>
          <w:between w:val="nil"/>
        </w:pBdr>
        <w:rPr>
          <w:rFonts w:ascii="Calibri" w:eastAsia="Calibri" w:hAnsi="Calibri" w:cs="Calibri"/>
          <w:color w:val="000000"/>
          <w:sz w:val="20"/>
          <w:szCs w:val="20"/>
        </w:rPr>
      </w:pPr>
      <w:r>
        <w:rPr>
          <w:rStyle w:val="FootnoteReference"/>
        </w:rPr>
        <w:footnoteRef/>
      </w:r>
      <w:r>
        <w:rPr>
          <w:rFonts w:ascii="Calibri" w:eastAsia="Calibri" w:hAnsi="Calibri" w:cs="Calibri"/>
          <w:color w:val="000000"/>
          <w:sz w:val="20"/>
          <w:szCs w:val="20"/>
        </w:rPr>
        <w:t xml:space="preserve"> See BR’s article on most supported football clubs; Source: </w:t>
      </w:r>
      <w:hyperlink r:id="rId21">
        <w:r>
          <w:rPr>
            <w:rFonts w:ascii="Calibri" w:eastAsia="Calibri" w:hAnsi="Calibri" w:cs="Calibri"/>
            <w:color w:val="0000FF"/>
            <w:sz w:val="20"/>
            <w:szCs w:val="20"/>
            <w:u w:val="single"/>
          </w:rPr>
          <w:t>https://bleacherreport.com/articles/865275-manchester-united-and-15-best-supported-clubs-in-world-football</w:t>
        </w:r>
      </w:hyperlink>
    </w:p>
  </w:footnote>
  <w:footnote w:id="22">
    <w:p w14:paraId="0436F93E" w14:textId="77777777" w:rsidR="003A3BCA" w:rsidRDefault="008276B6">
      <w:pPr>
        <w:pBdr>
          <w:top w:val="nil"/>
          <w:left w:val="nil"/>
          <w:bottom w:val="nil"/>
          <w:right w:val="nil"/>
          <w:between w:val="nil"/>
        </w:pBdr>
        <w:rPr>
          <w:rFonts w:ascii="Calibri" w:eastAsia="Calibri" w:hAnsi="Calibri" w:cs="Calibri"/>
          <w:color w:val="000000"/>
          <w:sz w:val="20"/>
          <w:szCs w:val="20"/>
        </w:rPr>
      </w:pPr>
      <w:r>
        <w:rPr>
          <w:rStyle w:val="FootnoteReference"/>
        </w:rPr>
        <w:footnoteRef/>
      </w:r>
      <w:r>
        <w:rPr>
          <w:rFonts w:ascii="Calibri" w:eastAsia="Calibri" w:hAnsi="Calibri" w:cs="Calibri"/>
          <w:color w:val="000000"/>
          <w:sz w:val="20"/>
          <w:szCs w:val="20"/>
        </w:rPr>
        <w:t xml:space="preserve"> See Manchester United’s website; Investor Relations section; Source: </w:t>
      </w:r>
      <w:hyperlink r:id="rId22">
        <w:r>
          <w:rPr>
            <w:rFonts w:ascii="Calibri" w:eastAsia="Calibri" w:hAnsi="Calibri" w:cs="Calibri"/>
            <w:color w:val="0000FF"/>
            <w:sz w:val="20"/>
            <w:szCs w:val="20"/>
            <w:u w:val="single"/>
          </w:rPr>
          <w:t>https://ir.manutd.com/company-information/about-manchester-united.aspx</w:t>
        </w:r>
      </w:hyperlink>
    </w:p>
  </w:footnote>
  <w:footnote w:id="23">
    <w:p w14:paraId="4C04734C" w14:textId="77777777" w:rsidR="003A3BCA" w:rsidRDefault="008276B6">
      <w:pPr>
        <w:pBdr>
          <w:top w:val="nil"/>
          <w:left w:val="nil"/>
          <w:bottom w:val="nil"/>
          <w:right w:val="nil"/>
          <w:between w:val="nil"/>
        </w:pBdr>
        <w:rPr>
          <w:rFonts w:ascii="Calibri" w:eastAsia="Calibri" w:hAnsi="Calibri" w:cs="Calibri"/>
          <w:color w:val="000000"/>
          <w:sz w:val="20"/>
          <w:szCs w:val="20"/>
        </w:rPr>
      </w:pPr>
      <w:r>
        <w:rPr>
          <w:rStyle w:val="FootnoteReference"/>
        </w:rPr>
        <w:footnoteRef/>
      </w:r>
      <w:r>
        <w:rPr>
          <w:rFonts w:ascii="Calibri" w:eastAsia="Calibri" w:hAnsi="Calibri" w:cs="Calibri"/>
          <w:color w:val="000000"/>
          <w:sz w:val="20"/>
          <w:szCs w:val="20"/>
        </w:rPr>
        <w:t xml:space="preserve"> See Manchester United record arrivals; Transfermarkt; </w:t>
      </w:r>
      <w:hyperlink r:id="rId23">
        <w:r>
          <w:rPr>
            <w:rFonts w:ascii="Calibri" w:eastAsia="Calibri" w:hAnsi="Calibri" w:cs="Calibri"/>
            <w:color w:val="0000FF"/>
            <w:sz w:val="20"/>
            <w:szCs w:val="20"/>
            <w:u w:val="single"/>
          </w:rPr>
          <w:t>https://www.transfermarkt.co.uk/manchester-united/transferrekorde/verein/985/saison_id//pos//detailpos/0/w_s//altersklasse//plus/1</w:t>
        </w:r>
      </w:hyperlink>
    </w:p>
  </w:footnote>
  <w:footnote w:id="24">
    <w:p w14:paraId="61C81827" w14:textId="77777777" w:rsidR="003A3BCA" w:rsidRDefault="008276B6">
      <w:pPr>
        <w:pBdr>
          <w:top w:val="nil"/>
          <w:left w:val="nil"/>
          <w:bottom w:val="nil"/>
          <w:right w:val="nil"/>
          <w:between w:val="nil"/>
        </w:pBdr>
        <w:rPr>
          <w:rFonts w:ascii="Calibri" w:eastAsia="Calibri" w:hAnsi="Calibri" w:cs="Calibri"/>
          <w:color w:val="000000"/>
          <w:sz w:val="20"/>
          <w:szCs w:val="20"/>
        </w:rPr>
      </w:pPr>
      <w:r>
        <w:rPr>
          <w:rStyle w:val="FootnoteReference"/>
        </w:rPr>
        <w:footnoteRef/>
      </w:r>
      <w:r>
        <w:rPr>
          <w:rFonts w:ascii="Calibri" w:eastAsia="Calibri" w:hAnsi="Calibri" w:cs="Calibri"/>
          <w:color w:val="000000"/>
          <w:sz w:val="20"/>
          <w:szCs w:val="20"/>
        </w:rPr>
        <w:t xml:space="preserve"> See how scouting report is made; </w:t>
      </w:r>
      <w:proofErr w:type="spellStart"/>
      <w:r>
        <w:rPr>
          <w:rFonts w:ascii="Calibri" w:eastAsia="Calibri" w:hAnsi="Calibri" w:cs="Calibri"/>
          <w:color w:val="000000"/>
          <w:sz w:val="20"/>
          <w:szCs w:val="20"/>
        </w:rPr>
        <w:t>FBref</w:t>
      </w:r>
      <w:proofErr w:type="spellEnd"/>
      <w:r>
        <w:rPr>
          <w:rFonts w:ascii="Calibri" w:eastAsia="Calibri" w:hAnsi="Calibri" w:cs="Calibri"/>
          <w:color w:val="000000"/>
          <w:sz w:val="20"/>
          <w:szCs w:val="20"/>
        </w:rPr>
        <w:t xml:space="preserve">; </w:t>
      </w:r>
      <w:hyperlink r:id="rId24">
        <w:r>
          <w:rPr>
            <w:rFonts w:ascii="Calibri" w:eastAsia="Calibri" w:hAnsi="Calibri" w:cs="Calibri"/>
            <w:color w:val="0000FF"/>
            <w:sz w:val="20"/>
            <w:szCs w:val="20"/>
            <w:u w:val="single"/>
          </w:rPr>
          <w:t>https://fbref.com/en/about/scouting-reports-explained</w:t>
        </w:r>
      </w:hyperlink>
    </w:p>
  </w:footnote>
  <w:footnote w:id="25">
    <w:p w14:paraId="54537F70" w14:textId="77777777" w:rsidR="003A3BCA" w:rsidRDefault="008276B6">
      <w:pPr>
        <w:pBdr>
          <w:top w:val="nil"/>
          <w:left w:val="nil"/>
          <w:bottom w:val="nil"/>
          <w:right w:val="nil"/>
          <w:between w:val="nil"/>
        </w:pBdr>
        <w:rPr>
          <w:rFonts w:ascii="Calibri" w:eastAsia="Calibri" w:hAnsi="Calibri" w:cs="Calibri"/>
          <w:color w:val="000000"/>
          <w:sz w:val="20"/>
          <w:szCs w:val="20"/>
        </w:rPr>
      </w:pPr>
      <w:r>
        <w:rPr>
          <w:rStyle w:val="FootnoteReference"/>
        </w:rPr>
        <w:footnoteRef/>
      </w:r>
      <w:r>
        <w:rPr>
          <w:rFonts w:ascii="Calibri" w:eastAsia="Calibri" w:hAnsi="Calibri" w:cs="Calibri"/>
          <w:color w:val="000000"/>
          <w:sz w:val="20"/>
          <w:szCs w:val="20"/>
        </w:rPr>
        <w:t xml:space="preserve"> See how FIFA 22 ratings are made; Sohns (2021); </w:t>
      </w:r>
      <w:hyperlink r:id="rId25">
        <w:r>
          <w:rPr>
            <w:rFonts w:ascii="Calibri" w:eastAsia="Calibri" w:hAnsi="Calibri" w:cs="Calibri"/>
            <w:color w:val="0000FF"/>
            <w:sz w:val="20"/>
            <w:szCs w:val="20"/>
            <w:u w:val="single"/>
          </w:rPr>
          <w:t>https://earlygame.com/fifa/fifa-ratings-explained-overall-rating</w:t>
        </w:r>
      </w:hyperlink>
    </w:p>
  </w:footnote>
  <w:footnote w:id="26">
    <w:p w14:paraId="224CBB6A" w14:textId="77777777" w:rsidR="003A3BCA" w:rsidRDefault="008276B6">
      <w:pPr>
        <w:pBdr>
          <w:top w:val="nil"/>
          <w:left w:val="nil"/>
          <w:bottom w:val="nil"/>
          <w:right w:val="nil"/>
          <w:between w:val="nil"/>
        </w:pBdr>
        <w:rPr>
          <w:rFonts w:ascii="Calibri" w:eastAsia="Calibri" w:hAnsi="Calibri" w:cs="Calibri"/>
          <w:color w:val="000000"/>
          <w:sz w:val="20"/>
          <w:szCs w:val="20"/>
        </w:rPr>
      </w:pPr>
      <w:r>
        <w:rPr>
          <w:rStyle w:val="FootnoteReference"/>
        </w:rPr>
        <w:footnoteRef/>
      </w:r>
      <w:r>
        <w:rPr>
          <w:rFonts w:ascii="Calibri" w:eastAsia="Calibri" w:hAnsi="Calibri" w:cs="Calibri"/>
          <w:color w:val="000000"/>
          <w:sz w:val="20"/>
          <w:szCs w:val="20"/>
        </w:rPr>
        <w:t xml:space="preserve"> See Conlon (2017) &amp; his interview with Joe McClaren;  </w:t>
      </w:r>
      <w:hyperlink r:id="rId26">
        <w:r>
          <w:rPr>
            <w:rFonts w:ascii="Calibri" w:eastAsia="Calibri" w:hAnsi="Calibri" w:cs="Calibri"/>
            <w:color w:val="0000FF"/>
            <w:sz w:val="20"/>
            <w:szCs w:val="20"/>
            <w:u w:val="single"/>
          </w:rPr>
          <w:t>https://www.planetfootball.com/in-depth/derby-scout-explains-clubs-use-stats-identify-analyse-defenders/</w:t>
        </w:r>
      </w:hyperlink>
    </w:p>
  </w:footnote>
  <w:footnote w:id="27">
    <w:p w14:paraId="58001661" w14:textId="77777777" w:rsidR="00DB7CB1" w:rsidRDefault="00DB7CB1" w:rsidP="00DB7CB1">
      <w:pPr>
        <w:pBdr>
          <w:top w:val="nil"/>
          <w:left w:val="nil"/>
          <w:bottom w:val="nil"/>
          <w:right w:val="nil"/>
          <w:between w:val="nil"/>
        </w:pBdr>
        <w:rPr>
          <w:rFonts w:ascii="Calibri" w:eastAsia="Calibri" w:hAnsi="Calibri" w:cs="Calibri"/>
          <w:color w:val="000000"/>
          <w:sz w:val="20"/>
          <w:szCs w:val="20"/>
        </w:rPr>
      </w:pPr>
      <w:r>
        <w:rPr>
          <w:rStyle w:val="FootnoteReference"/>
        </w:rPr>
        <w:footnoteRef/>
      </w:r>
      <w:r>
        <w:rPr>
          <w:rFonts w:ascii="Calibri" w:eastAsia="Calibri" w:hAnsi="Calibri" w:cs="Calibri"/>
          <w:color w:val="000000"/>
          <w:sz w:val="20"/>
          <w:szCs w:val="20"/>
        </w:rPr>
        <w:t xml:space="preserve"> See </w:t>
      </w:r>
      <w:proofErr w:type="spellStart"/>
      <w:r>
        <w:rPr>
          <w:rFonts w:ascii="Calibri" w:eastAsia="Calibri" w:hAnsi="Calibri" w:cs="Calibri"/>
          <w:color w:val="000000"/>
          <w:sz w:val="20"/>
          <w:szCs w:val="20"/>
        </w:rPr>
        <w:t>McCambridge</w:t>
      </w:r>
      <w:proofErr w:type="spellEnd"/>
      <w:r>
        <w:rPr>
          <w:rFonts w:ascii="Calibri" w:eastAsia="Calibri" w:hAnsi="Calibri" w:cs="Calibri"/>
          <w:color w:val="000000"/>
          <w:sz w:val="20"/>
          <w:szCs w:val="20"/>
        </w:rPr>
        <w:t xml:space="preserve"> (2023); </w:t>
      </w:r>
      <w:proofErr w:type="gramStart"/>
      <w:r>
        <w:rPr>
          <w:rFonts w:ascii="Calibri" w:eastAsia="Calibri" w:hAnsi="Calibri" w:cs="Calibri"/>
          <w:color w:val="000000"/>
          <w:sz w:val="20"/>
          <w:szCs w:val="20"/>
        </w:rPr>
        <w:t>Man</w:t>
      </w:r>
      <w:proofErr w:type="gramEnd"/>
      <w:r>
        <w:rPr>
          <w:rFonts w:ascii="Calibri" w:eastAsia="Calibri" w:hAnsi="Calibri" w:cs="Calibri"/>
          <w:color w:val="000000"/>
          <w:sz w:val="20"/>
          <w:szCs w:val="20"/>
        </w:rPr>
        <w:t xml:space="preserve"> United transfer budget; Source: </w:t>
      </w:r>
      <w:hyperlink r:id="rId27">
        <w:r>
          <w:rPr>
            <w:rFonts w:ascii="Calibri" w:eastAsia="Calibri" w:hAnsi="Calibri" w:cs="Calibri"/>
            <w:color w:val="0000FF"/>
            <w:sz w:val="20"/>
            <w:szCs w:val="20"/>
            <w:u w:val="single"/>
          </w:rPr>
          <w:t>https://sports.yahoo.com/manchester-uniteds-transfer-budget-only-124234282.html</w:t>
        </w:r>
      </w:hyperlink>
    </w:p>
  </w:footnote>
  <w:footnote w:id="28">
    <w:p w14:paraId="4D8777A1" w14:textId="77777777" w:rsidR="003A3BCA" w:rsidRDefault="008276B6">
      <w:pPr>
        <w:pBdr>
          <w:top w:val="nil"/>
          <w:left w:val="nil"/>
          <w:bottom w:val="nil"/>
          <w:right w:val="nil"/>
          <w:between w:val="nil"/>
        </w:pBdr>
        <w:rPr>
          <w:rFonts w:ascii="Calibri" w:eastAsia="Calibri" w:hAnsi="Calibri" w:cs="Calibri"/>
          <w:color w:val="000000"/>
          <w:sz w:val="20"/>
          <w:szCs w:val="20"/>
        </w:rPr>
      </w:pPr>
      <w:r>
        <w:rPr>
          <w:rStyle w:val="FootnoteReference"/>
        </w:rPr>
        <w:footnoteRef/>
      </w:r>
      <w:r>
        <w:rPr>
          <w:rFonts w:ascii="Calibri" w:eastAsia="Calibri" w:hAnsi="Calibri" w:cs="Calibri"/>
          <w:color w:val="000000"/>
          <w:sz w:val="20"/>
          <w:szCs w:val="20"/>
        </w:rPr>
        <w:t xml:space="preserve"> See Harry Kane’s profile and market value; Source: </w:t>
      </w:r>
      <w:hyperlink r:id="rId28">
        <w:r>
          <w:rPr>
            <w:rFonts w:ascii="Calibri" w:eastAsia="Calibri" w:hAnsi="Calibri" w:cs="Calibri"/>
            <w:color w:val="0000FF"/>
            <w:sz w:val="20"/>
            <w:szCs w:val="20"/>
            <w:u w:val="single"/>
          </w:rPr>
          <w:t>https://www.transfermarkt.com/harry-kane/profil/spieler/132098</w:t>
        </w:r>
      </w:hyperlink>
    </w:p>
  </w:footnote>
  <w:footnote w:id="29">
    <w:p w14:paraId="61054403" w14:textId="77777777" w:rsidR="003A3BCA" w:rsidRDefault="008276B6">
      <w:pPr>
        <w:pBdr>
          <w:top w:val="nil"/>
          <w:left w:val="nil"/>
          <w:bottom w:val="nil"/>
          <w:right w:val="nil"/>
          <w:between w:val="nil"/>
        </w:pBdr>
        <w:rPr>
          <w:rFonts w:ascii="Calibri" w:eastAsia="Calibri" w:hAnsi="Calibri" w:cs="Calibri"/>
          <w:color w:val="000000"/>
          <w:sz w:val="20"/>
          <w:szCs w:val="20"/>
        </w:rPr>
      </w:pPr>
      <w:r>
        <w:rPr>
          <w:rStyle w:val="FootnoteReference"/>
        </w:rPr>
        <w:footnoteRef/>
      </w:r>
      <w:r>
        <w:rPr>
          <w:rFonts w:ascii="Calibri" w:eastAsia="Calibri" w:hAnsi="Calibri" w:cs="Calibri"/>
          <w:color w:val="000000"/>
          <w:sz w:val="20"/>
          <w:szCs w:val="20"/>
        </w:rPr>
        <w:t xml:space="preserve"> See Callum Wilson’s profile and market value; Source: </w:t>
      </w:r>
      <w:hyperlink r:id="rId29">
        <w:r>
          <w:rPr>
            <w:rFonts w:ascii="Calibri" w:eastAsia="Calibri" w:hAnsi="Calibri" w:cs="Calibri"/>
            <w:color w:val="0000FF"/>
            <w:sz w:val="20"/>
            <w:szCs w:val="20"/>
            <w:u w:val="single"/>
          </w:rPr>
          <w:t>https://www.transfermarkt.com/callum-wilson/profil/spieler/123682</w:t>
        </w:r>
      </w:hyperlink>
    </w:p>
  </w:footnote>
  <w:footnote w:id="30">
    <w:p w14:paraId="220F0FD7" w14:textId="77777777" w:rsidR="003A3BCA" w:rsidRDefault="008276B6">
      <w:pPr>
        <w:pBdr>
          <w:top w:val="nil"/>
          <w:left w:val="nil"/>
          <w:bottom w:val="nil"/>
          <w:right w:val="nil"/>
          <w:between w:val="nil"/>
        </w:pBdr>
        <w:rPr>
          <w:rFonts w:ascii="Calibri" w:eastAsia="Calibri" w:hAnsi="Calibri" w:cs="Calibri"/>
          <w:color w:val="000000"/>
          <w:sz w:val="20"/>
          <w:szCs w:val="20"/>
        </w:rPr>
      </w:pPr>
      <w:r>
        <w:rPr>
          <w:rStyle w:val="FootnoteReference"/>
        </w:rPr>
        <w:footnoteRef/>
      </w:r>
      <w:r>
        <w:rPr>
          <w:rFonts w:ascii="Calibri" w:eastAsia="Calibri" w:hAnsi="Calibri" w:cs="Calibri"/>
          <w:color w:val="000000"/>
          <w:sz w:val="20"/>
          <w:szCs w:val="20"/>
        </w:rPr>
        <w:t xml:space="preserve"> See </w:t>
      </w:r>
      <w:proofErr w:type="spellStart"/>
      <w:r>
        <w:rPr>
          <w:rFonts w:ascii="Calibri" w:eastAsia="Calibri" w:hAnsi="Calibri" w:cs="Calibri"/>
          <w:color w:val="000000"/>
          <w:sz w:val="20"/>
          <w:szCs w:val="20"/>
        </w:rPr>
        <w:t>Terem</w:t>
      </w:r>
      <w:proofErr w:type="spellEnd"/>
      <w:r>
        <w:rPr>
          <w:rFonts w:ascii="Calibri" w:eastAsia="Calibri" w:hAnsi="Calibri" w:cs="Calibri"/>
          <w:color w:val="000000"/>
          <w:sz w:val="20"/>
          <w:szCs w:val="20"/>
        </w:rPr>
        <w:t xml:space="preserve"> </w:t>
      </w:r>
      <w:proofErr w:type="spellStart"/>
      <w:r>
        <w:rPr>
          <w:rFonts w:ascii="Calibri" w:eastAsia="Calibri" w:hAnsi="Calibri" w:cs="Calibri"/>
          <w:color w:val="000000"/>
          <w:sz w:val="20"/>
          <w:szCs w:val="20"/>
        </w:rPr>
        <w:t>Moffi’s</w:t>
      </w:r>
      <w:proofErr w:type="spellEnd"/>
      <w:r>
        <w:rPr>
          <w:rFonts w:ascii="Calibri" w:eastAsia="Calibri" w:hAnsi="Calibri" w:cs="Calibri"/>
          <w:color w:val="000000"/>
          <w:sz w:val="20"/>
          <w:szCs w:val="20"/>
        </w:rPr>
        <w:t xml:space="preserve"> profile and market value; Source: </w:t>
      </w:r>
      <w:hyperlink r:id="rId30">
        <w:r>
          <w:rPr>
            <w:rFonts w:ascii="Calibri" w:eastAsia="Calibri" w:hAnsi="Calibri" w:cs="Calibri"/>
            <w:color w:val="0000FF"/>
            <w:sz w:val="20"/>
            <w:szCs w:val="20"/>
            <w:u w:val="single"/>
          </w:rPr>
          <w:t>https://www.transfermarkt.com/terem-moffi/profil/spieler/538874</w:t>
        </w:r>
      </w:hyperlink>
    </w:p>
  </w:footnote>
  <w:footnote w:id="31">
    <w:p w14:paraId="36DF8266" w14:textId="77777777" w:rsidR="003A3BCA" w:rsidRDefault="008276B6">
      <w:pPr>
        <w:pBdr>
          <w:top w:val="nil"/>
          <w:left w:val="nil"/>
          <w:bottom w:val="nil"/>
          <w:right w:val="nil"/>
          <w:between w:val="nil"/>
        </w:pBdr>
        <w:rPr>
          <w:rFonts w:ascii="Calibri" w:eastAsia="Calibri" w:hAnsi="Calibri" w:cs="Calibri"/>
          <w:color w:val="000000"/>
          <w:sz w:val="20"/>
          <w:szCs w:val="20"/>
        </w:rPr>
      </w:pPr>
      <w:r>
        <w:rPr>
          <w:rStyle w:val="FootnoteReference"/>
        </w:rPr>
        <w:footnoteRef/>
      </w:r>
      <w:r>
        <w:rPr>
          <w:rFonts w:ascii="Calibri" w:eastAsia="Calibri" w:hAnsi="Calibri" w:cs="Calibri"/>
          <w:color w:val="000000"/>
          <w:sz w:val="20"/>
          <w:szCs w:val="20"/>
        </w:rPr>
        <w:t xml:space="preserve"> See Willi </w:t>
      </w:r>
      <w:proofErr w:type="spellStart"/>
      <w:r>
        <w:rPr>
          <w:rFonts w:ascii="Calibri" w:eastAsia="Calibri" w:hAnsi="Calibri" w:cs="Calibri"/>
          <w:color w:val="000000"/>
          <w:sz w:val="20"/>
          <w:szCs w:val="20"/>
        </w:rPr>
        <w:t>Orban’s</w:t>
      </w:r>
      <w:proofErr w:type="spellEnd"/>
      <w:r>
        <w:rPr>
          <w:rFonts w:ascii="Calibri" w:eastAsia="Calibri" w:hAnsi="Calibri" w:cs="Calibri"/>
          <w:color w:val="000000"/>
          <w:sz w:val="20"/>
          <w:szCs w:val="20"/>
        </w:rPr>
        <w:t xml:space="preserve"> profile and market value; Source: </w:t>
      </w:r>
      <w:hyperlink r:id="rId31">
        <w:r>
          <w:rPr>
            <w:rFonts w:ascii="Calibri" w:eastAsia="Calibri" w:hAnsi="Calibri" w:cs="Calibri"/>
            <w:color w:val="0000FF"/>
            <w:sz w:val="20"/>
            <w:szCs w:val="20"/>
            <w:u w:val="single"/>
          </w:rPr>
          <w:t>https://www.transfermarkt.com/willi-orban/profil/spieler/93740</w:t>
        </w:r>
      </w:hyperlink>
    </w:p>
  </w:footnote>
  <w:footnote w:id="32">
    <w:p w14:paraId="379A4DFC" w14:textId="77777777" w:rsidR="003A3BCA" w:rsidRDefault="008276B6">
      <w:pPr>
        <w:pBdr>
          <w:top w:val="nil"/>
          <w:left w:val="nil"/>
          <w:bottom w:val="nil"/>
          <w:right w:val="nil"/>
          <w:between w:val="nil"/>
        </w:pBdr>
        <w:rPr>
          <w:rFonts w:ascii="Calibri" w:eastAsia="Calibri" w:hAnsi="Calibri" w:cs="Calibri"/>
          <w:color w:val="000000"/>
          <w:sz w:val="20"/>
          <w:szCs w:val="20"/>
        </w:rPr>
      </w:pPr>
      <w:r>
        <w:rPr>
          <w:rStyle w:val="FootnoteReference"/>
        </w:rPr>
        <w:footnoteRef/>
      </w:r>
      <w:r>
        <w:rPr>
          <w:rFonts w:ascii="Calibri" w:eastAsia="Calibri" w:hAnsi="Calibri" w:cs="Calibri"/>
          <w:color w:val="000000"/>
          <w:sz w:val="20"/>
          <w:szCs w:val="20"/>
        </w:rPr>
        <w:t xml:space="preserve"> See Hiroki Ito’s profile and market value; Source: </w:t>
      </w:r>
      <w:hyperlink r:id="rId32">
        <w:r>
          <w:rPr>
            <w:rFonts w:ascii="Calibri" w:eastAsia="Calibri" w:hAnsi="Calibri" w:cs="Calibri"/>
            <w:color w:val="0000FF"/>
            <w:sz w:val="20"/>
            <w:szCs w:val="20"/>
            <w:u w:val="single"/>
          </w:rPr>
          <w:t>https://www.transfermarkt.com/hiroki-ito/profil/spieler/353892</w:t>
        </w:r>
      </w:hyperlink>
    </w:p>
  </w:footnote>
  <w:footnote w:id="33">
    <w:p w14:paraId="35AE889A" w14:textId="77777777" w:rsidR="003A3BCA" w:rsidRDefault="008276B6">
      <w:pPr>
        <w:pBdr>
          <w:top w:val="nil"/>
          <w:left w:val="nil"/>
          <w:bottom w:val="nil"/>
          <w:right w:val="nil"/>
          <w:between w:val="nil"/>
        </w:pBdr>
        <w:rPr>
          <w:rFonts w:ascii="Calibri" w:eastAsia="Calibri" w:hAnsi="Calibri" w:cs="Calibri"/>
          <w:color w:val="000000"/>
          <w:sz w:val="20"/>
          <w:szCs w:val="20"/>
        </w:rPr>
      </w:pPr>
      <w:r>
        <w:rPr>
          <w:rStyle w:val="FootnoteReference"/>
        </w:rPr>
        <w:footnoteRef/>
      </w:r>
      <w:r>
        <w:rPr>
          <w:rFonts w:ascii="Calibri" w:eastAsia="Calibri" w:hAnsi="Calibri" w:cs="Calibri"/>
          <w:color w:val="000000"/>
          <w:sz w:val="20"/>
          <w:szCs w:val="20"/>
        </w:rPr>
        <w:t xml:space="preserve"> See Chris </w:t>
      </w:r>
      <w:proofErr w:type="spellStart"/>
      <w:r>
        <w:rPr>
          <w:rFonts w:ascii="Calibri" w:eastAsia="Calibri" w:hAnsi="Calibri" w:cs="Calibri"/>
          <w:color w:val="000000"/>
          <w:sz w:val="20"/>
          <w:szCs w:val="20"/>
        </w:rPr>
        <w:t>Mepham’s</w:t>
      </w:r>
      <w:proofErr w:type="spellEnd"/>
      <w:r>
        <w:rPr>
          <w:rFonts w:ascii="Calibri" w:eastAsia="Calibri" w:hAnsi="Calibri" w:cs="Calibri"/>
          <w:color w:val="000000"/>
          <w:sz w:val="20"/>
          <w:szCs w:val="20"/>
        </w:rPr>
        <w:t xml:space="preserve"> profile and market value; Source: </w:t>
      </w:r>
      <w:hyperlink r:id="rId33">
        <w:r>
          <w:rPr>
            <w:rFonts w:ascii="Calibri" w:eastAsia="Calibri" w:hAnsi="Calibri" w:cs="Calibri"/>
            <w:color w:val="0000FF"/>
            <w:sz w:val="20"/>
            <w:szCs w:val="20"/>
            <w:u w:val="single"/>
          </w:rPr>
          <w:t>https://www.transfermarkt.com/chris-mepham/profil/spieler/480987</w:t>
        </w:r>
      </w:hyperlink>
    </w:p>
  </w:footnote>
  <w:footnote w:id="34">
    <w:p w14:paraId="03BB3D70" w14:textId="77777777" w:rsidR="003A3BCA" w:rsidRDefault="008276B6">
      <w:pPr>
        <w:pBdr>
          <w:top w:val="nil"/>
          <w:left w:val="nil"/>
          <w:bottom w:val="nil"/>
          <w:right w:val="nil"/>
          <w:between w:val="nil"/>
        </w:pBdr>
        <w:rPr>
          <w:rFonts w:ascii="Calibri" w:eastAsia="Calibri" w:hAnsi="Calibri" w:cs="Calibri"/>
          <w:color w:val="000000"/>
          <w:sz w:val="20"/>
          <w:szCs w:val="20"/>
        </w:rPr>
      </w:pPr>
      <w:r>
        <w:rPr>
          <w:rStyle w:val="FootnoteReference"/>
        </w:rPr>
        <w:footnoteRef/>
      </w:r>
      <w:r>
        <w:rPr>
          <w:rFonts w:ascii="Calibri" w:eastAsia="Calibri" w:hAnsi="Calibri" w:cs="Calibri"/>
          <w:color w:val="000000"/>
          <w:sz w:val="20"/>
          <w:szCs w:val="20"/>
        </w:rPr>
        <w:t xml:space="preserve"> See Chris Smalling’s profile and market value: Source: </w:t>
      </w:r>
      <w:hyperlink r:id="rId34">
        <w:r>
          <w:rPr>
            <w:rFonts w:ascii="Calibri" w:eastAsia="Calibri" w:hAnsi="Calibri" w:cs="Calibri"/>
            <w:color w:val="0000FF"/>
            <w:sz w:val="20"/>
            <w:szCs w:val="20"/>
            <w:u w:val="single"/>
          </w:rPr>
          <w:t>https://www.transfermarkt.com/chris-smalling/profil/spieler/103427</w:t>
        </w:r>
      </w:hyperlink>
    </w:p>
  </w:footnote>
  <w:footnote w:id="35">
    <w:p w14:paraId="41309BB9" w14:textId="77777777" w:rsidR="003A3BCA" w:rsidRDefault="008276B6">
      <w:pPr>
        <w:pBdr>
          <w:top w:val="nil"/>
          <w:left w:val="nil"/>
          <w:bottom w:val="nil"/>
          <w:right w:val="nil"/>
          <w:between w:val="nil"/>
        </w:pBdr>
        <w:rPr>
          <w:rFonts w:ascii="Calibri" w:eastAsia="Calibri" w:hAnsi="Calibri" w:cs="Calibri"/>
          <w:color w:val="000000"/>
          <w:sz w:val="20"/>
          <w:szCs w:val="20"/>
        </w:rPr>
      </w:pPr>
      <w:r>
        <w:rPr>
          <w:rStyle w:val="FootnoteReference"/>
        </w:rPr>
        <w:footnoteRef/>
      </w:r>
      <w:r>
        <w:rPr>
          <w:rFonts w:ascii="Calibri" w:eastAsia="Calibri" w:hAnsi="Calibri" w:cs="Calibri"/>
          <w:color w:val="000000"/>
          <w:sz w:val="20"/>
          <w:szCs w:val="20"/>
        </w:rPr>
        <w:t xml:space="preserve"> See Joshua Kimmich’s profile and market value; Source: </w:t>
      </w:r>
      <w:hyperlink r:id="rId35">
        <w:r>
          <w:rPr>
            <w:rFonts w:ascii="Calibri" w:eastAsia="Calibri" w:hAnsi="Calibri" w:cs="Calibri"/>
            <w:color w:val="0000FF"/>
            <w:sz w:val="20"/>
            <w:szCs w:val="20"/>
            <w:u w:val="single"/>
          </w:rPr>
          <w:t>https://www.transfermarkt.com/joshua-kimmich/profil/spieler/161056</w:t>
        </w:r>
      </w:hyperlink>
    </w:p>
  </w:footnote>
  <w:footnote w:id="36">
    <w:p w14:paraId="00D2DE3B" w14:textId="77777777" w:rsidR="003A3BCA" w:rsidRDefault="008276B6">
      <w:pPr>
        <w:pBdr>
          <w:top w:val="nil"/>
          <w:left w:val="nil"/>
          <w:bottom w:val="nil"/>
          <w:right w:val="nil"/>
          <w:between w:val="nil"/>
        </w:pBdr>
        <w:rPr>
          <w:rFonts w:ascii="Calibri" w:eastAsia="Calibri" w:hAnsi="Calibri" w:cs="Calibri"/>
          <w:color w:val="000000"/>
          <w:sz w:val="20"/>
          <w:szCs w:val="20"/>
        </w:rPr>
      </w:pPr>
      <w:r>
        <w:rPr>
          <w:rStyle w:val="FootnoteReference"/>
        </w:rPr>
        <w:footnoteRef/>
      </w:r>
      <w:r>
        <w:rPr>
          <w:rFonts w:ascii="Calibri" w:eastAsia="Calibri" w:hAnsi="Calibri" w:cs="Calibri"/>
          <w:color w:val="000000"/>
          <w:sz w:val="20"/>
          <w:szCs w:val="20"/>
        </w:rPr>
        <w:t xml:space="preserve"> See Enzo Le Fee’s profile and market value; Source: </w:t>
      </w:r>
      <w:hyperlink r:id="rId36">
        <w:r>
          <w:rPr>
            <w:rFonts w:ascii="Calibri" w:eastAsia="Calibri" w:hAnsi="Calibri" w:cs="Calibri"/>
            <w:color w:val="0000FF"/>
            <w:sz w:val="20"/>
            <w:szCs w:val="20"/>
            <w:u w:val="single"/>
          </w:rPr>
          <w:t>https://www.transfermarkt.com/enzo-le-fee/profil/spieler/633992</w:t>
        </w:r>
      </w:hyperlink>
    </w:p>
  </w:footnote>
  <w:footnote w:id="37">
    <w:p w14:paraId="34A41EA1" w14:textId="77777777" w:rsidR="003A3BCA" w:rsidRDefault="008276B6">
      <w:pPr>
        <w:pBdr>
          <w:top w:val="nil"/>
          <w:left w:val="nil"/>
          <w:bottom w:val="nil"/>
          <w:right w:val="nil"/>
          <w:between w:val="nil"/>
        </w:pBdr>
        <w:rPr>
          <w:rFonts w:ascii="Calibri" w:eastAsia="Calibri" w:hAnsi="Calibri" w:cs="Calibri"/>
          <w:color w:val="000000"/>
          <w:sz w:val="20"/>
          <w:szCs w:val="20"/>
        </w:rPr>
      </w:pPr>
      <w:r>
        <w:rPr>
          <w:rStyle w:val="FootnoteReference"/>
        </w:rPr>
        <w:footnoteRef/>
      </w:r>
      <w:r>
        <w:rPr>
          <w:rFonts w:ascii="Calibri" w:eastAsia="Calibri" w:hAnsi="Calibri" w:cs="Calibri"/>
          <w:color w:val="000000"/>
          <w:sz w:val="20"/>
          <w:szCs w:val="20"/>
        </w:rPr>
        <w:t xml:space="preserve"> See Declan Rice’s profile and market value; Source: </w:t>
      </w:r>
      <w:hyperlink r:id="rId37">
        <w:r>
          <w:rPr>
            <w:rFonts w:ascii="Calibri" w:eastAsia="Calibri" w:hAnsi="Calibri" w:cs="Calibri"/>
            <w:color w:val="0000FF"/>
            <w:sz w:val="20"/>
            <w:szCs w:val="20"/>
            <w:u w:val="single"/>
          </w:rPr>
          <w:t>https://www.transfermarkt.com/declan-rice/profil/spieler/357662</w:t>
        </w:r>
      </w:hyperlink>
    </w:p>
  </w:footnote>
  <w:footnote w:id="38">
    <w:p w14:paraId="1737CBE0" w14:textId="77777777" w:rsidR="003A3BCA" w:rsidRDefault="008276B6">
      <w:pPr>
        <w:pBdr>
          <w:top w:val="nil"/>
          <w:left w:val="nil"/>
          <w:bottom w:val="nil"/>
          <w:right w:val="nil"/>
          <w:between w:val="nil"/>
        </w:pBdr>
        <w:rPr>
          <w:rFonts w:ascii="Calibri" w:eastAsia="Calibri" w:hAnsi="Calibri" w:cs="Calibri"/>
          <w:color w:val="000000"/>
          <w:sz w:val="20"/>
          <w:szCs w:val="20"/>
        </w:rPr>
      </w:pPr>
      <w:r>
        <w:rPr>
          <w:rStyle w:val="FootnoteReference"/>
        </w:rPr>
        <w:footnoteRef/>
      </w:r>
      <w:r>
        <w:rPr>
          <w:rFonts w:ascii="Calibri" w:eastAsia="Calibri" w:hAnsi="Calibri" w:cs="Calibri"/>
          <w:color w:val="000000"/>
          <w:sz w:val="20"/>
          <w:szCs w:val="20"/>
        </w:rPr>
        <w:t xml:space="preserve"> See James Ward-Prowse’s profile and market value; Source: </w:t>
      </w:r>
      <w:hyperlink r:id="rId38">
        <w:r>
          <w:rPr>
            <w:rFonts w:ascii="Calibri" w:eastAsia="Calibri" w:hAnsi="Calibri" w:cs="Calibri"/>
            <w:color w:val="0000FF"/>
            <w:sz w:val="20"/>
            <w:szCs w:val="20"/>
            <w:u w:val="single"/>
          </w:rPr>
          <w:t>https://www.transfermarkt.com/james-ward-prowse/profil/spieler/181579</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D8D3F3E"/>
    <w:multiLevelType w:val="multilevel"/>
    <w:tmpl w:val="F19A4826"/>
    <w:lvl w:ilvl="0">
      <w:start w:val="1"/>
      <w:numFmt w:val="decimal"/>
      <w:lvlText w:val="%1."/>
      <w:lvlJc w:val="left"/>
      <w:pPr>
        <w:ind w:left="1080" w:hanging="360"/>
      </w:pPr>
    </w:lvl>
    <w:lvl w:ilvl="1">
      <w:start w:val="1"/>
      <w:numFmt w:val="decimal"/>
      <w:lvlText w:val="%1.%2."/>
      <w:lvlJc w:val="left"/>
      <w:pPr>
        <w:ind w:left="1520" w:hanging="440"/>
      </w:pPr>
    </w:lvl>
    <w:lvl w:ilvl="2">
      <w:start w:val="1"/>
      <w:numFmt w:val="decimal"/>
      <w:lvlText w:val="%1.%2.%3."/>
      <w:lvlJc w:val="left"/>
      <w:pPr>
        <w:ind w:left="2160" w:hanging="720"/>
      </w:pPr>
    </w:lvl>
    <w:lvl w:ilvl="3">
      <w:start w:val="1"/>
      <w:numFmt w:val="decimal"/>
      <w:lvlText w:val="%1.%2.%3.%4."/>
      <w:lvlJc w:val="left"/>
      <w:pPr>
        <w:ind w:left="2520" w:hanging="720"/>
      </w:pPr>
    </w:lvl>
    <w:lvl w:ilvl="4">
      <w:start w:val="1"/>
      <w:numFmt w:val="decimal"/>
      <w:lvlText w:val="%1.%2.%3.%4.%5."/>
      <w:lvlJc w:val="left"/>
      <w:pPr>
        <w:ind w:left="3240" w:hanging="1080"/>
      </w:pPr>
    </w:lvl>
    <w:lvl w:ilvl="5">
      <w:start w:val="1"/>
      <w:numFmt w:val="decimal"/>
      <w:lvlText w:val="%1.%2.%3.%4.%5.%6."/>
      <w:lvlJc w:val="left"/>
      <w:pPr>
        <w:ind w:left="3600" w:hanging="1080"/>
      </w:pPr>
    </w:lvl>
    <w:lvl w:ilvl="6">
      <w:start w:val="1"/>
      <w:numFmt w:val="decimal"/>
      <w:lvlText w:val="%1.%2.%3.%4.%5.%6.%7."/>
      <w:lvlJc w:val="left"/>
      <w:pPr>
        <w:ind w:left="4320" w:hanging="1440"/>
      </w:pPr>
    </w:lvl>
    <w:lvl w:ilvl="7">
      <w:start w:val="1"/>
      <w:numFmt w:val="decimal"/>
      <w:lvlText w:val="%1.%2.%3.%4.%5.%6.%7.%8."/>
      <w:lvlJc w:val="left"/>
      <w:pPr>
        <w:ind w:left="4680" w:hanging="1440"/>
      </w:pPr>
    </w:lvl>
    <w:lvl w:ilvl="8">
      <w:start w:val="1"/>
      <w:numFmt w:val="decimal"/>
      <w:lvlText w:val="%1.%2.%3.%4.%5.%6.%7.%8.%9."/>
      <w:lvlJc w:val="left"/>
      <w:pPr>
        <w:ind w:left="5400" w:hanging="180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1"/>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3BCA"/>
    <w:rsid w:val="00073231"/>
    <w:rsid w:val="00095009"/>
    <w:rsid w:val="000E6A99"/>
    <w:rsid w:val="00124D63"/>
    <w:rsid w:val="00187BC3"/>
    <w:rsid w:val="001C5246"/>
    <w:rsid w:val="001D4270"/>
    <w:rsid w:val="001E03E4"/>
    <w:rsid w:val="001E3AA5"/>
    <w:rsid w:val="001E6BF8"/>
    <w:rsid w:val="001F0FE1"/>
    <w:rsid w:val="001F1ADA"/>
    <w:rsid w:val="002331C5"/>
    <w:rsid w:val="00271127"/>
    <w:rsid w:val="00284224"/>
    <w:rsid w:val="002A7725"/>
    <w:rsid w:val="00372FA7"/>
    <w:rsid w:val="003941E0"/>
    <w:rsid w:val="003A3BCA"/>
    <w:rsid w:val="003C5CB3"/>
    <w:rsid w:val="003F5A38"/>
    <w:rsid w:val="004060A4"/>
    <w:rsid w:val="004075FC"/>
    <w:rsid w:val="00456EDD"/>
    <w:rsid w:val="0048639B"/>
    <w:rsid w:val="00555D80"/>
    <w:rsid w:val="00564720"/>
    <w:rsid w:val="00573A70"/>
    <w:rsid w:val="005858CE"/>
    <w:rsid w:val="005D683D"/>
    <w:rsid w:val="005F437E"/>
    <w:rsid w:val="005F43C1"/>
    <w:rsid w:val="00622646"/>
    <w:rsid w:val="00646D10"/>
    <w:rsid w:val="006771A1"/>
    <w:rsid w:val="006917EB"/>
    <w:rsid w:val="00692851"/>
    <w:rsid w:val="00696F88"/>
    <w:rsid w:val="006E7EFE"/>
    <w:rsid w:val="007446BE"/>
    <w:rsid w:val="0074688D"/>
    <w:rsid w:val="00746CD2"/>
    <w:rsid w:val="007567F3"/>
    <w:rsid w:val="0077032A"/>
    <w:rsid w:val="007C112E"/>
    <w:rsid w:val="007D0519"/>
    <w:rsid w:val="007E4AB3"/>
    <w:rsid w:val="007F6EB1"/>
    <w:rsid w:val="008276B6"/>
    <w:rsid w:val="0085444B"/>
    <w:rsid w:val="00874A05"/>
    <w:rsid w:val="008878E8"/>
    <w:rsid w:val="008D6728"/>
    <w:rsid w:val="008E54EE"/>
    <w:rsid w:val="008F0135"/>
    <w:rsid w:val="0094269D"/>
    <w:rsid w:val="0096766D"/>
    <w:rsid w:val="0098438A"/>
    <w:rsid w:val="00990FC4"/>
    <w:rsid w:val="009F4040"/>
    <w:rsid w:val="00A7004E"/>
    <w:rsid w:val="00A7792D"/>
    <w:rsid w:val="00A9259A"/>
    <w:rsid w:val="00AC1C67"/>
    <w:rsid w:val="00AF1CAB"/>
    <w:rsid w:val="00B04BC3"/>
    <w:rsid w:val="00B24E05"/>
    <w:rsid w:val="00B458D9"/>
    <w:rsid w:val="00B63934"/>
    <w:rsid w:val="00B81760"/>
    <w:rsid w:val="00B9389A"/>
    <w:rsid w:val="00B97360"/>
    <w:rsid w:val="00C351C1"/>
    <w:rsid w:val="00C4399E"/>
    <w:rsid w:val="00C6780F"/>
    <w:rsid w:val="00C750C4"/>
    <w:rsid w:val="00CB3E66"/>
    <w:rsid w:val="00D17180"/>
    <w:rsid w:val="00D26937"/>
    <w:rsid w:val="00D3249C"/>
    <w:rsid w:val="00D6506B"/>
    <w:rsid w:val="00DB7CB1"/>
    <w:rsid w:val="00DC1BBB"/>
    <w:rsid w:val="00E066C3"/>
    <w:rsid w:val="00E15D0A"/>
    <w:rsid w:val="00E367E6"/>
    <w:rsid w:val="00E42095"/>
    <w:rsid w:val="00E64692"/>
    <w:rsid w:val="00E70A2E"/>
    <w:rsid w:val="00ED6C50"/>
    <w:rsid w:val="00ED6F72"/>
    <w:rsid w:val="00EE6DA0"/>
    <w:rsid w:val="00F04DDA"/>
    <w:rsid w:val="00F42C2D"/>
  </w:rsids>
  <m:mathPr>
    <m:mathFont m:val="Cambria Math"/>
    <m:brkBin m:val="before"/>
    <m:brkBinSub m:val="--"/>
    <m:smallFrac m:val="0"/>
    <m:dispDef/>
    <m:lMargin m:val="0"/>
    <m:rMargin m:val="0"/>
    <m:defJc m:val="centerGroup"/>
    <m:wrapIndent m:val="1440"/>
    <m:intLim m:val="subSup"/>
    <m:naryLim m:val="undOvr"/>
  </m:mathPr>
  <w:themeFontLang w:val="en-BG"/>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61993410"/>
  <w15:docId w15:val="{835CE8D7-5768-E743-84EA-824E3C3921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US"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66F70"/>
  </w:style>
  <w:style w:type="paragraph" w:styleId="Heading1">
    <w:name w:val="heading 1"/>
    <w:basedOn w:val="Normal"/>
    <w:next w:val="Normal"/>
    <w:link w:val="Heading1Char"/>
    <w:uiPriority w:val="9"/>
    <w:qFormat/>
    <w:rsid w:val="001935A3"/>
    <w:pPr>
      <w:keepNext/>
      <w:keepLines/>
      <w:spacing w:before="240"/>
      <w:outlineLvl w:val="0"/>
    </w:pPr>
    <w:rPr>
      <w:rFonts w:asciiTheme="majorHAnsi" w:eastAsiaTheme="majorEastAsia" w:hAnsiTheme="majorHAnsi" w:cstheme="majorBidi"/>
      <w:color w:val="2F5496" w:themeColor="accent1" w:themeShade="BF"/>
      <w:sz w:val="32"/>
      <w:szCs w:val="32"/>
      <w:lang w:eastAsia="en-US"/>
    </w:rPr>
  </w:style>
  <w:style w:type="paragraph" w:styleId="Heading2">
    <w:name w:val="heading 2"/>
    <w:basedOn w:val="Normal"/>
    <w:next w:val="Normal"/>
    <w:link w:val="Heading2Char"/>
    <w:uiPriority w:val="9"/>
    <w:unhideWhenUsed/>
    <w:qFormat/>
    <w:rsid w:val="001124D2"/>
    <w:pPr>
      <w:keepNext/>
      <w:keepLines/>
      <w:spacing w:before="40"/>
      <w:outlineLvl w:val="1"/>
    </w:pPr>
    <w:rPr>
      <w:rFonts w:asciiTheme="majorHAnsi" w:eastAsiaTheme="majorEastAsia" w:hAnsiTheme="majorHAnsi" w:cstheme="majorBidi"/>
      <w:color w:val="2F5496" w:themeColor="accent1" w:themeShade="BF"/>
      <w:sz w:val="26"/>
      <w:szCs w:val="26"/>
      <w:lang w:eastAsia="en-US"/>
    </w:rPr>
  </w:style>
  <w:style w:type="paragraph" w:styleId="Heading3">
    <w:name w:val="heading 3"/>
    <w:basedOn w:val="Normal"/>
    <w:next w:val="Normal"/>
    <w:link w:val="Heading3Char"/>
    <w:uiPriority w:val="9"/>
    <w:unhideWhenUsed/>
    <w:qFormat/>
    <w:rsid w:val="00C11116"/>
    <w:pPr>
      <w:keepNext/>
      <w:keepLines/>
      <w:spacing w:before="40"/>
      <w:outlineLvl w:val="2"/>
    </w:pPr>
    <w:rPr>
      <w:rFonts w:asciiTheme="majorHAnsi" w:eastAsiaTheme="majorEastAsia" w:hAnsiTheme="majorHAnsi" w:cstheme="majorBidi"/>
      <w:color w:val="1F3763" w:themeColor="accent1" w:themeShade="7F"/>
      <w:lang w:eastAsia="en-US"/>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NormalWeb">
    <w:name w:val="Normal (Web)"/>
    <w:basedOn w:val="Normal"/>
    <w:uiPriority w:val="99"/>
    <w:unhideWhenUsed/>
    <w:qFormat/>
    <w:rsid w:val="00706A99"/>
    <w:pPr>
      <w:spacing w:before="100" w:beforeAutospacing="1" w:after="100" w:afterAutospacing="1"/>
    </w:pPr>
    <w:rPr>
      <w:lang w:eastAsia="en-US"/>
    </w:rPr>
  </w:style>
  <w:style w:type="character" w:styleId="Hyperlink">
    <w:name w:val="Hyperlink"/>
    <w:basedOn w:val="DefaultParagraphFont"/>
    <w:uiPriority w:val="99"/>
    <w:unhideWhenUsed/>
    <w:rsid w:val="00706A99"/>
    <w:rPr>
      <w:color w:val="0000FF"/>
      <w:u w:val="single"/>
    </w:rPr>
  </w:style>
  <w:style w:type="character" w:customStyle="1" w:styleId="Heading1Char">
    <w:name w:val="Heading 1 Char"/>
    <w:basedOn w:val="DefaultParagraphFont"/>
    <w:link w:val="Heading1"/>
    <w:uiPriority w:val="9"/>
    <w:rsid w:val="001935A3"/>
    <w:rPr>
      <w:rFonts w:asciiTheme="majorHAnsi" w:eastAsiaTheme="majorEastAsia" w:hAnsiTheme="majorHAnsi" w:cstheme="majorBidi"/>
      <w:color w:val="2F5496" w:themeColor="accent1" w:themeShade="BF"/>
      <w:sz w:val="32"/>
      <w:szCs w:val="32"/>
    </w:rPr>
  </w:style>
  <w:style w:type="paragraph" w:customStyle="1" w:styleId="Style1">
    <w:name w:val="Style1"/>
    <w:basedOn w:val="Normal"/>
    <w:link w:val="Style1Char"/>
    <w:qFormat/>
    <w:rsid w:val="001935A3"/>
    <w:pPr>
      <w:spacing w:before="240" w:after="240" w:line="360" w:lineRule="auto"/>
      <w:jc w:val="both"/>
    </w:pPr>
    <w:rPr>
      <w:rFonts w:eastAsiaTheme="minorHAnsi" w:cstheme="minorBidi"/>
      <w:szCs w:val="22"/>
      <w:lang w:eastAsia="en-US"/>
    </w:rPr>
  </w:style>
  <w:style w:type="character" w:customStyle="1" w:styleId="Style1Char">
    <w:name w:val="Style1 Char"/>
    <w:basedOn w:val="DefaultParagraphFont"/>
    <w:link w:val="Style1"/>
    <w:rsid w:val="001935A3"/>
    <w:rPr>
      <w:rFonts w:ascii="Times New Roman" w:hAnsi="Times New Roman"/>
      <w:szCs w:val="22"/>
      <w:lang w:val="en-US"/>
    </w:rPr>
  </w:style>
  <w:style w:type="paragraph" w:styleId="TOCHeading">
    <w:name w:val="TOC Heading"/>
    <w:basedOn w:val="Heading1"/>
    <w:next w:val="Normal"/>
    <w:uiPriority w:val="39"/>
    <w:unhideWhenUsed/>
    <w:qFormat/>
    <w:rsid w:val="001935A3"/>
    <w:pPr>
      <w:spacing w:before="480" w:line="276" w:lineRule="auto"/>
      <w:outlineLvl w:val="9"/>
    </w:pPr>
    <w:rPr>
      <w:b/>
      <w:bCs/>
      <w:sz w:val="28"/>
      <w:szCs w:val="28"/>
    </w:rPr>
  </w:style>
  <w:style w:type="paragraph" w:styleId="TOC1">
    <w:name w:val="toc 1"/>
    <w:basedOn w:val="Normal"/>
    <w:next w:val="Normal"/>
    <w:autoRedefine/>
    <w:uiPriority w:val="39"/>
    <w:unhideWhenUsed/>
    <w:rsid w:val="001935A3"/>
    <w:pPr>
      <w:spacing w:before="120"/>
    </w:pPr>
    <w:rPr>
      <w:rFonts w:asciiTheme="minorHAnsi" w:eastAsiaTheme="minorHAnsi" w:hAnsiTheme="minorHAnsi" w:cstheme="minorHAnsi"/>
      <w:b/>
      <w:bCs/>
      <w:i/>
      <w:iCs/>
      <w:lang w:eastAsia="en-US"/>
    </w:rPr>
  </w:style>
  <w:style w:type="paragraph" w:styleId="TOC2">
    <w:name w:val="toc 2"/>
    <w:basedOn w:val="Normal"/>
    <w:next w:val="Normal"/>
    <w:autoRedefine/>
    <w:uiPriority w:val="39"/>
    <w:unhideWhenUsed/>
    <w:rsid w:val="001935A3"/>
    <w:pPr>
      <w:spacing w:before="120"/>
      <w:ind w:left="240"/>
    </w:pPr>
    <w:rPr>
      <w:rFonts w:asciiTheme="minorHAnsi" w:eastAsiaTheme="minorHAnsi" w:hAnsiTheme="minorHAnsi" w:cstheme="minorHAnsi"/>
      <w:b/>
      <w:bCs/>
      <w:sz w:val="22"/>
      <w:szCs w:val="22"/>
      <w:lang w:eastAsia="en-US"/>
    </w:rPr>
  </w:style>
  <w:style w:type="paragraph" w:styleId="TOC3">
    <w:name w:val="toc 3"/>
    <w:basedOn w:val="Normal"/>
    <w:next w:val="Normal"/>
    <w:autoRedefine/>
    <w:uiPriority w:val="39"/>
    <w:unhideWhenUsed/>
    <w:rsid w:val="001935A3"/>
    <w:pPr>
      <w:ind w:left="480"/>
    </w:pPr>
    <w:rPr>
      <w:rFonts w:asciiTheme="minorHAnsi" w:eastAsiaTheme="minorHAnsi" w:hAnsiTheme="minorHAnsi" w:cstheme="minorHAnsi"/>
      <w:sz w:val="20"/>
      <w:szCs w:val="20"/>
      <w:lang w:eastAsia="en-US"/>
    </w:rPr>
  </w:style>
  <w:style w:type="paragraph" w:styleId="TOC4">
    <w:name w:val="toc 4"/>
    <w:basedOn w:val="Normal"/>
    <w:next w:val="Normal"/>
    <w:autoRedefine/>
    <w:uiPriority w:val="39"/>
    <w:semiHidden/>
    <w:unhideWhenUsed/>
    <w:rsid w:val="001935A3"/>
    <w:pPr>
      <w:ind w:left="720"/>
    </w:pPr>
    <w:rPr>
      <w:rFonts w:asciiTheme="minorHAnsi" w:eastAsiaTheme="minorHAnsi" w:hAnsiTheme="minorHAnsi" w:cstheme="minorHAnsi"/>
      <w:sz w:val="20"/>
      <w:szCs w:val="20"/>
      <w:lang w:eastAsia="en-US"/>
    </w:rPr>
  </w:style>
  <w:style w:type="paragraph" w:styleId="TOC5">
    <w:name w:val="toc 5"/>
    <w:basedOn w:val="Normal"/>
    <w:next w:val="Normal"/>
    <w:autoRedefine/>
    <w:uiPriority w:val="39"/>
    <w:semiHidden/>
    <w:unhideWhenUsed/>
    <w:rsid w:val="001935A3"/>
    <w:pPr>
      <w:ind w:left="960"/>
    </w:pPr>
    <w:rPr>
      <w:rFonts w:asciiTheme="minorHAnsi" w:eastAsiaTheme="minorHAnsi" w:hAnsiTheme="minorHAnsi" w:cstheme="minorHAnsi"/>
      <w:sz w:val="20"/>
      <w:szCs w:val="20"/>
      <w:lang w:eastAsia="en-US"/>
    </w:rPr>
  </w:style>
  <w:style w:type="paragraph" w:styleId="TOC6">
    <w:name w:val="toc 6"/>
    <w:basedOn w:val="Normal"/>
    <w:next w:val="Normal"/>
    <w:autoRedefine/>
    <w:uiPriority w:val="39"/>
    <w:semiHidden/>
    <w:unhideWhenUsed/>
    <w:rsid w:val="001935A3"/>
    <w:pPr>
      <w:ind w:left="1200"/>
    </w:pPr>
    <w:rPr>
      <w:rFonts w:asciiTheme="minorHAnsi" w:eastAsiaTheme="minorHAnsi" w:hAnsiTheme="minorHAnsi" w:cstheme="minorHAnsi"/>
      <w:sz w:val="20"/>
      <w:szCs w:val="20"/>
      <w:lang w:eastAsia="en-US"/>
    </w:rPr>
  </w:style>
  <w:style w:type="paragraph" w:styleId="TOC7">
    <w:name w:val="toc 7"/>
    <w:basedOn w:val="Normal"/>
    <w:next w:val="Normal"/>
    <w:autoRedefine/>
    <w:uiPriority w:val="39"/>
    <w:semiHidden/>
    <w:unhideWhenUsed/>
    <w:rsid w:val="001935A3"/>
    <w:pPr>
      <w:ind w:left="1440"/>
    </w:pPr>
    <w:rPr>
      <w:rFonts w:asciiTheme="minorHAnsi" w:eastAsiaTheme="minorHAnsi" w:hAnsiTheme="minorHAnsi" w:cstheme="minorHAnsi"/>
      <w:sz w:val="20"/>
      <w:szCs w:val="20"/>
      <w:lang w:eastAsia="en-US"/>
    </w:rPr>
  </w:style>
  <w:style w:type="paragraph" w:styleId="TOC8">
    <w:name w:val="toc 8"/>
    <w:basedOn w:val="Normal"/>
    <w:next w:val="Normal"/>
    <w:autoRedefine/>
    <w:uiPriority w:val="39"/>
    <w:semiHidden/>
    <w:unhideWhenUsed/>
    <w:rsid w:val="001935A3"/>
    <w:pPr>
      <w:ind w:left="1680"/>
    </w:pPr>
    <w:rPr>
      <w:rFonts w:asciiTheme="minorHAnsi" w:eastAsiaTheme="minorHAnsi" w:hAnsiTheme="minorHAnsi" w:cstheme="minorHAnsi"/>
      <w:sz w:val="20"/>
      <w:szCs w:val="20"/>
      <w:lang w:eastAsia="en-US"/>
    </w:rPr>
  </w:style>
  <w:style w:type="paragraph" w:styleId="TOC9">
    <w:name w:val="toc 9"/>
    <w:basedOn w:val="Normal"/>
    <w:next w:val="Normal"/>
    <w:autoRedefine/>
    <w:uiPriority w:val="39"/>
    <w:semiHidden/>
    <w:unhideWhenUsed/>
    <w:rsid w:val="001935A3"/>
    <w:pPr>
      <w:ind w:left="1920"/>
    </w:pPr>
    <w:rPr>
      <w:rFonts w:asciiTheme="minorHAnsi" w:eastAsiaTheme="minorHAnsi" w:hAnsiTheme="minorHAnsi" w:cstheme="minorHAnsi"/>
      <w:sz w:val="20"/>
      <w:szCs w:val="20"/>
      <w:lang w:eastAsia="en-US"/>
    </w:rPr>
  </w:style>
  <w:style w:type="character" w:styleId="FollowedHyperlink">
    <w:name w:val="FollowedHyperlink"/>
    <w:basedOn w:val="DefaultParagraphFont"/>
    <w:uiPriority w:val="99"/>
    <w:semiHidden/>
    <w:unhideWhenUsed/>
    <w:rsid w:val="00424173"/>
    <w:rPr>
      <w:color w:val="954F72" w:themeColor="followedHyperlink"/>
      <w:u w:val="single"/>
    </w:rPr>
  </w:style>
  <w:style w:type="character" w:styleId="UnresolvedMention">
    <w:name w:val="Unresolved Mention"/>
    <w:basedOn w:val="DefaultParagraphFont"/>
    <w:uiPriority w:val="99"/>
    <w:semiHidden/>
    <w:unhideWhenUsed/>
    <w:rsid w:val="00424173"/>
    <w:rPr>
      <w:color w:val="605E5C"/>
      <w:shd w:val="clear" w:color="auto" w:fill="E1DFDD"/>
    </w:rPr>
  </w:style>
  <w:style w:type="paragraph" w:styleId="Footer">
    <w:name w:val="footer"/>
    <w:basedOn w:val="Normal"/>
    <w:link w:val="FooterChar"/>
    <w:uiPriority w:val="99"/>
    <w:unhideWhenUsed/>
    <w:rsid w:val="00C46548"/>
    <w:pPr>
      <w:tabs>
        <w:tab w:val="center" w:pos="4513"/>
        <w:tab w:val="right" w:pos="9026"/>
      </w:tabs>
    </w:pPr>
    <w:rPr>
      <w:rFonts w:asciiTheme="minorHAnsi" w:eastAsiaTheme="minorHAnsi" w:hAnsiTheme="minorHAnsi" w:cstheme="minorBidi"/>
      <w:lang w:eastAsia="en-US"/>
    </w:rPr>
  </w:style>
  <w:style w:type="character" w:customStyle="1" w:styleId="FooterChar">
    <w:name w:val="Footer Char"/>
    <w:basedOn w:val="DefaultParagraphFont"/>
    <w:link w:val="Footer"/>
    <w:uiPriority w:val="99"/>
    <w:rsid w:val="00C46548"/>
  </w:style>
  <w:style w:type="character" w:styleId="PageNumber">
    <w:name w:val="page number"/>
    <w:basedOn w:val="DefaultParagraphFont"/>
    <w:uiPriority w:val="99"/>
    <w:semiHidden/>
    <w:unhideWhenUsed/>
    <w:rsid w:val="00C46548"/>
  </w:style>
  <w:style w:type="character" w:customStyle="1" w:styleId="Heading2Char">
    <w:name w:val="Heading 2 Char"/>
    <w:basedOn w:val="DefaultParagraphFont"/>
    <w:link w:val="Heading2"/>
    <w:uiPriority w:val="9"/>
    <w:rsid w:val="001124D2"/>
    <w:rPr>
      <w:rFonts w:asciiTheme="majorHAnsi" w:eastAsiaTheme="majorEastAsia" w:hAnsiTheme="majorHAnsi" w:cstheme="majorBidi"/>
      <w:color w:val="2F5496" w:themeColor="accent1" w:themeShade="BF"/>
      <w:sz w:val="26"/>
      <w:szCs w:val="26"/>
    </w:rPr>
  </w:style>
  <w:style w:type="paragraph" w:styleId="ListParagraph">
    <w:name w:val="List Paragraph"/>
    <w:basedOn w:val="Normal"/>
    <w:uiPriority w:val="34"/>
    <w:qFormat/>
    <w:rsid w:val="001124D2"/>
    <w:pPr>
      <w:ind w:left="720"/>
      <w:contextualSpacing/>
    </w:pPr>
    <w:rPr>
      <w:rFonts w:asciiTheme="minorHAnsi" w:eastAsiaTheme="minorHAnsi" w:hAnsiTheme="minorHAnsi" w:cstheme="minorBidi"/>
      <w:lang w:eastAsia="en-US"/>
    </w:rPr>
  </w:style>
  <w:style w:type="paragraph" w:styleId="FootnoteText">
    <w:name w:val="footnote text"/>
    <w:basedOn w:val="Normal"/>
    <w:link w:val="FootnoteTextChar"/>
    <w:uiPriority w:val="99"/>
    <w:semiHidden/>
    <w:unhideWhenUsed/>
    <w:rsid w:val="005A2A56"/>
    <w:rPr>
      <w:rFonts w:asciiTheme="minorHAnsi" w:eastAsiaTheme="minorHAnsi" w:hAnsiTheme="minorHAnsi" w:cstheme="minorBidi"/>
      <w:sz w:val="20"/>
      <w:szCs w:val="20"/>
      <w:lang w:eastAsia="en-US"/>
    </w:rPr>
  </w:style>
  <w:style w:type="character" w:customStyle="1" w:styleId="FootnoteTextChar">
    <w:name w:val="Footnote Text Char"/>
    <w:basedOn w:val="DefaultParagraphFont"/>
    <w:link w:val="FootnoteText"/>
    <w:uiPriority w:val="99"/>
    <w:semiHidden/>
    <w:rsid w:val="005A2A56"/>
    <w:rPr>
      <w:sz w:val="20"/>
      <w:szCs w:val="20"/>
    </w:rPr>
  </w:style>
  <w:style w:type="character" w:styleId="FootnoteReference">
    <w:name w:val="footnote reference"/>
    <w:basedOn w:val="DefaultParagraphFont"/>
    <w:uiPriority w:val="99"/>
    <w:semiHidden/>
    <w:unhideWhenUsed/>
    <w:rsid w:val="005A2A56"/>
    <w:rPr>
      <w:vertAlign w:val="superscript"/>
    </w:rPr>
  </w:style>
  <w:style w:type="paragraph" w:styleId="Caption">
    <w:name w:val="caption"/>
    <w:basedOn w:val="Normal"/>
    <w:next w:val="Normal"/>
    <w:uiPriority w:val="35"/>
    <w:unhideWhenUsed/>
    <w:qFormat/>
    <w:rsid w:val="005945D3"/>
    <w:pPr>
      <w:spacing w:after="200"/>
    </w:pPr>
    <w:rPr>
      <w:rFonts w:asciiTheme="minorHAnsi" w:eastAsiaTheme="minorHAnsi" w:hAnsiTheme="minorHAnsi" w:cstheme="minorBidi"/>
      <w:i/>
      <w:iCs/>
      <w:color w:val="44546A" w:themeColor="text2"/>
      <w:sz w:val="18"/>
      <w:szCs w:val="18"/>
      <w:lang w:eastAsia="en-US"/>
    </w:rPr>
  </w:style>
  <w:style w:type="character" w:customStyle="1" w:styleId="Heading3Char">
    <w:name w:val="Heading 3 Char"/>
    <w:basedOn w:val="DefaultParagraphFont"/>
    <w:link w:val="Heading3"/>
    <w:uiPriority w:val="9"/>
    <w:rsid w:val="00C11116"/>
    <w:rPr>
      <w:rFonts w:asciiTheme="majorHAnsi" w:eastAsiaTheme="majorEastAsia" w:hAnsiTheme="majorHAnsi" w:cstheme="majorBidi"/>
      <w:color w:val="1F3763" w:themeColor="accent1" w:themeShade="7F"/>
    </w:rPr>
  </w:style>
  <w:style w:type="character" w:customStyle="1" w:styleId="apple-converted-space">
    <w:name w:val="apple-converted-space"/>
    <w:basedOn w:val="DefaultParagraphFont"/>
    <w:rsid w:val="00327902"/>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0" w:type="dxa"/>
        <w:right w:w="0"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0" w:type="dxa"/>
        <w:right w:w="0" w:type="dxa"/>
      </w:tblCellMar>
    </w:tblPr>
  </w:style>
  <w:style w:type="table" w:customStyle="1" w:styleId="ad">
    <w:basedOn w:val="TableNormal"/>
    <w:tblPr>
      <w:tblStyleRowBandSize w:val="1"/>
      <w:tblStyleColBandSize w:val="1"/>
      <w:tblCellMar>
        <w:left w:w="0" w:type="dxa"/>
        <w:right w:w="0" w:type="dxa"/>
      </w:tblCellMar>
    </w:tblPr>
  </w:style>
  <w:style w:type="table" w:customStyle="1" w:styleId="ae">
    <w:basedOn w:val="TableNormal"/>
    <w:tblPr>
      <w:tblStyleRowBandSize w:val="1"/>
      <w:tblStyleColBandSize w:val="1"/>
      <w:tblCellMar>
        <w:left w:w="0" w:type="dxa"/>
        <w:right w:w="0" w:type="dxa"/>
      </w:tblCellMar>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tblPr>
      <w:tblStyleRowBandSize w:val="1"/>
      <w:tblStyleColBandSize w:val="1"/>
      <w:tblCellMar>
        <w:left w:w="115" w:type="dxa"/>
        <w:right w:w="115" w:type="dxa"/>
      </w:tblCellMar>
    </w:tblPr>
  </w:style>
  <w:style w:type="table" w:customStyle="1" w:styleId="af1">
    <w:basedOn w:val="TableNormal"/>
    <w:tblPr>
      <w:tblStyleRowBandSize w:val="1"/>
      <w:tblStyleColBandSize w:val="1"/>
      <w:tblCellMar>
        <w:left w:w="115" w:type="dxa"/>
        <w:right w:w="115" w:type="dxa"/>
      </w:tblCellMar>
    </w:tblPr>
  </w:style>
  <w:style w:type="table" w:customStyle="1" w:styleId="af2">
    <w:basedOn w:val="TableNormal"/>
    <w:tblPr>
      <w:tblStyleRowBandSize w:val="1"/>
      <w:tblStyleColBandSize w:val="1"/>
      <w:tblCellMar>
        <w:left w:w="115" w:type="dxa"/>
        <w:right w:w="115" w:type="dxa"/>
      </w:tblCellMar>
    </w:tblPr>
  </w:style>
  <w:style w:type="table" w:customStyle="1" w:styleId="af3">
    <w:basedOn w:val="TableNormal"/>
    <w:tblPr>
      <w:tblStyleRowBandSize w:val="1"/>
      <w:tblStyleColBandSize w:val="1"/>
      <w:tblCellMar>
        <w:left w:w="115" w:type="dxa"/>
        <w:right w:w="115" w:type="dxa"/>
      </w:tblCellMar>
    </w:tblPr>
  </w:style>
  <w:style w:type="character" w:styleId="CommentReference">
    <w:name w:val="annotation reference"/>
    <w:basedOn w:val="DefaultParagraphFont"/>
    <w:uiPriority w:val="99"/>
    <w:semiHidden/>
    <w:unhideWhenUsed/>
    <w:rsid w:val="00B04BC3"/>
    <w:rPr>
      <w:sz w:val="16"/>
      <w:szCs w:val="16"/>
    </w:rPr>
  </w:style>
  <w:style w:type="paragraph" w:styleId="CommentText">
    <w:name w:val="annotation text"/>
    <w:basedOn w:val="Normal"/>
    <w:link w:val="CommentTextChar"/>
    <w:uiPriority w:val="99"/>
    <w:unhideWhenUsed/>
    <w:rsid w:val="00B04BC3"/>
    <w:rPr>
      <w:sz w:val="20"/>
      <w:szCs w:val="20"/>
    </w:rPr>
  </w:style>
  <w:style w:type="character" w:customStyle="1" w:styleId="CommentTextChar">
    <w:name w:val="Comment Text Char"/>
    <w:basedOn w:val="DefaultParagraphFont"/>
    <w:link w:val="CommentText"/>
    <w:uiPriority w:val="99"/>
    <w:rsid w:val="00B04BC3"/>
    <w:rPr>
      <w:sz w:val="20"/>
      <w:szCs w:val="20"/>
    </w:rPr>
  </w:style>
  <w:style w:type="paragraph" w:styleId="CommentSubject">
    <w:name w:val="annotation subject"/>
    <w:basedOn w:val="CommentText"/>
    <w:next w:val="CommentText"/>
    <w:link w:val="CommentSubjectChar"/>
    <w:uiPriority w:val="99"/>
    <w:semiHidden/>
    <w:unhideWhenUsed/>
    <w:rsid w:val="00B04BC3"/>
    <w:rPr>
      <w:b/>
      <w:bCs/>
    </w:rPr>
  </w:style>
  <w:style w:type="character" w:customStyle="1" w:styleId="CommentSubjectChar">
    <w:name w:val="Comment Subject Char"/>
    <w:basedOn w:val="CommentTextChar"/>
    <w:link w:val="CommentSubject"/>
    <w:uiPriority w:val="99"/>
    <w:semiHidden/>
    <w:rsid w:val="00B04BC3"/>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1263995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k.bogatyreva@gsom.spbu.ru"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s>
</file>

<file path=word/_rels/footnotes.xml.rels><?xml version="1.0" encoding="UTF-8" standalone="yes"?>
<Relationships xmlns="http://schemas.openxmlformats.org/package/2006/relationships"><Relationship Id="rId13" Type="http://schemas.openxmlformats.org/officeDocument/2006/relationships/hyperlink" Target="https://www.transfermarkt.co.uk/championship/startseite/wettbewerb/GB2" TargetMode="External"/><Relationship Id="rId18" Type="http://schemas.openxmlformats.org/officeDocument/2006/relationships/hyperlink" Target="https://www.uefa.com/nationalassociations/uefarankings/club/" TargetMode="External"/><Relationship Id="rId26" Type="http://schemas.openxmlformats.org/officeDocument/2006/relationships/hyperlink" Target="https://www.planetfootball.com/in-depth/derby-scout-explains-clubs-use-stats-identify-analyse-defenders/" TargetMode="External"/><Relationship Id="rId21" Type="http://schemas.openxmlformats.org/officeDocument/2006/relationships/hyperlink" Target="https://bleacherreport.com/articles/865275-manchester-united-and-15-best-supported-clubs-in-world-football" TargetMode="External"/><Relationship Id="rId34" Type="http://schemas.openxmlformats.org/officeDocument/2006/relationships/hyperlink" Target="https://www.transfermarkt.com/chris-smalling/profil/spieler/103427" TargetMode="External"/><Relationship Id="rId7" Type="http://schemas.openxmlformats.org/officeDocument/2006/relationships/hyperlink" Target="https://www.premierleague.com/european-qualification-explained" TargetMode="External"/><Relationship Id="rId12" Type="http://schemas.openxmlformats.org/officeDocument/2006/relationships/hyperlink" Target="https://www.transfermarkt.co.uk/premier-league/startseite/wettbewerb/GB1" TargetMode="External"/><Relationship Id="rId17" Type="http://schemas.openxmlformats.org/officeDocument/2006/relationships/hyperlink" Target="https://www.goal.com/en/news/who-are-premier-league-big-six-top-english-clubs-nickname-explained/130iokmi8t8dt1k3kudou73s1k" TargetMode="External"/><Relationship Id="rId25" Type="http://schemas.openxmlformats.org/officeDocument/2006/relationships/hyperlink" Target="https://earlygame.com/fifa/fifa-ratings-explained-overall-rating" TargetMode="External"/><Relationship Id="rId33" Type="http://schemas.openxmlformats.org/officeDocument/2006/relationships/hyperlink" Target="https://www.transfermarkt.com/chris-mepham/profil/spieler/480987" TargetMode="External"/><Relationship Id="rId38" Type="http://schemas.openxmlformats.org/officeDocument/2006/relationships/hyperlink" Target="https://www.transfermarkt.com/james-ward-prowse/profil/spieler/181579" TargetMode="External"/><Relationship Id="rId2" Type="http://schemas.openxmlformats.org/officeDocument/2006/relationships/hyperlink" Target="https://www.transfermarkt.co.uk/transfers/saisontransfers/statistik/top/plus/0/galerie/0?saison_id=2020&amp;transferfenster=alle&amp;land_id=&amp;ausrichtung=&amp;spielerposition_id=&amp;altersklasse=&amp;leihe=" TargetMode="External"/><Relationship Id="rId16" Type="http://schemas.openxmlformats.org/officeDocument/2006/relationships/hyperlink" Target="https://www.footballbenchmark.com/documents/files/UEFA%20Club%20Licensing%20Benchmarking%20report_2020_FY%202018.pdf" TargetMode="External"/><Relationship Id="rId20" Type="http://schemas.openxmlformats.org/officeDocument/2006/relationships/hyperlink" Target="https://www.transfermarkt.co.uk/statistik/transferrekorde" TargetMode="External"/><Relationship Id="rId29" Type="http://schemas.openxmlformats.org/officeDocument/2006/relationships/hyperlink" Target="https://www.transfermarkt.com/callum-wilson/profil/spieler/123682" TargetMode="External"/><Relationship Id="rId1" Type="http://schemas.openxmlformats.org/officeDocument/2006/relationships/hyperlink" Target="https://www.transfermarkt.co.uk/transfers/einnahmenausgaben/statistik/plus/0?ids=a&amp;sa=&amp;saison_id=2017&amp;saison_id_bis=2021&amp;land_id=&amp;nat=&amp;kontinent_id=&amp;pos=&amp;altersklasse=&amp;w_s=&amp;leihe=&amp;intern=0&amp;plus=0" TargetMode="External"/><Relationship Id="rId6" Type="http://schemas.openxmlformats.org/officeDocument/2006/relationships/hyperlink" Target="https://www.migrationpolicy.org/programs/data-hub/charts/top-25-destinations-international-migrants" TargetMode="External"/><Relationship Id="rId11" Type="http://schemas.openxmlformats.org/officeDocument/2006/relationships/hyperlink" Target="https://www.scoreandchange.com/overview-of-the-2022-2023-championship-sponsors/" TargetMode="External"/><Relationship Id="rId24" Type="http://schemas.openxmlformats.org/officeDocument/2006/relationships/hyperlink" Target="https://fbref.com/en/about/scouting-reports-explained" TargetMode="External"/><Relationship Id="rId32" Type="http://schemas.openxmlformats.org/officeDocument/2006/relationships/hyperlink" Target="https://www.transfermarkt.com/hiroki-ito/profil/spieler/353892" TargetMode="External"/><Relationship Id="rId37" Type="http://schemas.openxmlformats.org/officeDocument/2006/relationships/hyperlink" Target="https://www.transfermarkt.com/declan-rice/profil/spieler/357662" TargetMode="External"/><Relationship Id="rId5" Type="http://schemas.openxmlformats.org/officeDocument/2006/relationships/hyperlink" Target="https://www.macrotrends.net/countries/GBR/united-kingdom/population-growth-rate" TargetMode="External"/><Relationship Id="rId15" Type="http://schemas.openxmlformats.org/officeDocument/2006/relationships/hyperlink" Target="https://www.transfermarkt.com/tottenham-hotspur/mitarbeiter/verein/148" TargetMode="External"/><Relationship Id="rId23" Type="http://schemas.openxmlformats.org/officeDocument/2006/relationships/hyperlink" Target="https://www.transfermarkt.co.uk/manchester-united/transferrekorde/verein/985/saison_id//pos//detailpos/0/w_s//altersklasse//plus/1" TargetMode="External"/><Relationship Id="rId28" Type="http://schemas.openxmlformats.org/officeDocument/2006/relationships/hyperlink" Target="https://www.transfermarkt.com/harry-kane/profil/spieler/132098" TargetMode="External"/><Relationship Id="rId36" Type="http://schemas.openxmlformats.org/officeDocument/2006/relationships/hyperlink" Target="https://www.transfermarkt.com/enzo-le-fee/profil/spieler/633992" TargetMode="External"/><Relationship Id="rId10" Type="http://schemas.openxmlformats.org/officeDocument/2006/relationships/hyperlink" Target="https://www.scoreandchange.com/overview-of-the-2022-2023-premier-league-sponsors/" TargetMode="External"/><Relationship Id="rId19" Type="http://schemas.openxmlformats.org/officeDocument/2006/relationships/hyperlink" Target="https://www.uefa.com/uefachampionsleague/history/winners/finals/" TargetMode="External"/><Relationship Id="rId31" Type="http://schemas.openxmlformats.org/officeDocument/2006/relationships/hyperlink" Target="https://www.transfermarkt.com/willi-orban/profil/spieler/93740" TargetMode="External"/><Relationship Id="rId4" Type="http://schemas.openxmlformats.org/officeDocument/2006/relationships/hyperlink" Target="https://www.transfermarkt.co.uk/statistik/saisontransfers" TargetMode="External"/><Relationship Id="rId9" Type="http://schemas.openxmlformats.org/officeDocument/2006/relationships/hyperlink" Target="https://sqaf.club/premier-league-vs-championship-money/" TargetMode="External"/><Relationship Id="rId14" Type="http://schemas.openxmlformats.org/officeDocument/2006/relationships/hyperlink" Target="https://www.statista.com/statistics/1283927/number-pro-soccer-players-by-country/" TargetMode="External"/><Relationship Id="rId22" Type="http://schemas.openxmlformats.org/officeDocument/2006/relationships/hyperlink" Target="https://ir.manutd.com/company-information/about-manchester-united.aspx" TargetMode="External"/><Relationship Id="rId27" Type="http://schemas.openxmlformats.org/officeDocument/2006/relationships/hyperlink" Target="https://sports.yahoo.com/manchester-uniteds-transfer-budget-only-124234282.html" TargetMode="External"/><Relationship Id="rId30" Type="http://schemas.openxmlformats.org/officeDocument/2006/relationships/hyperlink" Target="https://www.transfermarkt.com/terem-moffi/profil/spieler/538874" TargetMode="External"/><Relationship Id="rId35" Type="http://schemas.openxmlformats.org/officeDocument/2006/relationships/hyperlink" Target="https://www.transfermarkt.com/joshua-kimmich/profil/spieler/161056" TargetMode="External"/><Relationship Id="rId8" Type="http://schemas.openxmlformats.org/officeDocument/2006/relationships/hyperlink" Target="https://www.statista.com/statistics/566666/premier-league-clubs-by-revenue/" TargetMode="External"/><Relationship Id="rId3" Type="http://schemas.openxmlformats.org/officeDocument/2006/relationships/hyperlink" Target="https://www.transfermarkt.co.uk/transfers/saisontransfers/statistik/top/plus/0/galerie/0?saison_id=2021&amp;transferfenste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W94jVfH2NnrtrIETCSmFeS+1APQ==">CgMxLjAyCGguZ2pkZ3hzMgloLjMwajB6bGwyCWguMWZvYjl0ZTIJaC4zem55c2g3MgloLjJldDkycDAyCGgudHlqY3d0MgloLjNkeTZ2a20yCWguMXQzaDVzZjIJaC40ZDM0b2c4MgloLjJzOGV5bzEyCWguMTdkcDh2dTIJaC4zcmRjcmpuMgloLjI2aW4xcmcyCGgubG54Yno5MgloLjM1bmt1bjIyCWguMWtzdjR1djIJaC40NHNpbmlvMgloLjJqeHN4cWgyCGguejMzN3lhMgloLjNqMnFxbTMyCWguMXk4MTB0dzIJaC40aTdvamhwOAByITFkbVNhWVFFNkdlMFNldllabnJJd2pTZENlRkNaNG9qT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77</Pages>
  <Words>26540</Words>
  <Characters>142520</Characters>
  <Application>Microsoft Office Word</Application>
  <DocSecurity>0</DocSecurity>
  <Lines>3098</Lines>
  <Paragraphs>1420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167640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Младенов Даниел Пламенов</dc:creator>
  <cp:lastModifiedBy>Младенов Даниел Пламенов</cp:lastModifiedBy>
  <cp:revision>8</cp:revision>
  <cp:lastPrinted>2023-05-29T14:47:00Z</cp:lastPrinted>
  <dcterms:created xsi:type="dcterms:W3CDTF">2023-05-29T15:02:00Z</dcterms:created>
  <dcterms:modified xsi:type="dcterms:W3CDTF">2023-05-29T15:21:00Z</dcterms:modified>
</cp:coreProperties>
</file>