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70CC" w14:textId="307A8562" w:rsidR="00D76BA5" w:rsidRPr="00D2577C" w:rsidRDefault="00D76BA5" w:rsidP="008C198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2577C">
        <w:rPr>
          <w:rFonts w:eastAsia="Times New Roman" w:cs="Times New Roman"/>
          <w:color w:val="000000"/>
          <w:szCs w:val="24"/>
          <w:lang w:eastAsia="ru-RU"/>
        </w:rPr>
        <w:t>Федеральное государственное бюджетное образовательное</w:t>
      </w:r>
    </w:p>
    <w:p w14:paraId="1D14344D" w14:textId="39A9AABE" w:rsidR="00D76BA5" w:rsidRPr="00D2577C" w:rsidRDefault="00D76BA5" w:rsidP="008C198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2577C">
        <w:rPr>
          <w:rFonts w:eastAsia="Times New Roman" w:cs="Times New Roman"/>
          <w:color w:val="000000"/>
          <w:szCs w:val="24"/>
          <w:lang w:eastAsia="ru-RU"/>
        </w:rPr>
        <w:t>учреждение высшего образования</w:t>
      </w:r>
    </w:p>
    <w:p w14:paraId="3D08196F" w14:textId="77777777" w:rsidR="000B5EE7" w:rsidRPr="00D2577C" w:rsidRDefault="000B5EE7" w:rsidP="008C198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14:paraId="2B2740EB" w14:textId="016E2C60" w:rsidR="00D76BA5" w:rsidRPr="00D2577C" w:rsidRDefault="00D76BA5" w:rsidP="008C198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2577C">
        <w:rPr>
          <w:rFonts w:eastAsia="Times New Roman" w:cs="Times New Roman"/>
          <w:color w:val="000000"/>
          <w:szCs w:val="24"/>
          <w:lang w:eastAsia="ru-RU"/>
        </w:rPr>
        <w:t>Санкт-Петербургский государственный университет</w:t>
      </w:r>
    </w:p>
    <w:p w14:paraId="1BF25423" w14:textId="0D06488B" w:rsidR="00D76BA5" w:rsidRPr="00D2577C" w:rsidRDefault="00D76BA5" w:rsidP="008C198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2577C">
        <w:rPr>
          <w:rFonts w:eastAsia="Times New Roman" w:cs="Times New Roman"/>
          <w:color w:val="000000"/>
          <w:szCs w:val="24"/>
          <w:lang w:eastAsia="ru-RU"/>
        </w:rPr>
        <w:t>Институт «Высшая школа менеджмента»</w:t>
      </w:r>
    </w:p>
    <w:p w14:paraId="3A92713F" w14:textId="77777777" w:rsidR="00D76BA5" w:rsidRPr="00D508B0" w:rsidRDefault="00D76BA5" w:rsidP="00D76BA5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1F0F5003" w14:textId="77777777" w:rsidR="00D76BA5" w:rsidRPr="00D508B0" w:rsidRDefault="00D76BA5" w:rsidP="00D76BA5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09CFD5A" w14:textId="05847728" w:rsidR="00D76BA5" w:rsidRDefault="00D76BA5" w:rsidP="006E329F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1B01C8B" w14:textId="77777777" w:rsidR="00D76BA5" w:rsidRPr="00D508B0" w:rsidRDefault="00D76BA5" w:rsidP="00D76BA5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1C43D8D7" w14:textId="5695BCC8" w:rsidR="00D76BA5" w:rsidRPr="00D76BA5" w:rsidRDefault="00D76BA5" w:rsidP="00D76BA5">
      <w:pPr>
        <w:spacing w:after="0" w:line="240" w:lineRule="auto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 xml:space="preserve">СТРУКТУРА СОВЕТА ДИРЕКТОРОВ И РЕЗУЛЬТАТИВНОСТЬ ДЕЯТЕЛЬНОСТИ: </w:t>
      </w:r>
      <w:r w:rsidRPr="00D76BA5">
        <w:rPr>
          <w:rFonts w:cs="Times New Roman"/>
          <w:b/>
          <w:sz w:val="32"/>
          <w:szCs w:val="36"/>
        </w:rPr>
        <w:t>ИССЛЕДОВАНИЕ РОССИЙСКИХ КОМПАНИЙ С ГОСУДАРСТВЕННЫМ</w:t>
      </w:r>
    </w:p>
    <w:p w14:paraId="71E2697F" w14:textId="7E00B844" w:rsidR="00D76BA5" w:rsidRPr="00D76BA5" w:rsidRDefault="00D76BA5" w:rsidP="00D76BA5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6"/>
          <w:lang w:eastAsia="ru-RU"/>
        </w:rPr>
      </w:pPr>
      <w:r w:rsidRPr="00D76BA5">
        <w:rPr>
          <w:rFonts w:cs="Times New Roman"/>
          <w:b/>
          <w:sz w:val="32"/>
          <w:szCs w:val="36"/>
        </w:rPr>
        <w:t>УЧАСТИЕМ</w:t>
      </w:r>
    </w:p>
    <w:p w14:paraId="15F63296" w14:textId="64B1AC4D" w:rsidR="00D76BA5" w:rsidRPr="00D508B0" w:rsidRDefault="00D76BA5" w:rsidP="00D76BA5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F416E62" w14:textId="7770FA87" w:rsidR="00D76BA5" w:rsidRPr="00D508B0" w:rsidRDefault="00D76BA5" w:rsidP="00D76BA5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</w:p>
    <w:p w14:paraId="6C3487C2" w14:textId="1BDB2277" w:rsidR="00D76BA5" w:rsidRPr="00D508B0" w:rsidRDefault="00D76BA5" w:rsidP="00D76BA5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</w:p>
    <w:p w14:paraId="36490C5F" w14:textId="501D8AC0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Выпускная квалификационная работа студентки 4 курса направление 38.03.02 – Менеджмент, шифр образовательной программы СВ.5070.201</w:t>
      </w:r>
      <w:r w:rsidR="00620913" w:rsidRPr="009B4488">
        <w:rPr>
          <w:rFonts w:eastAsia="Times New Roman" w:cs="Times New Roman"/>
          <w:color w:val="000000"/>
          <w:szCs w:val="24"/>
          <w:lang w:eastAsia="ru-RU"/>
        </w:rPr>
        <w:t>9</w:t>
      </w:r>
    </w:p>
    <w:p w14:paraId="2B6C6BC2" w14:textId="4DFF25BA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796EC3BF" w14:textId="75E79E55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B4488">
        <w:rPr>
          <w:rFonts w:eastAsia="Times New Roman" w:cs="Times New Roman"/>
          <w:b/>
          <w:bCs/>
          <w:color w:val="000000"/>
          <w:szCs w:val="24"/>
          <w:lang w:eastAsia="ru-RU"/>
        </w:rPr>
        <w:t>УТКИНОЙ Дианы Дмитриевны</w:t>
      </w:r>
    </w:p>
    <w:p w14:paraId="3E943597" w14:textId="7C9F2BF4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__________________________</w:t>
      </w:r>
    </w:p>
    <w:p w14:paraId="56D8B793" w14:textId="77777777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53075473" w14:textId="77777777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 xml:space="preserve">Научный руководитель: к.э.н., доцент </w:t>
      </w:r>
    </w:p>
    <w:p w14:paraId="5B3F95A5" w14:textId="58E353A0" w:rsidR="00D76BA5" w:rsidRPr="009B4488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Кафедр</w:t>
      </w:r>
      <w:r w:rsidR="00620913" w:rsidRPr="009B4488">
        <w:rPr>
          <w:rFonts w:eastAsia="Times New Roman" w:cs="Times New Roman"/>
          <w:color w:val="000000"/>
          <w:szCs w:val="24"/>
          <w:lang w:eastAsia="ru-RU"/>
        </w:rPr>
        <w:t>ы</w:t>
      </w:r>
      <w:r w:rsidRPr="009B4488">
        <w:rPr>
          <w:rFonts w:eastAsia="Times New Roman" w:cs="Times New Roman"/>
          <w:color w:val="000000"/>
          <w:szCs w:val="24"/>
          <w:lang w:eastAsia="ru-RU"/>
        </w:rPr>
        <w:t xml:space="preserve"> финансов и учета</w:t>
      </w:r>
    </w:p>
    <w:p w14:paraId="315CBAED" w14:textId="3DA56EDB" w:rsidR="00D76BA5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ИЛЬИНА Юлия Борисовна</w:t>
      </w:r>
    </w:p>
    <w:p w14:paraId="0E9A8D8C" w14:textId="3878CFA5" w:rsidR="009B4488" w:rsidRPr="009B4488" w:rsidRDefault="009B4488" w:rsidP="009B4488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__________________________</w:t>
      </w:r>
    </w:p>
    <w:p w14:paraId="6BA968E4" w14:textId="77777777" w:rsidR="009B4488" w:rsidRDefault="009B4488" w:rsidP="009B4488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1D40FE3F" w14:textId="640A9C61" w:rsidR="009B4488" w:rsidRPr="009B4488" w:rsidRDefault="009B4488" w:rsidP="009B4488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 xml:space="preserve">Рецензент: </w:t>
      </w:r>
      <w:r w:rsidR="00D2577C">
        <w:rPr>
          <w:rFonts w:eastAsia="Times New Roman" w:cs="Times New Roman"/>
          <w:color w:val="000000"/>
          <w:szCs w:val="24"/>
          <w:lang w:eastAsia="ru-RU"/>
        </w:rPr>
        <w:t>д.</w:t>
      </w:r>
      <w:r w:rsidRPr="009B4488">
        <w:rPr>
          <w:rFonts w:eastAsia="Times New Roman" w:cs="Times New Roman"/>
          <w:color w:val="000000"/>
          <w:szCs w:val="24"/>
          <w:lang w:eastAsia="ru-RU"/>
        </w:rPr>
        <w:t xml:space="preserve">э.н.,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профессор </w:t>
      </w:r>
    </w:p>
    <w:p w14:paraId="61667CA5" w14:textId="4D09A359" w:rsidR="009B4488" w:rsidRPr="009B4488" w:rsidRDefault="009B4488" w:rsidP="009B4488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Кафедр</w:t>
      </w:r>
      <w:r w:rsidR="00D2577C">
        <w:rPr>
          <w:rFonts w:eastAsia="Times New Roman" w:cs="Times New Roman"/>
          <w:color w:val="000000"/>
          <w:szCs w:val="24"/>
          <w:lang w:eastAsia="ru-RU"/>
        </w:rPr>
        <w:t>ы</w:t>
      </w:r>
      <w:r w:rsidRPr="009B4488">
        <w:rPr>
          <w:rFonts w:eastAsia="Times New Roman" w:cs="Times New Roman"/>
          <w:color w:val="000000"/>
          <w:szCs w:val="24"/>
          <w:lang w:eastAsia="ru-RU"/>
        </w:rPr>
        <w:t xml:space="preserve"> финансов и учета</w:t>
      </w:r>
    </w:p>
    <w:p w14:paraId="33C8A3E7" w14:textId="7085A24D" w:rsidR="009B4488" w:rsidRPr="009B4488" w:rsidRDefault="009B4488" w:rsidP="009B4488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РОГОВА Елена Моисеевна </w:t>
      </w:r>
    </w:p>
    <w:p w14:paraId="4D7BE3B9" w14:textId="13F6E2EE" w:rsidR="00D76BA5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__________________________</w:t>
      </w:r>
    </w:p>
    <w:p w14:paraId="016C8D72" w14:textId="77777777" w:rsidR="009B4488" w:rsidRPr="009B4488" w:rsidRDefault="009B4488" w:rsidP="00951F77">
      <w:pPr>
        <w:spacing w:after="0"/>
        <w:ind w:left="4365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24DC10F1" w14:textId="77777777" w:rsidR="00D76BA5" w:rsidRDefault="00D76BA5" w:rsidP="00951F77">
      <w:pPr>
        <w:spacing w:after="0"/>
        <w:ind w:left="4365"/>
        <w:jc w:val="left"/>
        <w:rPr>
          <w:rFonts w:eastAsia="Times New Roman" w:cs="Times New Roman"/>
          <w:color w:val="000000"/>
          <w:sz w:val="28"/>
          <w:szCs w:val="27"/>
          <w:lang w:eastAsia="ru-RU"/>
        </w:rPr>
      </w:pPr>
    </w:p>
    <w:p w14:paraId="0D261A17" w14:textId="77777777" w:rsidR="00D2577C" w:rsidRDefault="00D2577C" w:rsidP="00D76BA5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</w:p>
    <w:p w14:paraId="112DB180" w14:textId="77777777" w:rsidR="00D76BA5" w:rsidRPr="00D508B0" w:rsidRDefault="00D76BA5" w:rsidP="00D76BA5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8FFADB6" w14:textId="77777777" w:rsidR="00D76BA5" w:rsidRPr="009B4488" w:rsidRDefault="00D76BA5" w:rsidP="00D76B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Санкт-Петербург</w:t>
      </w:r>
    </w:p>
    <w:p w14:paraId="13B7F30A" w14:textId="7B596B97" w:rsidR="00D76BA5" w:rsidRPr="009B4488" w:rsidRDefault="00D76BA5" w:rsidP="00D76B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4488">
        <w:rPr>
          <w:rFonts w:eastAsia="Times New Roman" w:cs="Times New Roman"/>
          <w:color w:val="000000"/>
          <w:szCs w:val="24"/>
          <w:lang w:eastAsia="ru-RU"/>
        </w:rPr>
        <w:t>202</w:t>
      </w:r>
      <w:r w:rsidR="00A37B9D" w:rsidRPr="009B4488">
        <w:rPr>
          <w:rFonts w:eastAsia="Times New Roman" w:cs="Times New Roman"/>
          <w:color w:val="000000"/>
          <w:szCs w:val="24"/>
          <w:lang w:eastAsia="ru-RU"/>
        </w:rPr>
        <w:t>3</w:t>
      </w:r>
    </w:p>
    <w:p w14:paraId="7CAC3813" w14:textId="77777777" w:rsidR="00662C86" w:rsidRDefault="00662C86" w:rsidP="00D76BA5">
      <w:pPr>
        <w:spacing w:after="0"/>
        <w:ind w:firstLine="709"/>
        <w:jc w:val="center"/>
        <w:rPr>
          <w:rFonts w:cs="Times New Roman"/>
          <w:b/>
          <w:szCs w:val="24"/>
        </w:rPr>
        <w:sectPr w:rsidR="00662C86" w:rsidSect="00662C8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F38AE5" w14:textId="77777777" w:rsidR="00D76BA5" w:rsidRPr="00FB5B48" w:rsidRDefault="00D76BA5" w:rsidP="00D76BA5">
      <w:pPr>
        <w:spacing w:after="0"/>
        <w:ind w:firstLine="709"/>
        <w:jc w:val="center"/>
        <w:rPr>
          <w:rFonts w:cs="Times New Roman"/>
          <w:b/>
          <w:szCs w:val="24"/>
        </w:rPr>
      </w:pPr>
      <w:r w:rsidRPr="00FB5B48">
        <w:rPr>
          <w:rFonts w:cs="Times New Roman"/>
          <w:b/>
          <w:szCs w:val="24"/>
        </w:rPr>
        <w:lastRenderedPageBreak/>
        <w:t>Заявление о самостоятельном выполнении выпускной квалификационной работы</w:t>
      </w:r>
    </w:p>
    <w:p w14:paraId="7485C60B" w14:textId="611AF702" w:rsidR="008C1985" w:rsidRDefault="00D76BA5" w:rsidP="00D97FCF">
      <w:pPr>
        <w:pStyle w:val="aff0"/>
      </w:pPr>
      <w:r w:rsidRPr="00FB5B48">
        <w:t xml:space="preserve"> Я, </w:t>
      </w:r>
      <w:r>
        <w:t>Уткина Диана Дмитриевна</w:t>
      </w:r>
      <w:r w:rsidRPr="00FB5B48">
        <w:t>, студентка 4 курса направления</w:t>
      </w:r>
      <w:r w:rsidR="00B31308">
        <w:t xml:space="preserve"> 38.03.02</w:t>
      </w:r>
      <w:r w:rsidRPr="00FB5B48">
        <w:t xml:space="preserve"> «Менеджмент» (профиль подготовки – Финансовый менеджмент), заявляю, что в моей выпускной квалификационной работе на тему «</w:t>
      </w:r>
      <w:r w:rsidRPr="00D76BA5">
        <w:t>Структура совета директоров и результативность деятельности:</w:t>
      </w:r>
      <w:r>
        <w:t xml:space="preserve"> </w:t>
      </w:r>
      <w:r w:rsidRPr="00D76BA5">
        <w:t>исследование российских компаний с государственным</w:t>
      </w:r>
      <w:r>
        <w:t xml:space="preserve"> </w:t>
      </w:r>
      <w:r w:rsidRPr="00D76BA5">
        <w:t>участием</w:t>
      </w:r>
      <w:r w:rsidRPr="00FB5B48">
        <w:t xml:space="preserve">», представленной в службу обеспечения программ бакалавриата для последующей передачи в государственную аттестационную комиссию для публичной защиты, не содержится элементов плагиата. Все прямые заимствования из печатных и </w:t>
      </w:r>
      <w:r w:rsidRPr="00627EC3">
        <w:t xml:space="preserve">электронных источников, а также из защищённых ранее курсовых и выпускных квалификационных работ, кандидатских и докторских диссертаций имеют соответствующие ссылки. </w:t>
      </w:r>
    </w:p>
    <w:p w14:paraId="1CA6C05F" w14:textId="29C22BB5" w:rsidR="00D76BA5" w:rsidRPr="00627EC3" w:rsidRDefault="005B51DB" w:rsidP="00D97FCF">
      <w:pPr>
        <w:pStyle w:val="aff0"/>
      </w:pPr>
      <w:r>
        <w:rPr>
          <w:rFonts w:eastAsia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6188F42C" wp14:editId="40A95F89">
            <wp:simplePos x="0" y="0"/>
            <wp:positionH relativeFrom="column">
              <wp:posOffset>0</wp:posOffset>
            </wp:positionH>
            <wp:positionV relativeFrom="paragraph">
              <wp:posOffset>1958975</wp:posOffset>
            </wp:positionV>
            <wp:extent cx="851096" cy="851096"/>
            <wp:effectExtent l="0" t="0" r="0" b="0"/>
            <wp:wrapNone/>
            <wp:docPr id="2" name="Рисунок 2" descr="Изображение выглядит как тем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мный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96" cy="85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A5" w:rsidRPr="00627EC3">
        <w:t>Мне известно содержание п. 9.7.1 Правил обучения по основным образовательным программам высшего и среднего профессионального образования в СПбГУ о том, что «ВКР выполняется индивидуально каждым студентом под руководством назначенного ему научного руководителя», и п. 51 Устава федерального государственного бюджетного образовательного учреждения высшего профессионального образования «</w:t>
      </w:r>
      <w:r w:rsidR="00483536" w:rsidRPr="00627EC3">
        <w:t>Санкт-Петербургский</w:t>
      </w:r>
      <w:r w:rsidR="00D76BA5" w:rsidRPr="00627EC3">
        <w:t xml:space="preserve">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(лицами)».</w:t>
      </w:r>
    </w:p>
    <w:p w14:paraId="442EAB91" w14:textId="47D3C83B" w:rsidR="00D76BA5" w:rsidRPr="00627EC3" w:rsidRDefault="00D76BA5" w:rsidP="00D76BA5">
      <w:pPr>
        <w:spacing w:after="0"/>
        <w:ind w:firstLine="709"/>
        <w:rPr>
          <w:rFonts w:cs="Times New Roman"/>
          <w:szCs w:val="24"/>
        </w:rPr>
      </w:pPr>
    </w:p>
    <w:p w14:paraId="4D78B636" w14:textId="0F1B6A1A" w:rsidR="00D76BA5" w:rsidRPr="00627EC3" w:rsidRDefault="00D76BA5" w:rsidP="00D76BA5">
      <w:pPr>
        <w:spacing w:after="0"/>
        <w:rPr>
          <w:rFonts w:cs="Times New Roman"/>
          <w:szCs w:val="24"/>
        </w:rPr>
      </w:pPr>
      <w:r w:rsidRPr="00627EC3">
        <w:rPr>
          <w:rFonts w:cs="Times New Roman"/>
          <w:szCs w:val="24"/>
        </w:rPr>
        <w:t xml:space="preserve">____________________________________ (Подпись студента) </w:t>
      </w:r>
    </w:p>
    <w:p w14:paraId="2AF31BF9" w14:textId="77777777" w:rsidR="00D76BA5" w:rsidRPr="00627EC3" w:rsidRDefault="00D76BA5" w:rsidP="00D76BA5">
      <w:pPr>
        <w:spacing w:after="0"/>
        <w:rPr>
          <w:rFonts w:cs="Times New Roman"/>
          <w:szCs w:val="24"/>
        </w:rPr>
      </w:pPr>
    </w:p>
    <w:p w14:paraId="4B84D794" w14:textId="3D80B763" w:rsidR="00D76BA5" w:rsidRPr="00627EC3" w:rsidRDefault="005B51DB" w:rsidP="00D76BA5">
      <w:pPr>
        <w:spacing w:after="0"/>
        <w:rPr>
          <w:rFonts w:cs="Times New Roman"/>
          <w:szCs w:val="24"/>
        </w:rPr>
      </w:pPr>
      <w:r w:rsidRPr="005B51DB">
        <w:rPr>
          <w:rFonts w:cs="Times New Roman"/>
          <w:szCs w:val="24"/>
          <w:u w:val="single"/>
        </w:rPr>
        <w:t xml:space="preserve">     26.05.2023                                                   </w:t>
      </w:r>
      <w:proofErr w:type="gramStart"/>
      <w:r w:rsidRPr="005B51DB">
        <w:rPr>
          <w:rFonts w:cs="Times New Roman"/>
          <w:szCs w:val="24"/>
          <w:u w:val="single"/>
        </w:rPr>
        <w:t xml:space="preserve">   </w:t>
      </w:r>
      <w:r w:rsidRPr="00627EC3">
        <w:rPr>
          <w:rFonts w:cs="Times New Roman"/>
          <w:szCs w:val="24"/>
        </w:rPr>
        <w:t>(</w:t>
      </w:r>
      <w:proofErr w:type="gramEnd"/>
      <w:r w:rsidR="00D76BA5" w:rsidRPr="00627EC3">
        <w:rPr>
          <w:rFonts w:cs="Times New Roman"/>
          <w:szCs w:val="24"/>
        </w:rPr>
        <w:t>Дата)</w:t>
      </w:r>
    </w:p>
    <w:p w14:paraId="424F247A" w14:textId="77777777" w:rsidR="005E0750" w:rsidRDefault="005E0750"/>
    <w:p w14:paraId="713742BF" w14:textId="77777777" w:rsidR="00D76BA5" w:rsidRDefault="00D76BA5"/>
    <w:p w14:paraId="70087ED6" w14:textId="77777777" w:rsidR="00D76BA5" w:rsidRDefault="00D76BA5"/>
    <w:p w14:paraId="10F6D5DA" w14:textId="7344B8C4" w:rsidR="00D76BA5" w:rsidRDefault="00D76BA5"/>
    <w:p w14:paraId="2E7123A0" w14:textId="457084AC" w:rsidR="006E329F" w:rsidRDefault="006E329F"/>
    <w:p w14:paraId="7B498773" w14:textId="77777777" w:rsidR="00662C86" w:rsidRDefault="00662C86">
      <w:pPr>
        <w:sectPr w:rsidR="00662C86" w:rsidSect="00662C8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eastAsiaTheme="minorHAnsi" w:cstheme="minorBidi"/>
          <w:bCs w:val="0"/>
          <w:caps w:val="0"/>
          <w:color w:val="auto"/>
          <w:szCs w:val="22"/>
          <w:lang w:eastAsia="en-US"/>
        </w:rPr>
        <w:id w:val="-123932422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C8424EF" w14:textId="64D8795B" w:rsidR="004F41A3" w:rsidRPr="00D21224" w:rsidRDefault="004F41A3">
          <w:pPr>
            <w:pStyle w:val="a7"/>
            <w:rPr>
              <w:b/>
              <w:bCs w:val="0"/>
            </w:rPr>
          </w:pPr>
          <w:r w:rsidRPr="00D21224">
            <w:rPr>
              <w:b/>
              <w:bCs w:val="0"/>
            </w:rPr>
            <w:t>Оглавление</w:t>
          </w:r>
        </w:p>
        <w:p w14:paraId="321CA923" w14:textId="7AAD7697" w:rsidR="00163096" w:rsidRDefault="004F41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001532" w:history="1">
            <w:r w:rsidR="00163096" w:rsidRPr="00EE09E2">
              <w:rPr>
                <w:rStyle w:val="a8"/>
                <w:noProof/>
              </w:rPr>
              <w:t>Введение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_Toc136001532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4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10917B76" w14:textId="2517BB9A" w:rsidR="0016309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3" w:history="1">
            <w:r w:rsidR="00163096" w:rsidRPr="00EE09E2">
              <w:rPr>
                <w:rStyle w:val="a8"/>
                <w:noProof/>
              </w:rPr>
              <w:t>ГЛАВА 1. СОВЕТ ДИРЕКТОРОВ В КОМПАНИЯХ С ГОСУДАРСТВЕННЫМ УЧАСТИЕМ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_Toc136001533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7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383A05E1" w14:textId="4B1F7B7A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4" w:history="1">
            <w:r w:rsidR="00163096" w:rsidRPr="00EE09E2">
              <w:rPr>
                <w:rStyle w:val="a8"/>
                <w:noProof/>
              </w:rPr>
              <w:t>1.1 Корпоративное управление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_Toc136001534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7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2500626E" w14:textId="32AF34FF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5" w:history="1">
            <w:r w:rsidR="00163096" w:rsidRPr="00EE09E2">
              <w:rPr>
                <w:rStyle w:val="a8"/>
                <w:noProof/>
              </w:rPr>
              <w:t>1.2 Институт совета директоров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_Toc136001535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9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1ACCD9B3" w14:textId="66A2D74E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6" w:history="1">
            <w:r w:rsidR="00163096" w:rsidRPr="00EE09E2">
              <w:rPr>
                <w:rStyle w:val="a8"/>
                <w:noProof/>
              </w:rPr>
              <w:t>1.3 Особенности компаний с государственным участием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_Toc136001536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12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3FC8634C" w14:textId="690928A9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7" w:history="1">
            <w:r w:rsidR="00163096" w:rsidRPr="00EE09E2">
              <w:rPr>
                <w:rStyle w:val="a8"/>
                <w:noProof/>
              </w:rPr>
              <w:t>1.4 Институт совета директоров в компаниях с государственным участием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_Toc136001537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16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05962817" w14:textId="3E8FB787" w:rsidR="0016309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8" w:history="1">
            <w:r w:rsidR="00163096" w:rsidRPr="00EE09E2">
              <w:rPr>
                <w:rStyle w:val="a8"/>
                <w:noProof/>
              </w:rPr>
              <w:t>ГЛАВА 2. ОБЗОР ИССЛЕДОВАНИЙ О ВЗАИМОСВЯЗИ ХАРАКТЕРИСТИК СОВЕТОВ ДИРЕКТОРОВ И ФИНАНСОВОЙ РЕЗУЛЬТАТИВНОСТИ КОМПАНИЙ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_Toc136001538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23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6C8CA6C9" w14:textId="0854C6ED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39" w:history="1">
            <w:r w:rsidR="00163096" w:rsidRPr="00EE09E2">
              <w:rPr>
                <w:rStyle w:val="a8"/>
                <w:noProof/>
              </w:rPr>
              <w:t>2.1 Совет директоров и финансовая результативность компаний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_Toc136001539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23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6AE76235" w14:textId="45570D4B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0" w:history="1">
            <w:r w:rsidR="00163096" w:rsidRPr="00EE09E2">
              <w:rPr>
                <w:rStyle w:val="a8"/>
                <w:noProof/>
              </w:rPr>
              <w:t>2.2 Гипотезы исследования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_Toc136001540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27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49AF6864" w14:textId="21B7D600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1" w:history="1">
            <w:r w:rsidR="00163096" w:rsidRPr="00EE09E2">
              <w:rPr>
                <w:rStyle w:val="a8"/>
                <w:noProof/>
              </w:rPr>
              <w:t>2.2.1 Размер совета директоров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_Toc136001541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27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694495C6" w14:textId="0C378DBC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2" w:history="1">
            <w:r w:rsidR="00163096" w:rsidRPr="00EE09E2">
              <w:rPr>
                <w:rStyle w:val="a8"/>
                <w:noProof/>
              </w:rPr>
              <w:t>2.2.2 Независимые директора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_Toc136001542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29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0732B7C8" w14:textId="6B2E779B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3" w:history="1">
            <w:r w:rsidR="00163096" w:rsidRPr="00EE09E2">
              <w:rPr>
                <w:rStyle w:val="a8"/>
                <w:noProof/>
              </w:rPr>
              <w:t>2.2.3 Исполнительные директора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_Toc136001543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30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3FC127E2" w14:textId="3F3A28F1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4" w:history="1">
            <w:r w:rsidR="00163096" w:rsidRPr="00EE09E2">
              <w:rPr>
                <w:rStyle w:val="a8"/>
                <w:noProof/>
              </w:rPr>
              <w:t>2.2.4 Гендерное разнообразие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_Toc136001544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32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7023D3BA" w14:textId="20AEE797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5" w:history="1">
            <w:r w:rsidR="00163096" w:rsidRPr="00EE09E2">
              <w:rPr>
                <w:rStyle w:val="a8"/>
                <w:noProof/>
              </w:rPr>
              <w:t>2.2.5 Государственные служащие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_Toc136001545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33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297E837A" w14:textId="6EFE0096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6" w:history="1">
            <w:r w:rsidR="00163096" w:rsidRPr="00EE09E2">
              <w:rPr>
                <w:rStyle w:val="a8"/>
                <w:noProof/>
              </w:rPr>
              <w:t>2.2.6 Множественность директорский позиций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_Toc136001546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35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7586B15D" w14:textId="5B113C28" w:rsidR="00163096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7" w:history="1">
            <w:r w:rsidR="00163096" w:rsidRPr="00EE09E2">
              <w:rPr>
                <w:rStyle w:val="a8"/>
                <w:noProof/>
              </w:rPr>
              <w:t>2.2.7 Вовлеченность в экологическую и социальную деятельность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_Toc136001547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36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4B4F3904" w14:textId="02EC3072" w:rsidR="0016309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8" w:history="1">
            <w:r w:rsidR="00163096" w:rsidRPr="00EE09E2">
              <w:rPr>
                <w:rStyle w:val="a8"/>
                <w:noProof/>
              </w:rPr>
              <w:t>ГЛАВА 3. ЭМПИРИЧЕСКОЕ ИССЛЕДОВАНИЕ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_Toc136001548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38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394B2E96" w14:textId="54C72FB0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49" w:history="1">
            <w:r w:rsidR="00163096" w:rsidRPr="00EE09E2">
              <w:rPr>
                <w:rStyle w:val="a8"/>
                <w:noProof/>
              </w:rPr>
              <w:t>3.1 Методология исследования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_Toc136001549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38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14470C0F" w14:textId="77681E60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50" w:history="1">
            <w:r w:rsidR="00163096" w:rsidRPr="00EE09E2">
              <w:rPr>
                <w:rStyle w:val="a8"/>
                <w:noProof/>
              </w:rPr>
              <w:t>3.2 Формирование выборки и описательная статистика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_Toc136001550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40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04A64D95" w14:textId="61D3D50C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51" w:history="1">
            <w:r w:rsidR="00163096" w:rsidRPr="00EE09E2">
              <w:rPr>
                <w:rStyle w:val="a8"/>
                <w:noProof/>
              </w:rPr>
              <w:t>3.3 Результаты регрессионного анализа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_Toc136001551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48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7AFAEE18" w14:textId="36D05761" w:rsidR="00163096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52" w:history="1">
            <w:r w:rsidR="00163096" w:rsidRPr="00EE09E2">
              <w:rPr>
                <w:rStyle w:val="a8"/>
                <w:noProof/>
              </w:rPr>
              <w:t>3.4 Обсуждение полученных результатов и управленческие приложения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_Toc136001552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51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078D0BED" w14:textId="20148FCA" w:rsidR="0016309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53" w:history="1">
            <w:r w:rsidR="00163096" w:rsidRPr="00EE09E2">
              <w:rPr>
                <w:rStyle w:val="a8"/>
                <w:noProof/>
              </w:rPr>
              <w:t>Заключение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_Toc136001553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59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490F4AA7" w14:textId="749B29AB" w:rsidR="0016309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54" w:history="1">
            <w:r w:rsidR="00163096" w:rsidRPr="00EE09E2">
              <w:rPr>
                <w:rStyle w:val="a8"/>
                <w:noProof/>
              </w:rPr>
              <w:t>Список использованной литературы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_Toc136001554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61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6AAFD46A" w14:textId="71D02A2B" w:rsidR="0016309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6001555" w:history="1">
            <w:r w:rsidR="00163096" w:rsidRPr="00EE09E2">
              <w:rPr>
                <w:rStyle w:val="a8"/>
                <w:noProof/>
              </w:rPr>
              <w:t>Приложения</w:t>
            </w:r>
            <w:r w:rsidR="00163096">
              <w:rPr>
                <w:noProof/>
                <w:webHidden/>
              </w:rPr>
              <w:tab/>
            </w:r>
            <w:r w:rsidR="00163096">
              <w:rPr>
                <w:noProof/>
                <w:webHidden/>
              </w:rPr>
              <w:fldChar w:fldCharType="begin"/>
            </w:r>
            <w:r w:rsidR="00163096">
              <w:rPr>
                <w:noProof/>
                <w:webHidden/>
              </w:rPr>
              <w:instrText xml:space="preserve"> PAGEREF _Toc136001555 \h </w:instrText>
            </w:r>
            <w:r w:rsidR="00163096">
              <w:rPr>
                <w:noProof/>
                <w:webHidden/>
              </w:rPr>
            </w:r>
            <w:r w:rsidR="00163096">
              <w:rPr>
                <w:noProof/>
                <w:webHidden/>
              </w:rPr>
              <w:fldChar w:fldCharType="separate"/>
            </w:r>
            <w:r w:rsidR="00970971">
              <w:rPr>
                <w:noProof/>
                <w:webHidden/>
              </w:rPr>
              <w:t>71</w:t>
            </w:r>
            <w:r w:rsidR="00163096">
              <w:rPr>
                <w:noProof/>
                <w:webHidden/>
              </w:rPr>
              <w:fldChar w:fldCharType="end"/>
            </w:r>
          </w:hyperlink>
        </w:p>
        <w:p w14:paraId="66BB7C12" w14:textId="7674C7FD" w:rsidR="00D76BA5" w:rsidRDefault="004F41A3">
          <w:r>
            <w:rPr>
              <w:b/>
              <w:bCs/>
            </w:rPr>
            <w:fldChar w:fldCharType="end"/>
          </w:r>
        </w:p>
      </w:sdtContent>
    </w:sdt>
    <w:p w14:paraId="2F4B6864" w14:textId="77777777" w:rsidR="00D76BA5" w:rsidRDefault="00D76BA5" w:rsidP="0062070C">
      <w:pPr>
        <w:pStyle w:val="1"/>
      </w:pPr>
      <w:bookmarkStart w:id="0" w:name="_Toc136001532"/>
      <w:r>
        <w:lastRenderedPageBreak/>
        <w:t>Введение</w:t>
      </w:r>
      <w:bookmarkEnd w:id="0"/>
      <w:r>
        <w:t xml:space="preserve"> </w:t>
      </w:r>
    </w:p>
    <w:p w14:paraId="0584EE43" w14:textId="031C070D" w:rsidR="007207DD" w:rsidRPr="00527C3E" w:rsidRDefault="007207DD" w:rsidP="00D97FCF">
      <w:pPr>
        <w:pStyle w:val="aff0"/>
        <w:rPr>
          <w:color w:val="000000" w:themeColor="text1"/>
          <w:shd w:val="clear" w:color="auto" w:fill="FFFFFF"/>
        </w:rPr>
      </w:pPr>
      <w:r w:rsidRPr="00915450">
        <w:t xml:space="preserve">В условиях глобализации, возросших геополитических рисков, постоянной цифровой трансформации, требующей гибкости и ежедневных изменений, усложняющихся экономических процессов и </w:t>
      </w:r>
      <w:r>
        <w:t>других факторов, с которыми</w:t>
      </w:r>
      <w:r w:rsidRPr="00915450">
        <w:t xml:space="preserve"> сталкивается современная Россия, устойчивое развитие </w:t>
      </w:r>
      <w:r w:rsidR="001A3B6D">
        <w:t>компани</w:t>
      </w:r>
      <w:r w:rsidR="006D5168">
        <w:t>и</w:t>
      </w:r>
      <w:r w:rsidR="001A3B6D">
        <w:t xml:space="preserve"> </w:t>
      </w:r>
      <w:r w:rsidRPr="00915450">
        <w:t>требует совершенствования корпоративного управления</w:t>
      </w:r>
      <w:r>
        <w:rPr>
          <w:rStyle w:val="ac"/>
        </w:rPr>
        <w:footnoteReference w:id="1"/>
      </w:r>
      <w:r w:rsidRPr="00915450">
        <w:t xml:space="preserve">. </w:t>
      </w:r>
      <w:r w:rsidR="00D50489">
        <w:rPr>
          <w:color w:val="000000" w:themeColor="text1"/>
          <w:shd w:val="clear" w:color="auto" w:fill="FFFFFF"/>
        </w:rPr>
        <w:t xml:space="preserve">Сейчас </w:t>
      </w:r>
      <w:r w:rsidR="007B338D" w:rsidRPr="00FF4D50">
        <w:rPr>
          <w:color w:val="000000" w:themeColor="text1"/>
          <w:shd w:val="clear" w:color="auto" w:fill="FFFFFF"/>
        </w:rPr>
        <w:t>от эффективности корпоративного управления в компании зависит ее благосостояни</w:t>
      </w:r>
      <w:r w:rsidR="006D5168">
        <w:rPr>
          <w:color w:val="000000" w:themeColor="text1"/>
          <w:shd w:val="clear" w:color="auto" w:fill="FFFFFF"/>
        </w:rPr>
        <w:t>е</w:t>
      </w:r>
      <w:r w:rsidR="007B338D" w:rsidRPr="00FF4D50">
        <w:rPr>
          <w:color w:val="000000" w:themeColor="text1"/>
          <w:shd w:val="clear" w:color="auto" w:fill="FFFFFF"/>
        </w:rPr>
        <w:t xml:space="preserve"> в долгосрочно</w:t>
      </w:r>
      <w:r w:rsidR="006D5168">
        <w:rPr>
          <w:color w:val="000000" w:themeColor="text1"/>
          <w:shd w:val="clear" w:color="auto" w:fill="FFFFFF"/>
        </w:rPr>
        <w:t>й</w:t>
      </w:r>
      <w:r w:rsidR="007B338D" w:rsidRPr="00FF4D50">
        <w:rPr>
          <w:color w:val="000000" w:themeColor="text1"/>
          <w:shd w:val="clear" w:color="auto" w:fill="FFFFFF"/>
        </w:rPr>
        <w:t xml:space="preserve"> перспективе. Развитая система корпоративного управления дает ряд преимуществ: </w:t>
      </w:r>
      <w:r w:rsidR="00FF4D50">
        <w:rPr>
          <w:color w:val="000000" w:themeColor="text1"/>
          <w:shd w:val="clear" w:color="auto" w:fill="FFFFFF"/>
        </w:rPr>
        <w:t xml:space="preserve">повышается </w:t>
      </w:r>
      <w:r w:rsidR="00FF4D50" w:rsidRPr="00FF4D50">
        <w:rPr>
          <w:color w:val="000000" w:themeColor="text1"/>
          <w:shd w:val="clear" w:color="auto" w:fill="FFFFFF"/>
        </w:rPr>
        <w:t xml:space="preserve">привлекательность для инвесторов, которых сейчас интересует не только финансовое положение компании; </w:t>
      </w:r>
      <w:r w:rsidR="00FF4D50">
        <w:rPr>
          <w:color w:val="000000" w:themeColor="text1"/>
          <w:shd w:val="clear" w:color="auto" w:fill="FFFFFF"/>
        </w:rPr>
        <w:t xml:space="preserve">фирма получает возможность привлекать заемные средства на более </w:t>
      </w:r>
      <w:proofErr w:type="gramStart"/>
      <w:r w:rsidR="00FF4D50">
        <w:rPr>
          <w:color w:val="000000" w:themeColor="text1"/>
          <w:shd w:val="clear" w:color="auto" w:fill="FFFFFF"/>
        </w:rPr>
        <w:t>выгодных условиях</w:t>
      </w:r>
      <w:proofErr w:type="gramEnd"/>
      <w:r w:rsidR="00FF4D50">
        <w:rPr>
          <w:color w:val="000000" w:themeColor="text1"/>
          <w:shd w:val="clear" w:color="auto" w:fill="FFFFFF"/>
        </w:rPr>
        <w:t>; при эффективной системе корпоративного управления повышается репутация компании, а управление бизнес-процессами становится более рациональным</w:t>
      </w:r>
      <w:r w:rsidR="00FF4D50">
        <w:rPr>
          <w:rStyle w:val="ac"/>
          <w:color w:val="000000" w:themeColor="text1"/>
          <w:shd w:val="clear" w:color="auto" w:fill="FFFFFF"/>
        </w:rPr>
        <w:footnoteReference w:id="2"/>
      </w:r>
      <w:r w:rsidR="00FF4D50">
        <w:rPr>
          <w:color w:val="000000" w:themeColor="text1"/>
          <w:shd w:val="clear" w:color="auto" w:fill="FFFFFF"/>
        </w:rPr>
        <w:t xml:space="preserve">. </w:t>
      </w:r>
    </w:p>
    <w:p w14:paraId="41A645CF" w14:textId="13F990CE" w:rsidR="00D50489" w:rsidRDefault="007207DD" w:rsidP="00D97FCF">
      <w:pPr>
        <w:pStyle w:val="aff0"/>
      </w:pPr>
      <w:r>
        <w:t>В России государство считается крупнейши</w:t>
      </w:r>
      <w:r w:rsidR="006D5168">
        <w:t>м</w:t>
      </w:r>
      <w:r>
        <w:t xml:space="preserve"> акционером ведущих компаний в отрасл</w:t>
      </w:r>
      <w:r w:rsidR="006D5168">
        <w:t>и</w:t>
      </w:r>
      <w:r>
        <w:t xml:space="preserve"> нефти и газа, электроэнергетики и промышленности. В исследовании, проведенным</w:t>
      </w:r>
      <w:r w:rsidRPr="009104E3">
        <w:t xml:space="preserve"> </w:t>
      </w:r>
      <w:r>
        <w:t>Научно-учебной лабораторией исследований в области бизнес-коммуникаций ВШЭ совместно с Ассоциацией профессиональных инвесторов, утверждается, что компании с государственным участием сильно влияют на общий уровень корпоративного управления в стране. Ряд таких компаний уже явля</w:t>
      </w:r>
      <w:r w:rsidR="00B31308">
        <w:t>е</w:t>
      </w:r>
      <w:r>
        <w:t>тся бенчмарк</w:t>
      </w:r>
      <w:r w:rsidR="00B64BE7">
        <w:t xml:space="preserve">ом </w:t>
      </w:r>
      <w:r>
        <w:t xml:space="preserve">качества и уровня корпоративного управления, однако </w:t>
      </w:r>
      <w:r w:rsidR="00B31308">
        <w:t>им</w:t>
      </w:r>
      <w:r>
        <w:t xml:space="preserve"> все еще есть к чему стремиться, в том числе в вопросах, связанных с формированием совета директоров</w:t>
      </w:r>
      <w:r>
        <w:rPr>
          <w:rStyle w:val="ac"/>
        </w:rPr>
        <w:footnoteReference w:id="3"/>
      </w:r>
      <w:r>
        <w:t xml:space="preserve">. </w:t>
      </w:r>
    </w:p>
    <w:p w14:paraId="469482C6" w14:textId="348F53B5" w:rsidR="00527C3E" w:rsidRDefault="00D50489" w:rsidP="00D97FCF">
      <w:pPr>
        <w:pStyle w:val="aff0"/>
      </w:pPr>
      <w:r>
        <w:rPr>
          <w:color w:val="000000" w:themeColor="text1"/>
          <w:shd w:val="clear" w:color="auto" w:fill="FFFFFF"/>
          <w:lang w:val="en-US"/>
        </w:rPr>
        <w:t>ESG</w:t>
      </w:r>
      <w:r>
        <w:rPr>
          <w:color w:val="000000" w:themeColor="text1"/>
          <w:shd w:val="clear" w:color="auto" w:fill="FFFFFF"/>
        </w:rPr>
        <w:t>-подход к управлению устойчивым развитием компани</w:t>
      </w:r>
      <w:r w:rsidR="00D2577C">
        <w:rPr>
          <w:color w:val="000000" w:themeColor="text1"/>
          <w:shd w:val="clear" w:color="auto" w:fill="FFFFFF"/>
        </w:rPr>
        <w:t>й</w:t>
      </w:r>
      <w:r>
        <w:rPr>
          <w:color w:val="000000" w:themeColor="text1"/>
          <w:shd w:val="clear" w:color="auto" w:fill="FFFFFF"/>
        </w:rPr>
        <w:t xml:space="preserve"> является одной из самых актуальных тем во всем мире. В условиях высококонкурентной российской </w:t>
      </w:r>
      <w:r w:rsidR="00B31308">
        <w:rPr>
          <w:color w:val="000000" w:themeColor="text1"/>
          <w:shd w:val="clear" w:color="auto" w:fill="FFFFFF"/>
        </w:rPr>
        <w:t>бизнес-</w:t>
      </w:r>
      <w:r>
        <w:rPr>
          <w:color w:val="000000" w:themeColor="text1"/>
          <w:shd w:val="clear" w:color="auto" w:fill="FFFFFF"/>
        </w:rPr>
        <w:t xml:space="preserve">среды основным дифференцирующим фактором становится ориентация на принципы экологической, социальной и управленческой ответственности </w:t>
      </w:r>
      <w:r w:rsidRPr="004B36C8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ESG</w:t>
      </w:r>
      <w:r w:rsidRPr="004B36C8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. Большинство российских корпораций уже приняли </w:t>
      </w:r>
      <w:r>
        <w:rPr>
          <w:color w:val="000000" w:themeColor="text1"/>
          <w:shd w:val="clear" w:color="auto" w:fill="FFFFFF"/>
          <w:lang w:val="en-US"/>
        </w:rPr>
        <w:t>ESG</w:t>
      </w:r>
      <w:r w:rsidRPr="001A3B6D">
        <w:rPr>
          <w:color w:val="000000" w:themeColor="text1"/>
          <w:shd w:val="clear" w:color="auto" w:fill="FFFFFF"/>
        </w:rPr>
        <w:t>-</w:t>
      </w:r>
      <w:r>
        <w:rPr>
          <w:color w:val="000000" w:themeColor="text1"/>
          <w:shd w:val="clear" w:color="auto" w:fill="FFFFFF"/>
        </w:rPr>
        <w:t xml:space="preserve">повестку </w:t>
      </w:r>
      <w:r>
        <w:t>в качестве долгосрочного ориентира развития</w:t>
      </w:r>
      <w:r>
        <w:rPr>
          <w:color w:val="000000" w:themeColor="text1"/>
          <w:shd w:val="clear" w:color="auto" w:fill="FFFFFF"/>
        </w:rPr>
        <w:t xml:space="preserve"> </w:t>
      </w:r>
      <w:r w:rsidRPr="001A3B6D">
        <w:rPr>
          <w:color w:val="000000" w:themeColor="text1"/>
          <w:shd w:val="clear" w:color="auto" w:fill="FFFFFF"/>
        </w:rPr>
        <w:t>[</w:t>
      </w:r>
      <w:bookmarkStart w:id="3" w:name="_Hlk131879696"/>
      <w:r>
        <w:rPr>
          <w:color w:val="000000" w:themeColor="text1"/>
          <w:shd w:val="clear" w:color="auto" w:fill="FFFFFF"/>
        </w:rPr>
        <w:t>Жукова, 2021</w:t>
      </w:r>
      <w:bookmarkEnd w:id="3"/>
      <w:r w:rsidRPr="001A3B6D">
        <w:rPr>
          <w:color w:val="000000" w:themeColor="text1"/>
          <w:shd w:val="clear" w:color="auto" w:fill="FFFFFF"/>
        </w:rPr>
        <w:t>].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lang w:val="en-US"/>
        </w:rPr>
        <w:t>ESG</w:t>
      </w:r>
      <w:r w:rsidRPr="00290F6B">
        <w:t xml:space="preserve"> </w:t>
      </w:r>
      <w:r>
        <w:t>отражает</w:t>
      </w:r>
      <w:r w:rsidR="00B31308">
        <w:t xml:space="preserve"> </w:t>
      </w:r>
      <w:r>
        <w:t>значимые нефинансовые факторы для современного ответственного инвестор</w:t>
      </w:r>
      <w:r w:rsidR="006D5168">
        <w:t>а</w:t>
      </w:r>
      <w:r>
        <w:t xml:space="preserve">, который считает, что высокие показатели в области </w:t>
      </w:r>
      <w:r>
        <w:rPr>
          <w:lang w:val="en-US"/>
        </w:rPr>
        <w:t>ESG</w:t>
      </w:r>
      <w:r w:rsidRPr="00290F6B">
        <w:t xml:space="preserve"> </w:t>
      </w:r>
      <w:r>
        <w:t>уменьшают риски компании и дают более оптимистичные долгосрочные перспективы</w:t>
      </w:r>
      <w:r>
        <w:rPr>
          <w:rStyle w:val="ac"/>
        </w:rPr>
        <w:footnoteReference w:id="4"/>
      </w:r>
      <w:r>
        <w:t>.</w:t>
      </w:r>
      <w:r>
        <w:rPr>
          <w:color w:val="000000" w:themeColor="text1"/>
          <w:shd w:val="clear" w:color="auto" w:fill="FFFFFF"/>
        </w:rPr>
        <w:t xml:space="preserve"> </w:t>
      </w:r>
      <w:r w:rsidR="004B36C8">
        <w:t>Согласно</w:t>
      </w:r>
      <w:r>
        <w:t xml:space="preserve"> исследованию «</w:t>
      </w:r>
      <w:r w:rsidRPr="00D45459">
        <w:t xml:space="preserve">Барометр устойчивой трансформации бизнеса </w:t>
      </w:r>
      <w:r w:rsidRPr="00D45459">
        <w:lastRenderedPageBreak/>
        <w:t xml:space="preserve">2022», проведенного E+ Change совместно с </w:t>
      </w:r>
      <w:proofErr w:type="spellStart"/>
      <w:r w:rsidRPr="00D45459">
        <w:t>Kep</w:t>
      </w:r>
      <w:proofErr w:type="spellEnd"/>
      <w:r>
        <w:rPr>
          <w:lang w:val="en-US"/>
        </w:rPr>
        <w:t>t</w:t>
      </w:r>
      <w:r w:rsidR="004B36C8">
        <w:t xml:space="preserve">, 78% экспертов считают, что в современных условиях именно государство должны быть ключевым драйвером продвижения </w:t>
      </w:r>
      <w:r w:rsidR="004B36C8">
        <w:rPr>
          <w:lang w:val="en-US"/>
        </w:rPr>
        <w:t>ESG</w:t>
      </w:r>
      <w:r w:rsidR="004B36C8" w:rsidRPr="004B36C8">
        <w:t xml:space="preserve"> </w:t>
      </w:r>
      <w:r w:rsidR="004B36C8">
        <w:t>инициатив в России</w:t>
      </w:r>
      <w:r>
        <w:rPr>
          <w:rStyle w:val="ac"/>
        </w:rPr>
        <w:footnoteReference w:id="5"/>
      </w:r>
      <w:r w:rsidR="004B36C8">
        <w:t xml:space="preserve">. </w:t>
      </w:r>
    </w:p>
    <w:p w14:paraId="1820E2A1" w14:textId="798B12A7" w:rsidR="004F41A3" w:rsidRPr="00D50489" w:rsidRDefault="00527C3E" w:rsidP="00D97FCF">
      <w:pPr>
        <w:pStyle w:val="aff0"/>
        <w:rPr>
          <w:color w:val="000000" w:themeColor="text1"/>
          <w:shd w:val="clear" w:color="auto" w:fill="FFFFFF"/>
        </w:rPr>
      </w:pPr>
      <w:r w:rsidRPr="00915450">
        <w:t xml:space="preserve">Одним из основных внутренних механизмов корпоративного управления является институт совета директоров, который выступает посредником между акционерами и топ-менеджментом в треугольнике корпоративного управления.  Совет принимает ключевые стратегические решения, нацеленные на максимизацию </w:t>
      </w:r>
      <w:r w:rsidR="006D5168">
        <w:t xml:space="preserve">благосостояния </w:t>
      </w:r>
      <w:r w:rsidRPr="00915450">
        <w:t>собственников [</w:t>
      </w:r>
      <w:bookmarkStart w:id="4" w:name="_Hlk131879710"/>
      <w:proofErr w:type="spellStart"/>
      <w:r w:rsidRPr="00915450">
        <w:t>Бухвалов</w:t>
      </w:r>
      <w:proofErr w:type="spellEnd"/>
      <w:r w:rsidRPr="00915450">
        <w:t>, Смирнов, 201</w:t>
      </w:r>
      <w:bookmarkEnd w:id="4"/>
      <w:r w:rsidR="00746905" w:rsidRPr="00746905">
        <w:t>4</w:t>
      </w:r>
      <w:r w:rsidRPr="00915450">
        <w:t xml:space="preserve">]. Вопросы, связанные с влиянием </w:t>
      </w:r>
      <w:r w:rsidR="000018B7">
        <w:t xml:space="preserve">совета директоров </w:t>
      </w:r>
      <w:r w:rsidRPr="00915450">
        <w:t xml:space="preserve">на результаты функционирования компании и ее эффективность, остаются как никогда актуальными. Совет директоров привлекает внимание множества исследователей, которые подтверждают в своих работах наличие взаимосвязи между </w:t>
      </w:r>
      <w:r>
        <w:t xml:space="preserve">его характеристиками </w:t>
      </w:r>
      <w:r w:rsidRPr="00915450">
        <w:t>и финансовой результативностью исследуемых</w:t>
      </w:r>
      <w:r>
        <w:t xml:space="preserve"> компаний</w:t>
      </w:r>
      <w:r w:rsidRPr="00915450">
        <w:t xml:space="preserve">. Однако характер взаимосвязи вызывает сомнения, так как </w:t>
      </w:r>
      <w:r>
        <w:t xml:space="preserve">авторы работ </w:t>
      </w:r>
      <w:r w:rsidRPr="00915450">
        <w:t>не приходят к единым результатам.</w:t>
      </w:r>
    </w:p>
    <w:p w14:paraId="61AAFA70" w14:textId="6DC17C76" w:rsidR="00483536" w:rsidRDefault="00483536" w:rsidP="00D97FCF">
      <w:pPr>
        <w:pStyle w:val="aff0"/>
      </w:pPr>
      <w:r>
        <w:rPr>
          <w:rFonts w:cs="Times New Roman"/>
          <w:szCs w:val="24"/>
          <w:lang w:eastAsia="ru-RU"/>
        </w:rPr>
        <w:t>Ввиду того, что в</w:t>
      </w:r>
      <w:r w:rsidRPr="00B2759C">
        <w:rPr>
          <w:bCs/>
          <w:spacing w:val="2"/>
        </w:rPr>
        <w:t xml:space="preserve"> </w:t>
      </w:r>
      <w:r>
        <w:rPr>
          <w:bCs/>
          <w:spacing w:val="2"/>
        </w:rPr>
        <w:t xml:space="preserve">большинстве компаний </w:t>
      </w:r>
      <w:r w:rsidRPr="00B2759C">
        <w:rPr>
          <w:bCs/>
          <w:spacing w:val="2"/>
        </w:rPr>
        <w:t xml:space="preserve">ежегодно на общем собрании акционеров собственники избирают членов совета директоров, которые должны будут представлять их интересы, </w:t>
      </w:r>
      <w:r w:rsidR="00741181">
        <w:rPr>
          <w:bCs/>
          <w:spacing w:val="2"/>
        </w:rPr>
        <w:t>контролировать и оценивать</w:t>
      </w:r>
      <w:r w:rsidRPr="00B2759C">
        <w:rPr>
          <w:bCs/>
          <w:spacing w:val="2"/>
        </w:rPr>
        <w:t xml:space="preserve"> действия </w:t>
      </w:r>
      <w:r w:rsidR="00B27CD5" w:rsidRPr="00B2759C">
        <w:rPr>
          <w:bCs/>
          <w:spacing w:val="2"/>
        </w:rPr>
        <w:t>топ-менеджмента,</w:t>
      </w:r>
      <w:r w:rsidRPr="00B2759C">
        <w:rPr>
          <w:bCs/>
          <w:spacing w:val="2"/>
        </w:rPr>
        <w:t xml:space="preserve"> и принимать стратегические решения</w:t>
      </w:r>
      <w:r>
        <w:rPr>
          <w:bCs/>
          <w:spacing w:val="2"/>
        </w:rPr>
        <w:t>, акционеры должны выбрать наиболее эффективный состав совета директоров компани</w:t>
      </w:r>
      <w:r w:rsidR="00741181">
        <w:rPr>
          <w:bCs/>
          <w:spacing w:val="2"/>
        </w:rPr>
        <w:t>и</w:t>
      </w:r>
      <w:r w:rsidRPr="00B2759C">
        <w:rPr>
          <w:bCs/>
          <w:spacing w:val="2"/>
        </w:rPr>
        <w:t xml:space="preserve">, который своими решениями </w:t>
      </w:r>
      <w:r>
        <w:rPr>
          <w:bCs/>
          <w:spacing w:val="2"/>
        </w:rPr>
        <w:t xml:space="preserve">будет способствовать </w:t>
      </w:r>
      <w:r w:rsidRPr="00B2759C">
        <w:rPr>
          <w:bCs/>
          <w:spacing w:val="2"/>
        </w:rPr>
        <w:t>достижению лучших финансовых</w:t>
      </w:r>
      <w:r>
        <w:rPr>
          <w:bCs/>
          <w:spacing w:val="2"/>
        </w:rPr>
        <w:t xml:space="preserve"> показателей</w:t>
      </w:r>
      <w:r w:rsidR="008C1985">
        <w:rPr>
          <w:bCs/>
          <w:spacing w:val="2"/>
        </w:rPr>
        <w:t xml:space="preserve"> </w:t>
      </w:r>
      <w:r>
        <w:rPr>
          <w:bCs/>
          <w:spacing w:val="2"/>
        </w:rPr>
        <w:t>и максимизировать</w:t>
      </w:r>
      <w:r w:rsidR="001B36CB">
        <w:rPr>
          <w:bCs/>
          <w:spacing w:val="2"/>
        </w:rPr>
        <w:t xml:space="preserve"> их</w:t>
      </w:r>
      <w:r>
        <w:rPr>
          <w:bCs/>
          <w:spacing w:val="2"/>
        </w:rPr>
        <w:t xml:space="preserve"> благосостояние. </w:t>
      </w:r>
      <w:r w:rsidRPr="00B2759C">
        <w:rPr>
          <w:bCs/>
          <w:spacing w:val="2"/>
        </w:rPr>
        <w:t xml:space="preserve"> </w:t>
      </w:r>
    </w:p>
    <w:p w14:paraId="7AF098EB" w14:textId="4622AC7F" w:rsidR="00D76BA5" w:rsidRDefault="00B42238" w:rsidP="00D97FCF">
      <w:pPr>
        <w:pStyle w:val="aff0"/>
      </w:pPr>
      <w:r>
        <w:t xml:space="preserve">Цель </w:t>
      </w:r>
      <w:r w:rsidR="004F41A3">
        <w:t xml:space="preserve">данной </w:t>
      </w:r>
      <w:r>
        <w:t xml:space="preserve">работы состоит в </w:t>
      </w:r>
      <w:r w:rsidR="004F41A3">
        <w:t xml:space="preserve">выявлении </w:t>
      </w:r>
      <w:r>
        <w:t xml:space="preserve">взаимосвязи между </w:t>
      </w:r>
      <w:r w:rsidR="004F41A3">
        <w:t xml:space="preserve">характеристиками </w:t>
      </w:r>
      <w:r>
        <w:t xml:space="preserve">совета директоров и </w:t>
      </w:r>
      <w:r w:rsidR="004F41A3">
        <w:t xml:space="preserve">финансовой </w:t>
      </w:r>
      <w:r>
        <w:t xml:space="preserve">результативностью российских компаний с государственным участием. </w:t>
      </w:r>
      <w:r w:rsidR="004F41A3">
        <w:t>Для достижения поставленной цели</w:t>
      </w:r>
      <w:r>
        <w:t xml:space="preserve"> были выдвинуты следующие задачи:  </w:t>
      </w:r>
    </w:p>
    <w:p w14:paraId="437FFA2A" w14:textId="2F25DCAD" w:rsidR="004F41A3" w:rsidRDefault="000970AB" w:rsidP="0062070C">
      <w:pPr>
        <w:pStyle w:val="aff0"/>
        <w:numPr>
          <w:ilvl w:val="0"/>
          <w:numId w:val="17"/>
        </w:numPr>
      </w:pPr>
      <w:r>
        <w:t>Провести анализ существующей литературы и обобщить результаты исследовательских и теоретических работ на данную тему;</w:t>
      </w:r>
    </w:p>
    <w:p w14:paraId="3F4EA702" w14:textId="7B9B3CBF" w:rsidR="000970AB" w:rsidRDefault="000970AB" w:rsidP="0062070C">
      <w:pPr>
        <w:pStyle w:val="aff0"/>
        <w:numPr>
          <w:ilvl w:val="0"/>
          <w:numId w:val="17"/>
        </w:numPr>
      </w:pPr>
      <w:r>
        <w:t>Выявить основные характеристики совета директоров и показатели финансовой результативности компаний, выдвинуть гипотезы исследования;</w:t>
      </w:r>
    </w:p>
    <w:p w14:paraId="0D765723" w14:textId="41D92177" w:rsidR="000970AB" w:rsidRDefault="000970AB" w:rsidP="0062070C">
      <w:pPr>
        <w:pStyle w:val="aff0"/>
        <w:numPr>
          <w:ilvl w:val="0"/>
          <w:numId w:val="17"/>
        </w:numPr>
      </w:pPr>
      <w:r>
        <w:t xml:space="preserve">Собрать необходимые данные, </w:t>
      </w:r>
      <w:r w:rsidR="00620913">
        <w:t>обосновать</w:t>
      </w:r>
      <w:r>
        <w:t xml:space="preserve"> методологию анализа данных и провести эмпирическое исследование;</w:t>
      </w:r>
    </w:p>
    <w:p w14:paraId="20A8A825" w14:textId="64F6120F" w:rsidR="000970AB" w:rsidRDefault="00A16146" w:rsidP="0062070C">
      <w:pPr>
        <w:pStyle w:val="aff0"/>
        <w:numPr>
          <w:ilvl w:val="0"/>
          <w:numId w:val="17"/>
        </w:numPr>
      </w:pPr>
      <w:r>
        <w:t>Проинтерпретировать результаты эмпирического исследования и дать практические рекомендации по совершенствованию состава совета директоров.</w:t>
      </w:r>
    </w:p>
    <w:p w14:paraId="7C0CE0E7" w14:textId="0869C41F" w:rsidR="00A16146" w:rsidRDefault="00A16146" w:rsidP="00D97FCF">
      <w:pPr>
        <w:pStyle w:val="aff0"/>
      </w:pPr>
      <w:r>
        <w:lastRenderedPageBreak/>
        <w:t xml:space="preserve">Структура исследовательской работы следует из поставленных задач. Первая глава фокусируется на проблематике корпоративного управления и </w:t>
      </w:r>
      <w:r w:rsidR="000018B7">
        <w:t xml:space="preserve">на </w:t>
      </w:r>
      <w:r>
        <w:t>рассмотрени</w:t>
      </w:r>
      <w:r w:rsidR="000018B7">
        <w:t>и</w:t>
      </w:r>
      <w:r>
        <w:t xml:space="preserve"> основных теори</w:t>
      </w:r>
      <w:r w:rsidR="008C1985">
        <w:t>й</w:t>
      </w:r>
      <w:r>
        <w:t xml:space="preserve">, связанных с институтом совета директоров. Особое внимание уделяется особенностям корпоративного управления в российских компаниях с государственным участием и роли совета директоров в таких компаниях. </w:t>
      </w:r>
      <w:r w:rsidR="00B917A4">
        <w:t>Кроме того, проводится анализ исследований, посвященных основным изменениям, случившимся в советах директоров российских компаний в последние годы</w:t>
      </w:r>
      <w:r w:rsidR="001B36CB">
        <w:t>.</w:t>
      </w:r>
      <w:r w:rsidR="00B917A4">
        <w:t xml:space="preserve"> </w:t>
      </w:r>
    </w:p>
    <w:p w14:paraId="3DFD1618" w14:textId="3EAA6CDA" w:rsidR="00B917A4" w:rsidRDefault="00B917A4" w:rsidP="00D97FCF">
      <w:pPr>
        <w:pStyle w:val="aff0"/>
      </w:pPr>
      <w:r>
        <w:t xml:space="preserve">Во второй главе данной работы определены основные финансовые показатели деятельности компаний, проведен анализ существующей литературы, посвященной выявлению взаимосвязи между характеристиками совета директоров и финансовой результативностью российских и зарубежных компаний. Во второй главе сформулированы гипотезы данного исследования, которые будут проверены в дальнейшем. </w:t>
      </w:r>
    </w:p>
    <w:p w14:paraId="2B1ECA1A" w14:textId="32C3FD05" w:rsidR="00B917A4" w:rsidRPr="00B27CD5" w:rsidRDefault="000A0127" w:rsidP="00D97FCF">
      <w:pPr>
        <w:pStyle w:val="aff0"/>
        <w:rPr>
          <w:color w:val="FF0000"/>
        </w:rPr>
      </w:pPr>
      <w:r w:rsidRPr="00D50489">
        <w:rPr>
          <w:color w:val="000000" w:themeColor="text1"/>
        </w:rPr>
        <w:t>Третья глава сосредоточена на эмпирическом исследовании,</w:t>
      </w:r>
      <w:r w:rsidR="00D50489" w:rsidRPr="00D50489">
        <w:rPr>
          <w:color w:val="000000" w:themeColor="text1"/>
        </w:rPr>
        <w:t xml:space="preserve"> направленном на выявление значимой взаимосвязи между характеристиками совет</w:t>
      </w:r>
      <w:r w:rsidR="000018B7">
        <w:rPr>
          <w:color w:val="000000" w:themeColor="text1"/>
        </w:rPr>
        <w:t>а</w:t>
      </w:r>
      <w:r w:rsidR="00D50489" w:rsidRPr="00D50489">
        <w:rPr>
          <w:color w:val="000000" w:themeColor="text1"/>
        </w:rPr>
        <w:t xml:space="preserve"> директоров и финансовой результативностью компаний.</w:t>
      </w:r>
      <w:r w:rsidRPr="00D50489">
        <w:rPr>
          <w:color w:val="000000" w:themeColor="text1"/>
        </w:rPr>
        <w:t xml:space="preserve"> </w:t>
      </w:r>
      <w:r w:rsidR="00D50489">
        <w:t xml:space="preserve">Кроме того, в третьей главе </w:t>
      </w:r>
      <w:r w:rsidR="001B36CB">
        <w:t>отражена</w:t>
      </w:r>
      <w:r w:rsidR="00D50489">
        <w:t xml:space="preserve"> </w:t>
      </w:r>
      <w:r>
        <w:t>описательн</w:t>
      </w:r>
      <w:r w:rsidR="00D50489">
        <w:t>а</w:t>
      </w:r>
      <w:r w:rsidR="002F35C0">
        <w:t>я</w:t>
      </w:r>
      <w:r>
        <w:t xml:space="preserve"> статистик</w:t>
      </w:r>
      <w:r w:rsidR="00D50489">
        <w:t>а</w:t>
      </w:r>
      <w:r>
        <w:t xml:space="preserve"> основных характеристик совета директоров и финансовых показателей, обоснован выбор метода исследования и </w:t>
      </w:r>
      <w:r w:rsidR="00D50489">
        <w:t xml:space="preserve">проинтерпретированы </w:t>
      </w:r>
      <w:r>
        <w:t>полученны</w:t>
      </w:r>
      <w:r w:rsidR="00D50489">
        <w:t>е</w:t>
      </w:r>
      <w:r>
        <w:t xml:space="preserve"> результат</w:t>
      </w:r>
      <w:r w:rsidR="00D50489">
        <w:t>ы</w:t>
      </w:r>
      <w:r>
        <w:t>. В последней главе также даны практические рекомендации для российских компаний, основанные на результатах регрессионного анализа.</w:t>
      </w:r>
      <w:r w:rsidR="00B27CD5" w:rsidRPr="00B27CD5">
        <w:t xml:space="preserve"> </w:t>
      </w:r>
    </w:p>
    <w:p w14:paraId="5977ECD2" w14:textId="3A52B46A" w:rsidR="00516584" w:rsidRDefault="00516584" w:rsidP="00D97FCF">
      <w:pPr>
        <w:pStyle w:val="aff0"/>
      </w:pPr>
      <w:r>
        <w:t xml:space="preserve">Для проведения данного исследования была собрана выборка из </w:t>
      </w:r>
      <w:r w:rsidRPr="00D50489">
        <w:rPr>
          <w:color w:val="000000" w:themeColor="text1"/>
        </w:rPr>
        <w:t>3</w:t>
      </w:r>
      <w:r w:rsidR="00D2577C">
        <w:rPr>
          <w:color w:val="000000" w:themeColor="text1"/>
        </w:rPr>
        <w:t>7</w:t>
      </w:r>
      <w:r>
        <w:t xml:space="preserve"> российских публичных компаний с государственным участием, торгующихся на Московской бирже в период с 201</w:t>
      </w:r>
      <w:r w:rsidR="00D2577C">
        <w:t>4</w:t>
      </w:r>
      <w:r>
        <w:t xml:space="preserve"> по 2021 год. Данные о финансовых результат</w:t>
      </w:r>
      <w:r w:rsidR="000018B7">
        <w:t>ах</w:t>
      </w:r>
      <w:r>
        <w:t xml:space="preserve"> были собраны из аналитической системы СПАРК, </w:t>
      </w:r>
      <w:r w:rsidR="00D2577C">
        <w:t xml:space="preserve">данные по рыночной капитализации были найдены на официальном сайте Московской биржи, </w:t>
      </w:r>
      <w:r>
        <w:t xml:space="preserve">а для сбора данных о характеристиках совета директоров компаний из выборки были использованы годовые отчеты за исследуемые периоды. </w:t>
      </w:r>
    </w:p>
    <w:p w14:paraId="79CC2FD5" w14:textId="77777777" w:rsidR="00B42238" w:rsidRDefault="00B42238" w:rsidP="00D97FCF">
      <w:pPr>
        <w:pStyle w:val="aff0"/>
      </w:pPr>
    </w:p>
    <w:p w14:paraId="6A3C7D82" w14:textId="454A674C" w:rsidR="003555AC" w:rsidRDefault="002747A3" w:rsidP="003B13D2">
      <w:pPr>
        <w:pStyle w:val="1"/>
      </w:pPr>
      <w:bookmarkStart w:id="5" w:name="_Toc136001533"/>
      <w:r>
        <w:rPr>
          <w:caps w:val="0"/>
        </w:rPr>
        <w:lastRenderedPageBreak/>
        <w:t>ГЛАВА 1. СОВЕТ ДИРЕКТОРОВ В КОМПАНИЯХ С ГОСУДАРСТВЕННЫМ УЧАСТИЕМ</w:t>
      </w:r>
      <w:bookmarkEnd w:id="5"/>
      <w:r>
        <w:rPr>
          <w:caps w:val="0"/>
        </w:rPr>
        <w:t xml:space="preserve"> </w:t>
      </w:r>
    </w:p>
    <w:p w14:paraId="13CA9A07" w14:textId="19608246" w:rsidR="007207DD" w:rsidRDefault="007207DD" w:rsidP="007207DD">
      <w:pPr>
        <w:pStyle w:val="2"/>
      </w:pPr>
      <w:bookmarkStart w:id="6" w:name="_Toc136001534"/>
      <w:r>
        <w:t>1.1 Корпоративное управление</w:t>
      </w:r>
      <w:bookmarkEnd w:id="6"/>
      <w:r>
        <w:t xml:space="preserve"> </w:t>
      </w:r>
    </w:p>
    <w:p w14:paraId="2DA7E122" w14:textId="06ED8DAE" w:rsidR="007B000F" w:rsidRPr="007B000F" w:rsidRDefault="000E4FC8" w:rsidP="00D97FCF">
      <w:pPr>
        <w:pStyle w:val="aff0"/>
      </w:pPr>
      <w:r>
        <w:t xml:space="preserve">За последнее время значительное количество </w:t>
      </w:r>
      <w:r w:rsidR="00A26180">
        <w:t xml:space="preserve">собственников </w:t>
      </w:r>
      <w:r>
        <w:t xml:space="preserve">российских компаний осознало необходимость в </w:t>
      </w:r>
      <w:r w:rsidR="007B000F">
        <w:t xml:space="preserve">эффективной </w:t>
      </w:r>
      <w:r>
        <w:t>си</w:t>
      </w:r>
      <w:r w:rsidR="006B1F32">
        <w:t>стеме корпоративного управлени</w:t>
      </w:r>
      <w:r w:rsidR="001B36CB">
        <w:t>я</w:t>
      </w:r>
      <w:r w:rsidR="006B1F32">
        <w:t xml:space="preserve"> и механизмах контроля за деятельностью менеджеров. </w:t>
      </w:r>
      <w:r w:rsidR="007B000F">
        <w:t>Исследования</w:t>
      </w:r>
      <w:r w:rsidR="007B000F" w:rsidRPr="007B000F">
        <w:t xml:space="preserve"> </w:t>
      </w:r>
      <w:r w:rsidR="007B000F">
        <w:t>доказывают, что наличие развитой системы корпоративного управления в компании</w:t>
      </w:r>
      <w:r w:rsidR="001B36CB">
        <w:t>,</w:t>
      </w:r>
      <w:r w:rsidR="007B000F">
        <w:t xml:space="preserve"> как правило</w:t>
      </w:r>
      <w:r w:rsidR="001B36CB">
        <w:t>,</w:t>
      </w:r>
      <w:r w:rsidR="007B000F">
        <w:t xml:space="preserve"> приводит к улучшению финансовых показателей, повышает качество принимаемых решений и помогает в достижении конкурентного преимущества. </w:t>
      </w:r>
    </w:p>
    <w:p w14:paraId="1C74A753" w14:textId="3DDEF8E1" w:rsidR="00FA3D62" w:rsidRDefault="006B1F32" w:rsidP="00D97FCF">
      <w:pPr>
        <w:pStyle w:val="aff0"/>
      </w:pPr>
      <w:r>
        <w:t xml:space="preserve">Термин </w:t>
      </w:r>
      <w:r w:rsidR="00A26180">
        <w:t>«</w:t>
      </w:r>
      <w:r>
        <w:t>корпоративное управление</w:t>
      </w:r>
      <w:r w:rsidR="00A26180">
        <w:t>»</w:t>
      </w:r>
      <w:r>
        <w:t xml:space="preserve"> появился в России относительно недавно,</w:t>
      </w:r>
      <w:r w:rsidR="00A26180">
        <w:t xml:space="preserve"> однако</w:t>
      </w:r>
      <w:r w:rsidR="0090199F">
        <w:t xml:space="preserve"> до сих пор не имеет однозначной формулировки</w:t>
      </w:r>
      <w:r>
        <w:t xml:space="preserve">. </w:t>
      </w:r>
      <w:r w:rsidR="007B000F">
        <w:t>На государственном уровне впервые понятие б</w:t>
      </w:r>
      <w:r w:rsidR="00FA3D62">
        <w:t xml:space="preserve">ыло закреплено Федеральной </w:t>
      </w:r>
      <w:r w:rsidR="006E329F">
        <w:t>службой</w:t>
      </w:r>
      <w:r w:rsidR="007B000F">
        <w:t xml:space="preserve"> по фина</w:t>
      </w:r>
      <w:r w:rsidR="00FA3D62">
        <w:t xml:space="preserve">нсовым рынкам </w:t>
      </w:r>
      <w:r w:rsidR="00A35E37">
        <w:t xml:space="preserve">РФ </w:t>
      </w:r>
      <w:r w:rsidR="00FA3D62">
        <w:t xml:space="preserve">в издании «Корпоративное управление: история и практика», где было отражено четыре стороны данного понятия. Корпоративное управление можно рассматривать как </w:t>
      </w:r>
      <w:r w:rsidR="00FA3D62" w:rsidRPr="00A35E37">
        <w:rPr>
          <w:i/>
        </w:rPr>
        <w:t>систему отчетности</w:t>
      </w:r>
      <w:r w:rsidR="00FA3D62">
        <w:t xml:space="preserve"> менеджеров перед акционерами; как </w:t>
      </w:r>
      <w:r w:rsidR="00FA3D62" w:rsidRPr="00A35E37">
        <w:rPr>
          <w:i/>
        </w:rPr>
        <w:t>способ управления компанией</w:t>
      </w:r>
      <w:r w:rsidR="00FA3D62">
        <w:t xml:space="preserve">, обеспечивающий справедливое и равноправное </w:t>
      </w:r>
      <w:r w:rsidR="006E329F">
        <w:t>распределение</w:t>
      </w:r>
      <w:r w:rsidR="00FA3D62">
        <w:t xml:space="preserve"> результатов деятельности между</w:t>
      </w:r>
      <w:r w:rsidR="00A35E37">
        <w:t xml:space="preserve"> заинтересованными сторонами</w:t>
      </w:r>
      <w:r w:rsidR="00FA3D62">
        <w:t xml:space="preserve">; как </w:t>
      </w:r>
      <w:r w:rsidR="00FA3D62" w:rsidRPr="00A35E37">
        <w:rPr>
          <w:i/>
        </w:rPr>
        <w:t>комплекс мер и правил</w:t>
      </w:r>
      <w:r w:rsidR="00FA3D62">
        <w:t>, помогающих собственникам контролировать деятельн</w:t>
      </w:r>
      <w:r w:rsidR="00A35E37">
        <w:t>о</w:t>
      </w:r>
      <w:r w:rsidR="00FA3D62">
        <w:t xml:space="preserve">сть менеджеров с целью максимизации прибыли и </w:t>
      </w:r>
      <w:r w:rsidR="00A35E37">
        <w:t>стоимости фирмы;</w:t>
      </w:r>
      <w:r w:rsidR="00FA3D62">
        <w:t xml:space="preserve"> так и как </w:t>
      </w:r>
      <w:r w:rsidR="00FA3D62" w:rsidRPr="00A35E37">
        <w:rPr>
          <w:i/>
        </w:rPr>
        <w:t>систему взаимоотношений</w:t>
      </w:r>
      <w:r w:rsidR="00FA3D62">
        <w:t xml:space="preserve"> между </w:t>
      </w:r>
      <w:r w:rsidR="00A35E37">
        <w:t>менеджерами и акционерами по вопросам обеспечения эффективности деятельности компании и защит</w:t>
      </w:r>
      <w:r w:rsidR="001B36CB">
        <w:t>ы</w:t>
      </w:r>
      <w:r w:rsidR="00A35E37">
        <w:t xml:space="preserve"> интересов заинтересованных сторон</w:t>
      </w:r>
      <w:r w:rsidR="00853138">
        <w:rPr>
          <w:rStyle w:val="ac"/>
        </w:rPr>
        <w:footnoteReference w:id="6"/>
      </w:r>
      <w:r w:rsidR="00A35E37">
        <w:t xml:space="preserve">. </w:t>
      </w:r>
    </w:p>
    <w:p w14:paraId="4243EA0D" w14:textId="5B8CCDE4" w:rsidR="005852A1" w:rsidRDefault="0090199F" w:rsidP="00D97FCF">
      <w:pPr>
        <w:pStyle w:val="aff0"/>
      </w:pPr>
      <w:r>
        <w:t xml:space="preserve">В научной литературе также нет унифицированного определения. </w:t>
      </w:r>
      <w:r w:rsidR="006B1F32">
        <w:t>Одним из н</w:t>
      </w:r>
      <w:r w:rsidR="003C582F">
        <w:t xml:space="preserve">аиболее </w:t>
      </w:r>
      <w:r w:rsidR="00A35E37">
        <w:t>исчерпывающих</w:t>
      </w:r>
      <w:r w:rsidR="003C582F">
        <w:t xml:space="preserve"> </w:t>
      </w:r>
      <w:r w:rsidR="00A35E37">
        <w:t>определений</w:t>
      </w:r>
      <w:r w:rsidR="00B24F58">
        <w:t>, по мнению автора работы,</w:t>
      </w:r>
      <w:r w:rsidR="00A35E37">
        <w:t xml:space="preserve"> </w:t>
      </w:r>
      <w:r w:rsidR="003C582F">
        <w:t>является следующе</w:t>
      </w:r>
      <w:r w:rsidR="006B1F32">
        <w:t>е: корп</w:t>
      </w:r>
      <w:r w:rsidR="003C582F">
        <w:t>о</w:t>
      </w:r>
      <w:r w:rsidR="006B1F32">
        <w:t>ративное управление – это система</w:t>
      </w:r>
      <w:r w:rsidR="00A23173">
        <w:t xml:space="preserve"> взаимоотношений между собственниками компании и ее менеджерами, между различными группами акционеров и между компанией в целом и иными заинтересованными группами по вопросам обеспечения как интересов перечисленных участников корпоративных отношений, так и эфф</w:t>
      </w:r>
      <w:r w:rsidR="005852A1">
        <w:t>ективной деятельности компании [</w:t>
      </w:r>
      <w:bookmarkStart w:id="8" w:name="_Hlk131880655"/>
      <w:r w:rsidR="005852A1">
        <w:t>Белико</w:t>
      </w:r>
      <w:r w:rsidR="00853138">
        <w:t>в</w:t>
      </w:r>
      <w:r w:rsidR="005852A1">
        <w:t>, 2008</w:t>
      </w:r>
      <w:r w:rsidR="00B50D81">
        <w:t>, ст. 12</w:t>
      </w:r>
      <w:bookmarkEnd w:id="8"/>
      <w:r w:rsidR="005852A1">
        <w:t>]</w:t>
      </w:r>
      <w:r w:rsidR="00A23173">
        <w:t xml:space="preserve">. </w:t>
      </w:r>
      <w:r w:rsidR="00B24F58">
        <w:t xml:space="preserve"> В данной формулировке отражен основной смысл существования системы корпоративного управления</w:t>
      </w:r>
      <w:r w:rsidR="00BE5F27">
        <w:t xml:space="preserve">, заключающийся в разделении прав собственности и прав </w:t>
      </w:r>
      <w:r w:rsidR="00A23173">
        <w:t xml:space="preserve">управления компанией. </w:t>
      </w:r>
      <w:r w:rsidR="006E7844">
        <w:t>Р</w:t>
      </w:r>
      <w:r w:rsidR="0082637B">
        <w:t xml:space="preserve">ассматриваемое определение подчеркивает важность показателей </w:t>
      </w:r>
      <w:r w:rsidR="00853138">
        <w:t>эффективности</w:t>
      </w:r>
      <w:r w:rsidR="0082637B">
        <w:t xml:space="preserve"> деятельности фирмы для различных заинтересованных сторон. </w:t>
      </w:r>
      <w:r w:rsidR="006E7844">
        <w:t xml:space="preserve">Кроме того, стороны корпоративных отношений, в особенности акционеры и менеджеры, могут преследовать различные интересы. Собственнику больше </w:t>
      </w:r>
      <w:r w:rsidR="006E7844">
        <w:lastRenderedPageBreak/>
        <w:t xml:space="preserve">важна ценность компании на рынке – ее капитализация, </w:t>
      </w:r>
      <w:r w:rsidR="00F84DC9">
        <w:t>ему важно увеличить свое благосостояние как в краткосрочной, так и в долгосрочной</w:t>
      </w:r>
      <w:r w:rsidR="00F84DC9" w:rsidRPr="00F84DC9">
        <w:t xml:space="preserve"> </w:t>
      </w:r>
      <w:r w:rsidR="00F84DC9">
        <w:t>перспективе. Однако менеджер может действовать исходя из иных соображений: он может стремиться к достижению только краткосрочных целей, отказываться от рискованных решений в пользу более консервативных,</w:t>
      </w:r>
      <w:r w:rsidR="005852A1">
        <w:t xml:space="preserve"> и</w:t>
      </w:r>
      <w:r w:rsidR="00853138">
        <w:t>,</w:t>
      </w:r>
      <w:r w:rsidR="005852A1">
        <w:t xml:space="preserve"> облада</w:t>
      </w:r>
      <w:r w:rsidR="00853138">
        <w:t>я</w:t>
      </w:r>
      <w:r w:rsidR="005852A1">
        <w:t xml:space="preserve"> ограниченной рациональностью </w:t>
      </w:r>
      <w:r w:rsidR="005852A1" w:rsidRPr="005852A1">
        <w:t>[</w:t>
      </w:r>
      <w:bookmarkStart w:id="9" w:name="_Hlk131880665"/>
      <w:r w:rsidR="005852A1">
        <w:rPr>
          <w:lang w:val="en-US"/>
        </w:rPr>
        <w:t>Simon</w:t>
      </w:r>
      <w:r w:rsidR="005852A1" w:rsidRPr="005852A1">
        <w:t>, 1947</w:t>
      </w:r>
      <w:bookmarkEnd w:id="9"/>
      <w:r w:rsidR="005852A1" w:rsidRPr="005852A1">
        <w:t>]</w:t>
      </w:r>
      <w:r w:rsidR="00853138">
        <w:t>,</w:t>
      </w:r>
      <w:r w:rsidR="00F84DC9">
        <w:t xml:space="preserve"> стремиться к увеличению собственного благосостояния, тем самым демонстрируя оппортунистическое поведение</w:t>
      </w:r>
      <w:r w:rsidR="005852A1" w:rsidRPr="005852A1">
        <w:t xml:space="preserve"> [</w:t>
      </w:r>
      <w:bookmarkStart w:id="10" w:name="_Hlk131880672"/>
      <w:r w:rsidR="005852A1">
        <w:rPr>
          <w:lang w:val="en-US"/>
        </w:rPr>
        <w:t>Williamson</w:t>
      </w:r>
      <w:r w:rsidR="005852A1" w:rsidRPr="005852A1">
        <w:t>, 1985</w:t>
      </w:r>
      <w:bookmarkEnd w:id="10"/>
      <w:r w:rsidR="005852A1" w:rsidRPr="005852A1">
        <w:t>]</w:t>
      </w:r>
      <w:r w:rsidR="00F84DC9">
        <w:t>.</w:t>
      </w:r>
      <w:r w:rsidR="006E7844">
        <w:t xml:space="preserve"> Отсюда вытекает одно их ключевых </w:t>
      </w:r>
      <w:r w:rsidR="00853138">
        <w:t>противоречий</w:t>
      </w:r>
      <w:r w:rsidR="006E7844">
        <w:t>, которое обуславли</w:t>
      </w:r>
      <w:r w:rsidR="00853138">
        <w:t>ва</w:t>
      </w:r>
      <w:r w:rsidR="006E7844">
        <w:t xml:space="preserve">ет необходимость корпоративного управления в фирме, - агентская проблема. </w:t>
      </w:r>
    </w:p>
    <w:p w14:paraId="4276D8D4" w14:textId="18355E35" w:rsidR="00572F37" w:rsidRPr="00400FC6" w:rsidRDefault="00B6088F" w:rsidP="00D97FCF">
      <w:pPr>
        <w:pStyle w:val="aff0"/>
      </w:pPr>
      <w:r>
        <w:t>Теория агентских отношений (</w:t>
      </w:r>
      <w:r>
        <w:rPr>
          <w:lang w:val="en-US"/>
        </w:rPr>
        <w:t>agency</w:t>
      </w:r>
      <w:r w:rsidRPr="00B6088F">
        <w:t xml:space="preserve"> </w:t>
      </w:r>
      <w:r>
        <w:rPr>
          <w:lang w:val="en-US"/>
        </w:rPr>
        <w:t>theory</w:t>
      </w:r>
      <w:r w:rsidRPr="00B6088F">
        <w:t xml:space="preserve">) </w:t>
      </w:r>
      <w:r>
        <w:t xml:space="preserve">впервые была затронута еще в американских работах в 30-годах </w:t>
      </w:r>
      <w:r>
        <w:rPr>
          <w:lang w:val="en-US"/>
        </w:rPr>
        <w:t>XX</w:t>
      </w:r>
      <w:r w:rsidRPr="00B6088F">
        <w:t xml:space="preserve"> </w:t>
      </w:r>
      <w:r w:rsidR="00011BAF">
        <w:t>века [</w:t>
      </w:r>
      <w:bookmarkStart w:id="11" w:name="_Hlk131880681"/>
      <w:proofErr w:type="spellStart"/>
      <w:r w:rsidR="005852A1">
        <w:rPr>
          <w:lang w:val="en-US"/>
        </w:rPr>
        <w:t>Berle</w:t>
      </w:r>
      <w:proofErr w:type="spellEnd"/>
      <w:r w:rsidR="005852A1" w:rsidRPr="005852A1">
        <w:t xml:space="preserve">, </w:t>
      </w:r>
      <w:r w:rsidR="005852A1">
        <w:rPr>
          <w:lang w:val="en-US"/>
        </w:rPr>
        <w:t>Means</w:t>
      </w:r>
      <w:r w:rsidR="00572F37">
        <w:t>,</w:t>
      </w:r>
      <w:r w:rsidR="00572F37" w:rsidRPr="00572F37">
        <w:t xml:space="preserve"> 1932</w:t>
      </w:r>
      <w:bookmarkEnd w:id="11"/>
      <w:r w:rsidR="005852A1">
        <w:t>]</w:t>
      </w:r>
      <w:r>
        <w:t>, уже к тому времени авторы начали замечать отделение интересов управляющих</w:t>
      </w:r>
      <w:r w:rsidR="00400FC6">
        <w:t xml:space="preserve"> компанией</w:t>
      </w:r>
      <w:r>
        <w:t xml:space="preserve"> от интересов </w:t>
      </w:r>
      <w:r w:rsidR="00400FC6">
        <w:t>ее владельцев</w:t>
      </w:r>
      <w:r>
        <w:t xml:space="preserve">. В литературе агентская проблема стала распространяться как проблема «принципал-агент», </w:t>
      </w:r>
      <w:r w:rsidR="00853138">
        <w:t>подразумевая</w:t>
      </w:r>
      <w:r>
        <w:t xml:space="preserve"> под собой</w:t>
      </w:r>
      <w:r w:rsidR="003A5F2F">
        <w:t>,</w:t>
      </w:r>
      <w:r>
        <w:t xml:space="preserve"> </w:t>
      </w:r>
      <w:r w:rsidR="003A5F2F">
        <w:t>что ее возникновение связано с различием в интересах и стимулах собственника (</w:t>
      </w:r>
      <w:r w:rsidR="00011BAF">
        <w:t>принципала) и</w:t>
      </w:r>
      <w:r w:rsidR="003A5F2F">
        <w:t xml:space="preserve"> намерений менеджера (агента), нанятого принципалом для управления компанией. Ввиду </w:t>
      </w:r>
      <w:r w:rsidR="00853138">
        <w:t>отсутствия</w:t>
      </w:r>
      <w:r w:rsidR="003A5F2F">
        <w:t xml:space="preserve"> у</w:t>
      </w:r>
      <w:r w:rsidR="00400FC6">
        <w:t xml:space="preserve"> собственников исчерпывающей инф</w:t>
      </w:r>
      <w:r w:rsidR="003A5F2F">
        <w:t xml:space="preserve">ормации об управлении компанией и действиях менеджмента возникает </w:t>
      </w:r>
      <w:r w:rsidR="00853138">
        <w:t>асимметрия</w:t>
      </w:r>
      <w:r w:rsidR="003A5F2F">
        <w:t xml:space="preserve"> информации, способствующая только усугублению агентской проблемы. </w:t>
      </w:r>
      <w:r w:rsidR="00400FC6">
        <w:t xml:space="preserve">Впервые </w:t>
      </w:r>
      <w:r w:rsidR="00CD35C9">
        <w:t>асимметрия информации</w:t>
      </w:r>
      <w:r w:rsidR="00400FC6">
        <w:t xml:space="preserve"> была описана в работе Дж. </w:t>
      </w:r>
      <w:proofErr w:type="spellStart"/>
      <w:r w:rsidR="00400FC6">
        <w:t>Акерлофа</w:t>
      </w:r>
      <w:proofErr w:type="spellEnd"/>
      <w:r w:rsidR="00400FC6">
        <w:t xml:space="preserve"> </w:t>
      </w:r>
      <w:r w:rsidR="00400FC6" w:rsidRPr="00400FC6">
        <w:t>[</w:t>
      </w:r>
      <w:bookmarkStart w:id="12" w:name="_Hlk131880689"/>
      <w:proofErr w:type="spellStart"/>
      <w:r w:rsidR="00400FC6">
        <w:rPr>
          <w:lang w:val="en-US"/>
        </w:rPr>
        <w:t>Akerlof</w:t>
      </w:r>
      <w:proofErr w:type="spellEnd"/>
      <w:r w:rsidR="00400FC6" w:rsidRPr="00400FC6">
        <w:t xml:space="preserve">, 1970], </w:t>
      </w:r>
      <w:bookmarkEnd w:id="12"/>
      <w:r w:rsidR="00400FC6">
        <w:t xml:space="preserve">в которой автор отметил, что на некоторых потребительских рынках характеристики и качество конкретного товара известны только продавцу. </w:t>
      </w:r>
    </w:p>
    <w:p w14:paraId="64690A44" w14:textId="23B525CB" w:rsidR="002927DD" w:rsidRPr="002F35C0" w:rsidRDefault="00572F37" w:rsidP="00D97FCF">
      <w:pPr>
        <w:pStyle w:val="aff0"/>
      </w:pPr>
      <w:r>
        <w:t xml:space="preserve">Значительный вклад в развитие данной теории внесли М. Дженсен и У. </w:t>
      </w:r>
      <w:proofErr w:type="spellStart"/>
      <w:r>
        <w:t>Меклинг</w:t>
      </w:r>
      <w:proofErr w:type="spellEnd"/>
      <w:r>
        <w:t xml:space="preserve"> в 1976 году в работе «Теория фирмы: поведение менеджеров, </w:t>
      </w:r>
      <w:r w:rsidR="00853138">
        <w:t>агентские</w:t>
      </w:r>
      <w:r>
        <w:t xml:space="preserve"> издержки и структура собственности»</w:t>
      </w:r>
      <w:r w:rsidR="00567C98">
        <w:t xml:space="preserve"> </w:t>
      </w:r>
      <w:r w:rsidR="00567C98" w:rsidRPr="00567C98">
        <w:t>[</w:t>
      </w:r>
      <w:r w:rsidR="00567C98">
        <w:rPr>
          <w:lang w:val="en-US"/>
        </w:rPr>
        <w:t>Jensen</w:t>
      </w:r>
      <w:r w:rsidR="00567C98" w:rsidRPr="000C216E">
        <w:t xml:space="preserve">, </w:t>
      </w:r>
      <w:proofErr w:type="spellStart"/>
      <w:r w:rsidR="00567C98">
        <w:rPr>
          <w:lang w:val="en-US"/>
        </w:rPr>
        <w:t>Meckling</w:t>
      </w:r>
      <w:proofErr w:type="spellEnd"/>
      <w:r w:rsidR="00567C98" w:rsidRPr="000C216E">
        <w:t>, 1976</w:t>
      </w:r>
      <w:r w:rsidR="00567C98" w:rsidRPr="00567C98">
        <w:t>]</w:t>
      </w:r>
      <w:r>
        <w:t>. Авторы рассмотрели компанию как совокупность контрактов между основными заинтересованными сторона</w:t>
      </w:r>
      <w:r w:rsidR="000018B7">
        <w:t>ми</w:t>
      </w:r>
      <w:r>
        <w:t xml:space="preserve">: владельцами, топ-менеджментом и кредиторами. </w:t>
      </w:r>
      <w:r w:rsidR="002D38B5">
        <w:t xml:space="preserve">В работе подробно не только описана </w:t>
      </w:r>
      <w:r w:rsidR="00853138">
        <w:t>агентская</w:t>
      </w:r>
      <w:r w:rsidR="002D38B5">
        <w:t xml:space="preserve"> проблема, </w:t>
      </w:r>
      <w:r w:rsidR="00853138">
        <w:t>возникающая</w:t>
      </w:r>
      <w:r w:rsidR="002D38B5">
        <w:t xml:space="preserve"> между принципалом и агентом, но и сделан акцент на возникающих из-за данной проблемы особых транзакционных издерж</w:t>
      </w:r>
      <w:r w:rsidR="00CD35C9">
        <w:t>ках</w:t>
      </w:r>
      <w:r w:rsidR="00400FC6">
        <w:t xml:space="preserve"> </w:t>
      </w:r>
      <w:r w:rsidR="00400FC6" w:rsidRPr="00400FC6">
        <w:t>[</w:t>
      </w:r>
      <w:bookmarkStart w:id="13" w:name="_Hlk131880708"/>
      <w:r w:rsidR="00400FC6">
        <w:rPr>
          <w:lang w:val="en-US"/>
        </w:rPr>
        <w:t>Coase</w:t>
      </w:r>
      <w:r w:rsidR="00400FC6" w:rsidRPr="00400FC6">
        <w:t>,</w:t>
      </w:r>
      <w:r w:rsidR="00400FC6">
        <w:t xml:space="preserve"> 1937</w:t>
      </w:r>
      <w:bookmarkEnd w:id="13"/>
      <w:r w:rsidR="00400FC6">
        <w:t>]</w:t>
      </w:r>
      <w:r w:rsidR="002D38B5">
        <w:t xml:space="preserve"> – </w:t>
      </w:r>
      <w:r w:rsidR="00853138">
        <w:t>агентских</w:t>
      </w:r>
      <w:r w:rsidR="002D38B5">
        <w:t xml:space="preserve"> (</w:t>
      </w:r>
      <w:r w:rsidR="002D38B5">
        <w:rPr>
          <w:lang w:val="en-US"/>
        </w:rPr>
        <w:t>agency</w:t>
      </w:r>
      <w:r w:rsidR="002D38B5" w:rsidRPr="002D38B5">
        <w:t xml:space="preserve"> </w:t>
      </w:r>
      <w:r w:rsidR="002D38B5">
        <w:rPr>
          <w:lang w:val="en-US"/>
        </w:rPr>
        <w:t>costs</w:t>
      </w:r>
      <w:r w:rsidR="004C4850">
        <w:t>). Агентские издержки связаны</w:t>
      </w:r>
      <w:r w:rsidR="00CD35C9">
        <w:t>:</w:t>
      </w:r>
      <w:r w:rsidR="004C4850">
        <w:t xml:space="preserve"> во-первых, </w:t>
      </w:r>
      <w:r w:rsidR="002D38B5">
        <w:t xml:space="preserve">с затратами </w:t>
      </w:r>
      <w:r w:rsidR="00557F52">
        <w:t>п</w:t>
      </w:r>
      <w:r w:rsidR="002D38B5">
        <w:t>ринципал</w:t>
      </w:r>
      <w:r w:rsidR="00557F52">
        <w:t>а, который вынужден</w:t>
      </w:r>
      <w:r w:rsidR="002D38B5">
        <w:t xml:space="preserve"> </w:t>
      </w:r>
      <w:r w:rsidR="00557F52">
        <w:t>осуществлять</w:t>
      </w:r>
      <w:r w:rsidR="002D38B5">
        <w:t xml:space="preserve"> м</w:t>
      </w:r>
      <w:r w:rsidR="00557F52">
        <w:t>ониторинг</w:t>
      </w:r>
      <w:r w:rsidR="002D38B5">
        <w:t xml:space="preserve"> действий менеджеров</w:t>
      </w:r>
      <w:r w:rsidR="00557F52">
        <w:t xml:space="preserve"> в связи с разл</w:t>
      </w:r>
      <w:r w:rsidR="004C4850">
        <w:t xml:space="preserve">ичиями их интересов и намерений; во-вторых, со связывающими издержками, то есть издержками механизмов гарантий добросовестности агентов; и, в-третьих, с остаточными потерями из-за расхождения принимаемых решений агентами с оптимальными решениями с точки зрения принципала.  </w:t>
      </w:r>
      <w:r w:rsidR="00557F52">
        <w:t xml:space="preserve"> </w:t>
      </w:r>
    </w:p>
    <w:p w14:paraId="2CBBB6F5" w14:textId="7777A0EE" w:rsidR="000C216E" w:rsidRDefault="000C216E" w:rsidP="00D97FCF">
      <w:pPr>
        <w:pStyle w:val="aff0"/>
      </w:pPr>
      <w:r>
        <w:t>Значительный вклад в развитие агентской теории внес</w:t>
      </w:r>
      <w:r w:rsidR="00CD35C9">
        <w:t>л</w:t>
      </w:r>
      <w:r>
        <w:t xml:space="preserve">и Ч. Хилл и Т. Джонс </w:t>
      </w:r>
      <w:bookmarkStart w:id="14" w:name="_Hlk131880740"/>
      <w:r w:rsidR="002927DD" w:rsidRPr="002927DD">
        <w:t>[</w:t>
      </w:r>
      <w:r w:rsidR="002927DD">
        <w:rPr>
          <w:lang w:val="en-US"/>
        </w:rPr>
        <w:t>Hill</w:t>
      </w:r>
      <w:r w:rsidR="002927DD" w:rsidRPr="002927DD">
        <w:t xml:space="preserve">, </w:t>
      </w:r>
      <w:r w:rsidR="002927DD">
        <w:rPr>
          <w:lang w:val="en-US"/>
        </w:rPr>
        <w:t>Jones</w:t>
      </w:r>
      <w:r w:rsidR="002927DD" w:rsidRPr="002927DD">
        <w:t>, 1992</w:t>
      </w:r>
      <w:bookmarkEnd w:id="14"/>
      <w:r w:rsidR="002927DD" w:rsidRPr="002927DD">
        <w:t>]</w:t>
      </w:r>
      <w:r>
        <w:t xml:space="preserve">, сформулировав агентскую теорию заинтересованных сторон </w:t>
      </w:r>
      <w:r w:rsidRPr="000C216E">
        <w:t>(</w:t>
      </w:r>
      <w:r>
        <w:rPr>
          <w:lang w:val="en-US"/>
        </w:rPr>
        <w:t>stakeholder</w:t>
      </w:r>
      <w:r w:rsidRPr="000C216E">
        <w:t>-</w:t>
      </w:r>
      <w:r>
        <w:rPr>
          <w:lang w:val="en-US"/>
        </w:rPr>
        <w:lastRenderedPageBreak/>
        <w:t>agency</w:t>
      </w:r>
      <w:r w:rsidRPr="000C216E">
        <w:t xml:space="preserve"> </w:t>
      </w:r>
      <w:r>
        <w:rPr>
          <w:lang w:val="en-US"/>
        </w:rPr>
        <w:t>theory</w:t>
      </w:r>
      <w:r w:rsidRPr="000C216E">
        <w:t>)</w:t>
      </w:r>
      <w:r>
        <w:t xml:space="preserve">, которая совмещает </w:t>
      </w:r>
      <w:r w:rsidR="002927DD">
        <w:t>агентскую теорию и теорию заинтересованных сторон</w:t>
      </w:r>
      <w:r w:rsidR="002927DD" w:rsidRPr="002927DD">
        <w:t xml:space="preserve"> [</w:t>
      </w:r>
      <w:bookmarkStart w:id="15" w:name="_Hlk131880765"/>
      <w:r w:rsidR="002927DD">
        <w:rPr>
          <w:lang w:val="en-US"/>
        </w:rPr>
        <w:t>Freeman</w:t>
      </w:r>
      <w:r w:rsidR="002927DD" w:rsidRPr="002927DD">
        <w:t>, 1984</w:t>
      </w:r>
      <w:bookmarkEnd w:id="15"/>
      <w:r w:rsidR="004C4850">
        <w:t xml:space="preserve">; </w:t>
      </w:r>
      <w:bookmarkStart w:id="16" w:name="_Hlk131880772"/>
      <w:r w:rsidR="004C4850">
        <w:t xml:space="preserve">Post, </w:t>
      </w:r>
      <w:proofErr w:type="spellStart"/>
      <w:r w:rsidR="004C4850">
        <w:t>Preston</w:t>
      </w:r>
      <w:proofErr w:type="spellEnd"/>
      <w:r w:rsidR="004C4850">
        <w:t>, Sachs, 2002</w:t>
      </w:r>
      <w:bookmarkEnd w:id="16"/>
      <w:r w:rsidR="002927DD" w:rsidRPr="002927DD">
        <w:t>]</w:t>
      </w:r>
      <w:r w:rsidR="002927DD">
        <w:t>. Авторы в работе утверждают, что менеджер, принимая решения, должен исходить не только из интересов собственников, но и других заинтересованных сторон, и рассматривать комп</w:t>
      </w:r>
      <w:r w:rsidR="00B530D1">
        <w:t>анию</w:t>
      </w:r>
      <w:r w:rsidR="002927DD">
        <w:t xml:space="preserve"> как систему контрактов между стейкхолдерами и менеджерами.</w:t>
      </w:r>
      <w:r w:rsidR="00B530D1">
        <w:t xml:space="preserve"> В работе Э. Фримена </w:t>
      </w:r>
      <w:r w:rsidR="00B530D1" w:rsidRPr="00B530D1">
        <w:t>[</w:t>
      </w:r>
      <w:r w:rsidR="00B530D1">
        <w:rPr>
          <w:lang w:val="en-US"/>
        </w:rPr>
        <w:t>Freeman</w:t>
      </w:r>
      <w:r w:rsidR="00B530D1" w:rsidRPr="00B530D1">
        <w:t xml:space="preserve">, 1984] </w:t>
      </w:r>
      <w:r w:rsidR="00B530D1">
        <w:t>впервые вводится понятие заинтересованной стороны (</w:t>
      </w:r>
      <w:r w:rsidR="00B530D1">
        <w:rPr>
          <w:lang w:val="en-US"/>
        </w:rPr>
        <w:t>stakeholder</w:t>
      </w:r>
      <w:r w:rsidR="00B530D1">
        <w:t xml:space="preserve">) как «любой группы или индивида, которые могут повлиять или на которые влияет достижение целей организации». </w:t>
      </w:r>
    </w:p>
    <w:p w14:paraId="3866B031" w14:textId="4365AF8A" w:rsidR="008A1A25" w:rsidRDefault="001530CA" w:rsidP="00D97FCF">
      <w:pPr>
        <w:pStyle w:val="aff0"/>
        <w:rPr>
          <w:color w:val="000000" w:themeColor="text1"/>
        </w:rPr>
      </w:pPr>
      <w:r>
        <w:t xml:space="preserve">Система корпоративного управления призвана решать агентскую проблему путем применения внешних и внутренних </w:t>
      </w:r>
      <w:r w:rsidR="00D048C8">
        <w:t>механизмов, отвечающих на вопрос «каким образом происходит взаимодействие заинтересованных сторон, организация и реализация власти в компании»</w:t>
      </w:r>
      <w:r w:rsidR="00DF7400">
        <w:t xml:space="preserve"> </w:t>
      </w:r>
      <w:r w:rsidR="00DF7400" w:rsidRPr="005D0E20">
        <w:t>[</w:t>
      </w:r>
      <w:proofErr w:type="spellStart"/>
      <w:r w:rsidR="00DF7400">
        <w:t>Бухвалов</w:t>
      </w:r>
      <w:proofErr w:type="spellEnd"/>
      <w:r w:rsidR="00DF7400">
        <w:t>, Смирнов, 2014</w:t>
      </w:r>
      <w:r w:rsidR="00DF7400" w:rsidRPr="005D0E20">
        <w:t>]</w:t>
      </w:r>
      <w:r w:rsidR="00D048C8">
        <w:t>.</w:t>
      </w:r>
      <w:r w:rsidR="003A7F44">
        <w:t xml:space="preserve"> Механизмы корпоративного управления пред</w:t>
      </w:r>
      <w:r w:rsidR="00CD35C9">
        <w:t>о</w:t>
      </w:r>
      <w:r w:rsidR="003A7F44">
        <w:t xml:space="preserve">ставляют гарантии, что менеджмент будет действовать в интересах владельцев </w:t>
      </w:r>
      <w:r w:rsidR="003A7F44" w:rsidRPr="003A7F44">
        <w:t>[</w:t>
      </w:r>
      <w:bookmarkStart w:id="17" w:name="_Hlk131880783"/>
      <w:r w:rsidR="003A7F44">
        <w:rPr>
          <w:lang w:val="en-US"/>
        </w:rPr>
        <w:t>Shleifer</w:t>
      </w:r>
      <w:r w:rsidR="003A7F44" w:rsidRPr="003A7F44">
        <w:t xml:space="preserve">, </w:t>
      </w:r>
      <w:proofErr w:type="spellStart"/>
      <w:r w:rsidR="003A7F44">
        <w:rPr>
          <w:lang w:val="en-US"/>
        </w:rPr>
        <w:t>Vishny</w:t>
      </w:r>
      <w:proofErr w:type="spellEnd"/>
      <w:r w:rsidR="003A7F44" w:rsidRPr="003A7F44">
        <w:t>, 1997</w:t>
      </w:r>
      <w:bookmarkEnd w:id="17"/>
      <w:r w:rsidR="003A7F44" w:rsidRPr="003A7F44">
        <w:t xml:space="preserve">]. </w:t>
      </w:r>
      <w:r w:rsidRPr="00DC45A8">
        <w:rPr>
          <w:color w:val="000000" w:themeColor="text1"/>
        </w:rPr>
        <w:t>К основным внешним механизмам относятся</w:t>
      </w:r>
      <w:r w:rsidR="005D0E20" w:rsidRPr="00DC45A8">
        <w:rPr>
          <w:color w:val="000000" w:themeColor="text1"/>
        </w:rPr>
        <w:t xml:space="preserve"> </w:t>
      </w:r>
      <w:r w:rsidR="00EA6047">
        <w:rPr>
          <w:color w:val="000000" w:themeColor="text1"/>
        </w:rPr>
        <w:t>законодательная база и система регулирования страны</w:t>
      </w:r>
      <w:r w:rsidR="005D0E20" w:rsidRPr="00DC45A8">
        <w:rPr>
          <w:color w:val="000000" w:themeColor="text1"/>
        </w:rPr>
        <w:t xml:space="preserve">, влияющая на корпоративное управление и рыночные условия, </w:t>
      </w:r>
      <w:r w:rsidR="00DC45A8" w:rsidRPr="00DC45A8">
        <w:rPr>
          <w:color w:val="000000" w:themeColor="text1"/>
        </w:rPr>
        <w:t xml:space="preserve">рынок корпоративного контроля, </w:t>
      </w:r>
      <w:r w:rsidR="005D0E20" w:rsidRPr="00DC45A8">
        <w:rPr>
          <w:color w:val="000000" w:themeColor="text1"/>
        </w:rPr>
        <w:t>рынок труда менеджеров</w:t>
      </w:r>
      <w:r w:rsidR="00DC45A8" w:rsidRPr="00DC45A8">
        <w:rPr>
          <w:color w:val="000000" w:themeColor="text1"/>
        </w:rPr>
        <w:t xml:space="preserve"> </w:t>
      </w:r>
      <w:r w:rsidR="00DC45A8">
        <w:rPr>
          <w:color w:val="000000" w:themeColor="text1"/>
        </w:rPr>
        <w:t>и</w:t>
      </w:r>
      <w:r w:rsidR="00DC45A8" w:rsidRPr="00DC45A8">
        <w:rPr>
          <w:color w:val="000000" w:themeColor="text1"/>
        </w:rPr>
        <w:t xml:space="preserve"> рынок первичных размещений акций</w:t>
      </w:r>
      <w:r w:rsidR="005D0E20" w:rsidRPr="00DC45A8">
        <w:rPr>
          <w:color w:val="000000" w:themeColor="text1"/>
        </w:rPr>
        <w:t xml:space="preserve"> </w:t>
      </w:r>
      <w:r w:rsidR="00DC45A8" w:rsidRPr="00DC45A8">
        <w:rPr>
          <w:color w:val="000000" w:themeColor="text1"/>
        </w:rPr>
        <w:t>(</w:t>
      </w:r>
      <w:r w:rsidR="00DC45A8" w:rsidRPr="00DC45A8">
        <w:rPr>
          <w:color w:val="000000" w:themeColor="text1"/>
          <w:lang w:val="en-US"/>
        </w:rPr>
        <w:t>IPO</w:t>
      </w:r>
      <w:r w:rsidR="00DC45A8" w:rsidRPr="00DC45A8">
        <w:rPr>
          <w:color w:val="000000" w:themeColor="text1"/>
        </w:rPr>
        <w:t xml:space="preserve">). </w:t>
      </w:r>
      <w:r w:rsidR="005D0E20" w:rsidRPr="00DC45A8">
        <w:rPr>
          <w:color w:val="000000" w:themeColor="text1"/>
        </w:rPr>
        <w:t xml:space="preserve">Внутренние механизмы корпоративного управления – это система </w:t>
      </w:r>
      <w:r w:rsidR="00DB5DD4" w:rsidRPr="00DC45A8">
        <w:rPr>
          <w:color w:val="000000" w:themeColor="text1"/>
        </w:rPr>
        <w:t xml:space="preserve">мотивации и </w:t>
      </w:r>
      <w:r w:rsidR="005D0E20" w:rsidRPr="00DC45A8">
        <w:rPr>
          <w:color w:val="000000" w:themeColor="text1"/>
        </w:rPr>
        <w:t>опла</w:t>
      </w:r>
      <w:r w:rsidR="00DB5DD4" w:rsidRPr="00DC45A8">
        <w:rPr>
          <w:color w:val="000000" w:themeColor="text1"/>
        </w:rPr>
        <w:t>ты труда менеджеров, совет дире</w:t>
      </w:r>
      <w:r w:rsidR="005D0E20" w:rsidRPr="00DC45A8">
        <w:rPr>
          <w:color w:val="000000" w:themeColor="text1"/>
        </w:rPr>
        <w:t>к</w:t>
      </w:r>
      <w:r w:rsidR="00DB5DD4" w:rsidRPr="00DC45A8">
        <w:rPr>
          <w:color w:val="000000" w:themeColor="text1"/>
        </w:rPr>
        <w:t>т</w:t>
      </w:r>
      <w:r w:rsidR="005D0E20" w:rsidRPr="00DC45A8">
        <w:rPr>
          <w:color w:val="000000" w:themeColor="text1"/>
        </w:rPr>
        <w:t xml:space="preserve">оров, </w:t>
      </w:r>
      <w:r w:rsidR="00DB5DD4" w:rsidRPr="00DC45A8">
        <w:rPr>
          <w:color w:val="000000" w:themeColor="text1"/>
        </w:rPr>
        <w:t xml:space="preserve">эффективная система контроля и аудита. Отдельно выделяют структуру долга и мониторинг со стороны держателей долга компании </w:t>
      </w:r>
      <w:r w:rsidR="005D0E20" w:rsidRPr="00DC45A8">
        <w:rPr>
          <w:color w:val="000000" w:themeColor="text1"/>
        </w:rPr>
        <w:t>[</w:t>
      </w:r>
      <w:proofErr w:type="spellStart"/>
      <w:r w:rsidR="00DB5DD4" w:rsidRPr="00DC45A8">
        <w:rPr>
          <w:color w:val="000000" w:themeColor="text1"/>
        </w:rPr>
        <w:t>Бухвалов</w:t>
      </w:r>
      <w:proofErr w:type="spellEnd"/>
      <w:r w:rsidR="00DB5DD4" w:rsidRPr="00DC45A8">
        <w:rPr>
          <w:color w:val="000000" w:themeColor="text1"/>
        </w:rPr>
        <w:t>, Смирнов, 2014</w:t>
      </w:r>
      <w:r w:rsidR="005D0E20" w:rsidRPr="00DC45A8">
        <w:rPr>
          <w:color w:val="000000" w:themeColor="text1"/>
        </w:rPr>
        <w:t>]</w:t>
      </w:r>
      <w:r w:rsidR="00DB5DD4" w:rsidRPr="00DC45A8">
        <w:rPr>
          <w:color w:val="000000" w:themeColor="text1"/>
        </w:rPr>
        <w:t xml:space="preserve">. </w:t>
      </w:r>
    </w:p>
    <w:p w14:paraId="3356EDF6" w14:textId="000D491C" w:rsidR="00567C98" w:rsidRPr="00567C98" w:rsidRDefault="00567C98" w:rsidP="00D97FCF">
      <w:pPr>
        <w:pStyle w:val="aff0"/>
        <w:rPr>
          <w:color w:val="000000" w:themeColor="text1"/>
        </w:rPr>
      </w:pPr>
      <w:r>
        <w:rPr>
          <w:color w:val="000000" w:themeColor="text1"/>
        </w:rPr>
        <w:t xml:space="preserve">Данная работа будет сфокусирована на одном из наиболее действенных внутренних механизмов корпоративного управления – совете директоров, который </w:t>
      </w:r>
      <w:r>
        <w:t>призван контролировать действия менеджмента, стимулировать и оценивать результаты их работы, принимать стратегические решения и решения в области дивидендной и финансовой политики</w:t>
      </w:r>
      <w:r w:rsidR="00D97FCF">
        <w:t>.</w:t>
      </w:r>
    </w:p>
    <w:p w14:paraId="243378DF" w14:textId="254D1662" w:rsidR="00EA6047" w:rsidRDefault="00EA6047" w:rsidP="00EA6047">
      <w:pPr>
        <w:pStyle w:val="2"/>
        <w:rPr>
          <w:color w:val="FF0000"/>
        </w:rPr>
      </w:pPr>
      <w:bookmarkStart w:id="18" w:name="_Toc136001535"/>
      <w:r>
        <w:t>1.2 Институт совета директоров</w:t>
      </w:r>
      <w:bookmarkEnd w:id="18"/>
      <w:r>
        <w:t xml:space="preserve"> </w:t>
      </w:r>
    </w:p>
    <w:p w14:paraId="568223D0" w14:textId="6EF7D0A2" w:rsidR="001530CA" w:rsidRDefault="005C15CD" w:rsidP="00D97FCF">
      <w:pPr>
        <w:pStyle w:val="aff0"/>
      </w:pPr>
      <w:r>
        <w:t xml:space="preserve">Совет директоров является коллегиальным органом общего управления компанией, который действует в интересах акционеров и подотчетен им. </w:t>
      </w:r>
      <w:r w:rsidR="00DB5DD4">
        <w:t>Совет директоров выступае</w:t>
      </w:r>
      <w:r w:rsidR="00D048C8">
        <w:t xml:space="preserve">т посредником между акционерами (принципалами) </w:t>
      </w:r>
      <w:r w:rsidR="00DB5DD4">
        <w:t xml:space="preserve">и </w:t>
      </w:r>
      <w:r w:rsidR="00D048C8">
        <w:t>топ-менеджментом (агентами) в «</w:t>
      </w:r>
      <w:r w:rsidR="00DF7400">
        <w:t>т</w:t>
      </w:r>
      <w:r w:rsidR="00D048C8">
        <w:t xml:space="preserve">реугольнике» корпоративного управления </w:t>
      </w:r>
      <w:r w:rsidR="00D048C8" w:rsidRPr="005D0E20">
        <w:t>[</w:t>
      </w:r>
      <w:proofErr w:type="spellStart"/>
      <w:r w:rsidR="00D048C8">
        <w:t>Бухвалов</w:t>
      </w:r>
      <w:proofErr w:type="spellEnd"/>
      <w:r w:rsidR="00D048C8">
        <w:t>, Смирнов, 2014</w:t>
      </w:r>
      <w:r w:rsidR="00D048C8" w:rsidRPr="005D0E20">
        <w:t>]</w:t>
      </w:r>
      <w:r w:rsidR="004C4850">
        <w:t xml:space="preserve">. </w:t>
      </w:r>
    </w:p>
    <w:p w14:paraId="59A4BE80" w14:textId="05EF3470" w:rsidR="009431FB" w:rsidRDefault="003A7F44" w:rsidP="00D97FCF">
      <w:pPr>
        <w:pStyle w:val="aff0"/>
      </w:pPr>
      <w:r>
        <w:t xml:space="preserve">В научной литературе особое место заслужили два подхода к оценке роли совета директоров в компании: </w:t>
      </w:r>
      <w:r w:rsidR="00DF7400">
        <w:t>агентская</w:t>
      </w:r>
      <w:r>
        <w:t xml:space="preserve"> теория, фокусирующаяся на роли независимых директоров, и ресурсная теория, трактующая опыт, знания и навыки членов совета директоров как ресурсы развития компании [</w:t>
      </w:r>
      <w:bookmarkStart w:id="19" w:name="_Hlk131880795"/>
      <w:r w:rsidRPr="003A7F44">
        <w:t>Долгопятов</w:t>
      </w:r>
      <w:r w:rsidR="00EA6047">
        <w:t xml:space="preserve"> и др.</w:t>
      </w:r>
      <w:r w:rsidR="00DF7400" w:rsidRPr="003A7F44">
        <w:t>, 2015</w:t>
      </w:r>
      <w:bookmarkEnd w:id="19"/>
      <w:r w:rsidRPr="003A7F44">
        <w:t xml:space="preserve">]. </w:t>
      </w:r>
      <w:r>
        <w:t xml:space="preserve"> </w:t>
      </w:r>
      <w:r w:rsidR="00FE7FB3">
        <w:t xml:space="preserve">Сторонники агентской теории выделяют ключевую функцию совета директоров как контроль за деятельностью менеджеров для защиты интересов акционеров </w:t>
      </w:r>
      <w:r w:rsidR="00FE7FB3" w:rsidRPr="00FE7FB3">
        <w:t>[</w:t>
      </w:r>
      <w:proofErr w:type="spellStart"/>
      <w:r w:rsidR="00FE7FB3">
        <w:t>Jensen</w:t>
      </w:r>
      <w:proofErr w:type="spellEnd"/>
      <w:r w:rsidR="00FE7FB3">
        <w:t xml:space="preserve">, </w:t>
      </w:r>
      <w:proofErr w:type="spellStart"/>
      <w:r w:rsidR="00FE7FB3">
        <w:t>Meckling</w:t>
      </w:r>
      <w:proofErr w:type="spellEnd"/>
      <w:r w:rsidR="00FE7FB3">
        <w:t>, 1976</w:t>
      </w:r>
      <w:r w:rsidR="000D1F1F" w:rsidRPr="000D1F1F">
        <w:t xml:space="preserve">]. </w:t>
      </w:r>
      <w:r w:rsidR="00DF7400">
        <w:lastRenderedPageBreak/>
        <w:t>Ввиду</w:t>
      </w:r>
      <w:r w:rsidR="000D1F1F">
        <w:t xml:space="preserve"> неизбежности </w:t>
      </w:r>
      <w:r w:rsidR="00DF7400">
        <w:t>противоречий</w:t>
      </w:r>
      <w:r w:rsidR="000D1F1F">
        <w:t xml:space="preserve"> между агентом и принципалом, главной задачей совета директоров становится предотвращение оппортунистического поведения со стороны менеджеров</w:t>
      </w:r>
      <w:r w:rsidR="000D1F1F" w:rsidRPr="000D1F1F">
        <w:t xml:space="preserve"> [</w:t>
      </w:r>
      <w:proofErr w:type="spellStart"/>
      <w:r w:rsidR="000D1F1F" w:rsidRPr="009431FB">
        <w:t>Fama</w:t>
      </w:r>
      <w:proofErr w:type="spellEnd"/>
      <w:r w:rsidR="000D1F1F" w:rsidRPr="000D1F1F">
        <w:t xml:space="preserve">, </w:t>
      </w:r>
      <w:proofErr w:type="spellStart"/>
      <w:r w:rsidR="000D1F1F" w:rsidRPr="009431FB">
        <w:t>Jensen</w:t>
      </w:r>
      <w:proofErr w:type="spellEnd"/>
      <w:r w:rsidR="000D1F1F" w:rsidRPr="000D1F1F">
        <w:t>, 1983]</w:t>
      </w:r>
      <w:r w:rsidR="00FE7FB3" w:rsidRPr="00FE7FB3">
        <w:t xml:space="preserve">. </w:t>
      </w:r>
      <w:r w:rsidR="00FD3459">
        <w:t xml:space="preserve">Присутствие в совете директоров независимого директора позитивно влияет на эффективность </w:t>
      </w:r>
      <w:r w:rsidR="00DF7400">
        <w:t>принимаемых советом директоров решений</w:t>
      </w:r>
      <w:r w:rsidR="009431FB">
        <w:t xml:space="preserve">. Кроме того, такой директор может сглаживать конфликты между </w:t>
      </w:r>
      <w:r w:rsidR="00DF7400">
        <w:t xml:space="preserve">мажоритарными </w:t>
      </w:r>
      <w:r w:rsidR="009431FB">
        <w:t xml:space="preserve">и миноритарными акционерами </w:t>
      </w:r>
      <w:r w:rsidR="009431FB" w:rsidRPr="009431FB">
        <w:t>[</w:t>
      </w:r>
      <w:bookmarkStart w:id="20" w:name="_Hlk131880807"/>
      <w:proofErr w:type="spellStart"/>
      <w:r w:rsidR="009431FB">
        <w:t>Jiang</w:t>
      </w:r>
      <w:proofErr w:type="spellEnd"/>
      <w:r w:rsidR="00DF7400">
        <w:t xml:space="preserve">, </w:t>
      </w:r>
      <w:proofErr w:type="spellStart"/>
      <w:r w:rsidR="009431FB">
        <w:t>Peng</w:t>
      </w:r>
      <w:proofErr w:type="spellEnd"/>
      <w:r w:rsidR="009431FB">
        <w:t>, 2011</w:t>
      </w:r>
      <w:bookmarkEnd w:id="20"/>
      <w:r w:rsidR="009431FB" w:rsidRPr="009431FB">
        <w:t xml:space="preserve">; </w:t>
      </w:r>
      <w:bookmarkStart w:id="21" w:name="_Hlk131880821"/>
      <w:r w:rsidR="009431FB" w:rsidRPr="009431FB">
        <w:t xml:space="preserve">Young </w:t>
      </w:r>
      <w:proofErr w:type="spellStart"/>
      <w:r w:rsidR="009431FB" w:rsidRPr="009431FB">
        <w:t>et</w:t>
      </w:r>
      <w:proofErr w:type="spellEnd"/>
      <w:r w:rsidR="009431FB" w:rsidRPr="009431FB">
        <w:t xml:space="preserve"> </w:t>
      </w:r>
      <w:proofErr w:type="spellStart"/>
      <w:r w:rsidR="009431FB" w:rsidRPr="009431FB">
        <w:t>al</w:t>
      </w:r>
      <w:proofErr w:type="spellEnd"/>
      <w:r w:rsidR="009431FB" w:rsidRPr="009431FB">
        <w:t>., 2008</w:t>
      </w:r>
      <w:bookmarkEnd w:id="21"/>
      <w:r w:rsidR="009431FB" w:rsidRPr="009431FB">
        <w:t>]</w:t>
      </w:r>
      <w:r w:rsidR="009431FB">
        <w:t xml:space="preserve">. </w:t>
      </w:r>
    </w:p>
    <w:p w14:paraId="202D0979" w14:textId="13C96138" w:rsidR="00195F32" w:rsidRDefault="009431FB" w:rsidP="00D97FCF">
      <w:pPr>
        <w:pStyle w:val="aff0"/>
      </w:pPr>
      <w:r>
        <w:t xml:space="preserve">Важное место в </w:t>
      </w:r>
      <w:r w:rsidR="00DF7400">
        <w:t>исследованиях</w:t>
      </w:r>
      <w:r>
        <w:t xml:space="preserve"> занимает ресурсная концепция, описывающая совет директоров как инструмент обеспечения доступа к ключевым ресурсам </w:t>
      </w:r>
      <w:r w:rsidR="001A1B44">
        <w:t xml:space="preserve">компании, функционирующей в неопределенной внешней среде. В своей работе </w:t>
      </w:r>
      <w:r w:rsidR="001A1B44" w:rsidRPr="009E2B2B">
        <w:rPr>
          <w:rFonts w:cs="Times New Roman"/>
          <w:szCs w:val="24"/>
        </w:rPr>
        <w:t xml:space="preserve">Д. </w:t>
      </w:r>
      <w:proofErr w:type="spellStart"/>
      <w:r w:rsidR="001A1B44" w:rsidRPr="009E2B2B">
        <w:rPr>
          <w:rFonts w:cs="Times New Roman"/>
          <w:szCs w:val="24"/>
        </w:rPr>
        <w:t>Пфеффер</w:t>
      </w:r>
      <w:proofErr w:type="spellEnd"/>
      <w:r w:rsidR="001A1B44" w:rsidRPr="009E2B2B">
        <w:rPr>
          <w:rFonts w:cs="Times New Roman"/>
          <w:szCs w:val="24"/>
        </w:rPr>
        <w:t xml:space="preserve"> и Д. </w:t>
      </w:r>
      <w:proofErr w:type="spellStart"/>
      <w:r w:rsidR="001A1B44" w:rsidRPr="009E2B2B">
        <w:rPr>
          <w:rFonts w:cs="Times New Roman"/>
          <w:szCs w:val="24"/>
        </w:rPr>
        <w:t>Саланчик</w:t>
      </w:r>
      <w:proofErr w:type="spellEnd"/>
      <w:r w:rsidR="001A1B44">
        <w:rPr>
          <w:rFonts w:cs="Times New Roman"/>
          <w:szCs w:val="24"/>
        </w:rPr>
        <w:t xml:space="preserve"> отмечают, что в число ключевых ресурсов входит информация, доступ к капиталу и привлекательным контрактам </w:t>
      </w:r>
      <w:r w:rsidR="001A1B44" w:rsidRPr="001A1B44">
        <w:rPr>
          <w:rFonts w:cs="Times New Roman"/>
          <w:szCs w:val="24"/>
        </w:rPr>
        <w:t>[</w:t>
      </w:r>
      <w:bookmarkStart w:id="22" w:name="_Hlk131880830"/>
      <w:r w:rsidR="001A1B44">
        <w:rPr>
          <w:rFonts w:cs="Times New Roman"/>
          <w:szCs w:val="24"/>
          <w:lang w:val="en-US"/>
        </w:rPr>
        <w:t>Pfeffer</w:t>
      </w:r>
      <w:r w:rsidR="001A1B44" w:rsidRPr="001A1B44">
        <w:rPr>
          <w:rFonts w:cs="Times New Roman"/>
          <w:szCs w:val="24"/>
        </w:rPr>
        <w:t xml:space="preserve">, </w:t>
      </w:r>
      <w:proofErr w:type="spellStart"/>
      <w:r w:rsidR="001A1B44">
        <w:rPr>
          <w:rFonts w:cs="Times New Roman"/>
          <w:szCs w:val="24"/>
          <w:lang w:val="en-US"/>
        </w:rPr>
        <w:t>Salancik</w:t>
      </w:r>
      <w:proofErr w:type="spellEnd"/>
      <w:r w:rsidR="001A1B44" w:rsidRPr="001A1B44">
        <w:rPr>
          <w:rFonts w:cs="Times New Roman"/>
          <w:szCs w:val="24"/>
        </w:rPr>
        <w:t>, 1978</w:t>
      </w:r>
      <w:bookmarkEnd w:id="22"/>
      <w:r w:rsidR="001A1B44" w:rsidRPr="001A1B44">
        <w:rPr>
          <w:rFonts w:cs="Times New Roman"/>
          <w:szCs w:val="24"/>
        </w:rPr>
        <w:t xml:space="preserve">]. </w:t>
      </w:r>
      <w:r w:rsidR="001A1B44">
        <w:rPr>
          <w:rFonts w:cs="Times New Roman"/>
          <w:szCs w:val="24"/>
        </w:rPr>
        <w:t xml:space="preserve">Необходимо, чтобы потребности фирмы совпадали с ресурсами, которые могут предоставить директора </w:t>
      </w:r>
      <w:r w:rsidR="001A1B44" w:rsidRPr="001A1B44">
        <w:rPr>
          <w:rFonts w:cs="Times New Roman"/>
          <w:szCs w:val="24"/>
        </w:rPr>
        <w:t>[</w:t>
      </w:r>
      <w:bookmarkStart w:id="23" w:name="_Hlk131880836"/>
      <w:r w:rsidR="001A1B44">
        <w:rPr>
          <w:rFonts w:cs="Times New Roman"/>
          <w:szCs w:val="24"/>
          <w:lang w:val="en-US"/>
        </w:rPr>
        <w:t>Pfeffer</w:t>
      </w:r>
      <w:r w:rsidR="001A1B44" w:rsidRPr="001A1B44">
        <w:rPr>
          <w:rFonts w:cs="Times New Roman"/>
          <w:szCs w:val="24"/>
        </w:rPr>
        <w:t>, 1972</w:t>
      </w:r>
      <w:bookmarkEnd w:id="23"/>
      <w:r w:rsidR="001A1B44" w:rsidRPr="001A1B44">
        <w:rPr>
          <w:rFonts w:cs="Times New Roman"/>
          <w:szCs w:val="24"/>
        </w:rPr>
        <w:t xml:space="preserve">]. </w:t>
      </w:r>
      <w:r w:rsidR="00195F32">
        <w:rPr>
          <w:rFonts w:cs="Times New Roman"/>
          <w:szCs w:val="24"/>
        </w:rPr>
        <w:t xml:space="preserve">Так, </w:t>
      </w:r>
      <w:r w:rsidR="00DF7400">
        <w:rPr>
          <w:rFonts w:cs="Times New Roman"/>
          <w:szCs w:val="24"/>
        </w:rPr>
        <w:t>независимые</w:t>
      </w:r>
      <w:r w:rsidR="00195F32">
        <w:rPr>
          <w:rFonts w:cs="Times New Roman"/>
          <w:szCs w:val="24"/>
        </w:rPr>
        <w:t xml:space="preserve"> директора рассматриваются как источник связей и ресурсов, которых нет у </w:t>
      </w:r>
      <w:r w:rsidR="00DF7400">
        <w:rPr>
          <w:rFonts w:cs="Times New Roman"/>
          <w:szCs w:val="24"/>
        </w:rPr>
        <w:t>менеджеров</w:t>
      </w:r>
      <w:r w:rsidR="00195F32">
        <w:rPr>
          <w:rFonts w:cs="Times New Roman"/>
          <w:szCs w:val="24"/>
        </w:rPr>
        <w:t xml:space="preserve"> и акционеров </w:t>
      </w:r>
      <w:r w:rsidR="00195F32" w:rsidRPr="00195F32">
        <w:rPr>
          <w:rFonts w:cs="Times New Roman"/>
          <w:szCs w:val="24"/>
        </w:rPr>
        <w:t>[</w:t>
      </w:r>
      <w:bookmarkStart w:id="24" w:name="_Hlk131880844"/>
      <w:proofErr w:type="spellStart"/>
      <w:r w:rsidR="00195F32">
        <w:t>Geletkanycz</w:t>
      </w:r>
      <w:proofErr w:type="spellEnd"/>
      <w:r w:rsidR="00195F32" w:rsidRPr="00195F32">
        <w:t xml:space="preserve">, </w:t>
      </w:r>
      <w:proofErr w:type="spellStart"/>
      <w:r w:rsidR="00195F32">
        <w:t>Boyd</w:t>
      </w:r>
      <w:proofErr w:type="spellEnd"/>
      <w:r w:rsidR="00195F32">
        <w:t>, 20</w:t>
      </w:r>
      <w:r w:rsidR="00195F32" w:rsidRPr="00195F32">
        <w:t>1</w:t>
      </w:r>
      <w:r w:rsidR="00195F32">
        <w:t>1</w:t>
      </w:r>
      <w:bookmarkEnd w:id="24"/>
      <w:r w:rsidR="00195F32" w:rsidRPr="00195F32">
        <w:t xml:space="preserve">]. </w:t>
      </w:r>
      <w:r w:rsidR="00195F32">
        <w:t xml:space="preserve">Б. Бойд в более ранней своей работе отмечает, что директора, занимающие директорские позиции в других компаниях, обладают «богатыми ресурсами», а значит, что этот критерий должен быть основополагающим при формировании состава совета директоров </w:t>
      </w:r>
      <w:r w:rsidR="00195F32" w:rsidRPr="00195F32">
        <w:t>[</w:t>
      </w:r>
      <w:bookmarkStart w:id="25" w:name="_Hlk131880850"/>
      <w:r w:rsidR="00195F32">
        <w:rPr>
          <w:lang w:val="en-US"/>
        </w:rPr>
        <w:t>Boyd</w:t>
      </w:r>
      <w:r w:rsidR="00195F32" w:rsidRPr="00195F32">
        <w:t>, 1990</w:t>
      </w:r>
      <w:bookmarkEnd w:id="25"/>
      <w:r w:rsidR="00195F32" w:rsidRPr="00195F32">
        <w:t xml:space="preserve">]. </w:t>
      </w:r>
      <w:r w:rsidR="006E6CAF">
        <w:t xml:space="preserve">Другие авторы обращают внимание на демографические признаки, профессиональный и отраслевой опыт члена совета директоров </w:t>
      </w:r>
      <w:r w:rsidR="006E6CAF" w:rsidRPr="006E6CAF">
        <w:t>[</w:t>
      </w:r>
      <w:bookmarkStart w:id="26" w:name="_Hlk131880859"/>
      <w:r w:rsidR="00DF7400" w:rsidRPr="006E6CAF">
        <w:rPr>
          <w:lang w:val="en-US"/>
        </w:rPr>
        <w:t>Hillman</w:t>
      </w:r>
      <w:r w:rsidR="00DF7400" w:rsidRPr="006E6CAF">
        <w:t xml:space="preserve">, </w:t>
      </w:r>
      <w:proofErr w:type="spellStart"/>
      <w:r w:rsidR="00DF7400" w:rsidRPr="006E6CAF">
        <w:t>Withers</w:t>
      </w:r>
      <w:proofErr w:type="spellEnd"/>
      <w:r w:rsidR="006E6CAF" w:rsidRPr="006E6CAF">
        <w:t xml:space="preserve">, </w:t>
      </w:r>
      <w:r w:rsidR="000B5EE7" w:rsidRPr="006E6CAF">
        <w:rPr>
          <w:lang w:val="en-US"/>
        </w:rPr>
        <w:t>Collins</w:t>
      </w:r>
      <w:r w:rsidR="000B5EE7" w:rsidRPr="006E6CAF">
        <w:t>, 2009</w:t>
      </w:r>
      <w:bookmarkEnd w:id="26"/>
      <w:r w:rsidR="006E6CAF" w:rsidRPr="006E6CAF">
        <w:t xml:space="preserve">; </w:t>
      </w:r>
      <w:bookmarkStart w:id="27" w:name="_Hlk131880869"/>
      <w:r w:rsidR="00567C98" w:rsidRPr="006E6CAF">
        <w:rPr>
          <w:lang w:val="en-US"/>
        </w:rPr>
        <w:t>Johnson</w:t>
      </w:r>
      <w:r w:rsidR="00567C98" w:rsidRPr="006E6CAF">
        <w:t xml:space="preserve">, </w:t>
      </w:r>
      <w:proofErr w:type="spellStart"/>
      <w:r w:rsidR="00567C98" w:rsidRPr="006E6CAF">
        <w:t>Schnatterly</w:t>
      </w:r>
      <w:proofErr w:type="spellEnd"/>
      <w:r w:rsidR="006E6CAF" w:rsidRPr="006E6CAF">
        <w:t xml:space="preserve">, </w:t>
      </w:r>
      <w:r w:rsidR="006E6CAF" w:rsidRPr="006E6CAF">
        <w:rPr>
          <w:lang w:val="en-US"/>
        </w:rPr>
        <w:t>Hill</w:t>
      </w:r>
      <w:r w:rsidR="006E6CAF" w:rsidRPr="006E6CAF">
        <w:t>, 2013</w:t>
      </w:r>
      <w:bookmarkEnd w:id="27"/>
      <w:r w:rsidR="006E6CAF" w:rsidRPr="006E6CAF">
        <w:t>]</w:t>
      </w:r>
      <w:r w:rsidR="006E6CAF">
        <w:t xml:space="preserve">. </w:t>
      </w:r>
    </w:p>
    <w:p w14:paraId="7AD119AE" w14:textId="20C88B05" w:rsidR="006E6CAF" w:rsidRDefault="006E6CAF" w:rsidP="00D97FCF">
      <w:pPr>
        <w:pStyle w:val="aff0"/>
      </w:pPr>
      <w:r>
        <w:t>Кроме основных теори</w:t>
      </w:r>
      <w:r w:rsidR="00026317">
        <w:t>й</w:t>
      </w:r>
      <w:r>
        <w:t xml:space="preserve">, существует теория управляющих </w:t>
      </w:r>
      <w:r w:rsidRPr="006E6CAF">
        <w:t>(</w:t>
      </w:r>
      <w:r>
        <w:rPr>
          <w:lang w:val="en-US"/>
        </w:rPr>
        <w:t>stewardship</w:t>
      </w:r>
      <w:r w:rsidRPr="006E6CAF">
        <w:t xml:space="preserve"> </w:t>
      </w:r>
      <w:r>
        <w:rPr>
          <w:lang w:val="en-US"/>
        </w:rPr>
        <w:t>theory</w:t>
      </w:r>
      <w:r w:rsidR="003204F7">
        <w:t xml:space="preserve">), согласно которой менеджерам можно доверять, ведь их интересы в большинстве случаев </w:t>
      </w:r>
      <w:r w:rsidR="00142336">
        <w:t>совпадают</w:t>
      </w:r>
      <w:r w:rsidR="003204F7">
        <w:t xml:space="preserve"> </w:t>
      </w:r>
      <w:r w:rsidR="00FC103F">
        <w:t>с интересами</w:t>
      </w:r>
      <w:r w:rsidR="003204F7">
        <w:t xml:space="preserve"> владельцев </w:t>
      </w:r>
      <w:r w:rsidR="003204F7" w:rsidRPr="003204F7">
        <w:t>[</w:t>
      </w:r>
      <w:bookmarkStart w:id="28" w:name="_Hlk131880877"/>
      <w:proofErr w:type="spellStart"/>
      <w:r w:rsidR="003204F7">
        <w:t>Davis</w:t>
      </w:r>
      <w:proofErr w:type="spellEnd"/>
      <w:r w:rsidR="003204F7">
        <w:t xml:space="preserve">, </w:t>
      </w:r>
      <w:proofErr w:type="spellStart"/>
      <w:r w:rsidR="003204F7">
        <w:t>Schoorman</w:t>
      </w:r>
      <w:proofErr w:type="spellEnd"/>
      <w:r w:rsidR="003204F7">
        <w:t xml:space="preserve">, </w:t>
      </w:r>
      <w:proofErr w:type="spellStart"/>
      <w:r w:rsidR="003204F7">
        <w:t>Donaldson</w:t>
      </w:r>
      <w:proofErr w:type="spellEnd"/>
      <w:r w:rsidR="003204F7">
        <w:t>, 1997</w:t>
      </w:r>
      <w:bookmarkEnd w:id="28"/>
      <w:r w:rsidR="003204F7">
        <w:t xml:space="preserve">; </w:t>
      </w:r>
      <w:bookmarkStart w:id="29" w:name="_Hlk131880885"/>
      <w:r w:rsidR="003204F7">
        <w:t xml:space="preserve">Lane, </w:t>
      </w:r>
      <w:proofErr w:type="spellStart"/>
      <w:r w:rsidR="003204F7" w:rsidRPr="003204F7">
        <w:t>Lubatkin</w:t>
      </w:r>
      <w:proofErr w:type="spellEnd"/>
      <w:r w:rsidR="003204F7" w:rsidRPr="003204F7">
        <w:t>, 1998</w:t>
      </w:r>
      <w:bookmarkEnd w:id="29"/>
      <w:r w:rsidR="003204F7" w:rsidRPr="003204F7">
        <w:t xml:space="preserve">]. </w:t>
      </w:r>
      <w:r w:rsidR="003204F7">
        <w:t xml:space="preserve">Менеджеры работают не только на свою репутацию и признание, но и на финансовые показатели компании, важные для собственников. Так как в функции мониторинга менеджеров больше нет необходимости, более эффективным советом директоров будет </w:t>
      </w:r>
      <w:r w:rsidR="00DF7400">
        <w:t>считаться</w:t>
      </w:r>
      <w:r w:rsidR="003204F7">
        <w:t xml:space="preserve"> тот, в котором большую долю в составе занимают внутренние директора</w:t>
      </w:r>
      <w:r w:rsidR="00142336">
        <w:t xml:space="preserve">, обладающие полными </w:t>
      </w:r>
      <w:r w:rsidR="00DF7400">
        <w:t>знаниями</w:t>
      </w:r>
      <w:r w:rsidR="003204F7">
        <w:t xml:space="preserve"> о компании и приверженны</w:t>
      </w:r>
      <w:r w:rsidR="00DF7400">
        <w:t>е</w:t>
      </w:r>
      <w:r w:rsidR="003204F7">
        <w:t xml:space="preserve"> ей </w:t>
      </w:r>
      <w:r w:rsidR="003204F7" w:rsidRPr="003204F7">
        <w:t>[</w:t>
      </w:r>
      <w:proofErr w:type="spellStart"/>
      <w:r w:rsidR="003204F7">
        <w:t>Davis</w:t>
      </w:r>
      <w:proofErr w:type="spellEnd"/>
      <w:r w:rsidR="003204F7">
        <w:t xml:space="preserve">, </w:t>
      </w:r>
      <w:proofErr w:type="spellStart"/>
      <w:r w:rsidR="003204F7">
        <w:t>Schoorman</w:t>
      </w:r>
      <w:proofErr w:type="spellEnd"/>
      <w:r w:rsidR="003204F7">
        <w:t xml:space="preserve">, </w:t>
      </w:r>
      <w:proofErr w:type="spellStart"/>
      <w:r w:rsidR="003204F7" w:rsidRPr="003204F7">
        <w:t>Donaldson</w:t>
      </w:r>
      <w:proofErr w:type="spellEnd"/>
      <w:r w:rsidR="003204F7" w:rsidRPr="003204F7">
        <w:t>, 1997</w:t>
      </w:r>
      <w:r w:rsidR="003204F7">
        <w:t xml:space="preserve">]. </w:t>
      </w:r>
    </w:p>
    <w:p w14:paraId="7529E0E2" w14:textId="44613884" w:rsidR="00EA6047" w:rsidRDefault="00D21FD9" w:rsidP="00D97FCF">
      <w:pPr>
        <w:pStyle w:val="aff0"/>
      </w:pPr>
      <w:r w:rsidRPr="00026317">
        <w:t>После изучения основных подходов к оценке роли совета директоров в компаниях, необходимо рассмотреть институт совета директоров с позиции законодательных норм и особенностей функционирования в России.</w:t>
      </w:r>
      <w:r>
        <w:t xml:space="preserve"> </w:t>
      </w:r>
      <w:r w:rsidR="00EA6047">
        <w:t xml:space="preserve">К основным документам, регулирующим деятельность механизмов корпоративного управления в России, относятся Федеральный закон № 208 «Об акционерных обществах» и Кодекс корпоративного управления, принятый в 2014 году. В соответствии с ФЗ № 208 «Об акционерных обществах», совет директоров </w:t>
      </w:r>
      <w:r w:rsidR="00EA6047">
        <w:lastRenderedPageBreak/>
        <w:t xml:space="preserve">(наблюдательный совет) является коллегиальным органом управления, члены которого избираются общим собранием акционеров на срок до следующего годового собрания акционеров для осуществления общего руководства деятельностью общества в пределах компетенций, не относящихся к компетенциям общего собрания акционеров. Согласно статье 64 ФЗ № 208 «Об акционерных обществах», совет директоров является обязательным элементом управления в компаниях, в которых численность акционеров превышает 50. </w:t>
      </w:r>
    </w:p>
    <w:p w14:paraId="62A541D3" w14:textId="3C458BA4" w:rsidR="00EA6047" w:rsidRPr="00E07856" w:rsidRDefault="00EA6047" w:rsidP="00D97FCF">
      <w:pPr>
        <w:pStyle w:val="aff0"/>
      </w:pPr>
      <w:r>
        <w:t>Законодательство регламентирует избрание членов совета директоров: избрание осуществляется кумулятивным голосованием, то есть число голосов, принадлежащих акционеру, умножается на количество лиц, избираемых в совет директоров, и акционер может отдать полученные голоса либо полностью за одного кандидата, либо распределить голоса среди нескольких или всех кандидатов. Набравшие наибольшее количество голосов кандидаты и избираются в совет директоров. Согласно Кодексу корпоративного управления, численный состав совета директоров должен быть достаточным для того, чтобы миноритарные акционеры могли избрать своего представителя, и чтобы совет директоров эффективно организовывал свою работу и работу комитетов Совета</w:t>
      </w:r>
      <w:r w:rsidRPr="00540299">
        <w:t xml:space="preserve"> [</w:t>
      </w:r>
      <w:r w:rsidRPr="00D95859">
        <w:rPr>
          <w:rFonts w:cs="Times New Roman"/>
          <w:szCs w:val="24"/>
        </w:rPr>
        <w:t>п. 2.3</w:t>
      </w:r>
      <w:r w:rsidRPr="00540299">
        <w:rPr>
          <w:rFonts w:cs="Times New Roman"/>
          <w:szCs w:val="24"/>
        </w:rPr>
        <w:t>.4</w:t>
      </w:r>
      <w:r w:rsidRPr="00D95859">
        <w:rPr>
          <w:rFonts w:cs="Times New Roman"/>
          <w:szCs w:val="24"/>
        </w:rPr>
        <w:t>,</w:t>
      </w:r>
      <w:r w:rsidRPr="00540299">
        <w:rPr>
          <w:rFonts w:cs="Times New Roman"/>
          <w:szCs w:val="24"/>
        </w:rPr>
        <w:t xml:space="preserve"> </w:t>
      </w:r>
      <w:r w:rsidRPr="00D95859">
        <w:rPr>
          <w:rFonts w:cs="Times New Roman"/>
          <w:szCs w:val="24"/>
        </w:rPr>
        <w:t>Кодекс корпоративного управления</w:t>
      </w:r>
      <w:r w:rsidRPr="00540299">
        <w:rPr>
          <w:rFonts w:cs="Times New Roman"/>
          <w:szCs w:val="24"/>
        </w:rPr>
        <w:t>].</w:t>
      </w:r>
      <w:r>
        <w:t xml:space="preserve"> Законодательство также устанавливает минимальный размер совета директоров для публичных акционерных обществ – 5 человек, для акционерного общества </w:t>
      </w:r>
      <w:r w:rsidRPr="00EC3D75">
        <w:t>с числом акционеров</w:t>
      </w:r>
      <w:r>
        <w:t xml:space="preserve"> (</w:t>
      </w:r>
      <w:r w:rsidRPr="00EC3D75">
        <w:t>владельцев голосующих акций</w:t>
      </w:r>
      <w:r>
        <w:t>)</w:t>
      </w:r>
      <w:r w:rsidRPr="00EC3D75">
        <w:t xml:space="preserve"> более </w:t>
      </w:r>
      <w:r>
        <w:t>1 тысячи</w:t>
      </w:r>
      <w:r w:rsidRPr="00EC3D75">
        <w:t xml:space="preserve"> </w:t>
      </w:r>
      <w:r>
        <w:t>- 7</w:t>
      </w:r>
      <w:r w:rsidRPr="00EC3D75">
        <w:t xml:space="preserve"> членов,</w:t>
      </w:r>
      <w:r>
        <w:t xml:space="preserve"> для</w:t>
      </w:r>
      <w:r w:rsidRPr="00EC3D75">
        <w:t xml:space="preserve"> общества с числом акционеров </w:t>
      </w:r>
      <w:r>
        <w:t>(</w:t>
      </w:r>
      <w:r w:rsidRPr="00EC3D75">
        <w:t>владельцев голосующих акций</w:t>
      </w:r>
      <w:r>
        <w:t>)</w:t>
      </w:r>
      <w:r w:rsidRPr="00EC3D75">
        <w:t xml:space="preserve"> более </w:t>
      </w:r>
      <w:r>
        <w:t>10</w:t>
      </w:r>
      <w:r w:rsidRPr="00EC3D75">
        <w:t xml:space="preserve"> тысяч - </w:t>
      </w:r>
      <w:r>
        <w:t>9</w:t>
      </w:r>
      <w:r w:rsidRPr="00EC3D75">
        <w:t xml:space="preserve"> членов</w:t>
      </w:r>
      <w:r>
        <w:t xml:space="preserve"> </w:t>
      </w:r>
      <w:r w:rsidRPr="00E07856">
        <w:t>[</w:t>
      </w:r>
      <w:r>
        <w:t>ст. 66, ФЗ «об АО», 1995</w:t>
      </w:r>
      <w:r w:rsidRPr="00E07856">
        <w:t xml:space="preserve">]. </w:t>
      </w:r>
    </w:p>
    <w:p w14:paraId="78DB2214" w14:textId="380601E1" w:rsidR="00EA6047" w:rsidRDefault="00EA6047" w:rsidP="00D97FCF">
      <w:pPr>
        <w:pStyle w:val="aff0"/>
        <w:rPr>
          <w:rFonts w:cs="Times New Roman"/>
          <w:szCs w:val="24"/>
        </w:rPr>
      </w:pPr>
      <w:r>
        <w:t>К</w:t>
      </w:r>
      <w:r w:rsidR="006D5168">
        <w:t xml:space="preserve"> основным компетенциям совета директоров</w:t>
      </w:r>
      <w:r>
        <w:t xml:space="preserve"> законодательство РФ относит целый спектр задач: опре</w:t>
      </w:r>
      <w:r>
        <w:rPr>
          <w:rFonts w:cs="Times New Roman"/>
          <w:szCs w:val="24"/>
        </w:rPr>
        <w:t>делени</w:t>
      </w:r>
      <w:r w:rsidR="0002631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приоритетных направлений деятельности общества, осуществление стратегического руководства, защита прав акционеров, урегулирование корпоративных конфликтов, формирование дивидендной политики, образование исполнительного органа, контроль за его деятельностью и оценка результатов работы, решение вопросов по управлению уставным капиталом и активами, предварительное утверждение годового отчета и годовой финансовой отчетности, управление рисками и определение принципов организации внутреннего контроля и аудита. Многие эксперты выделяют две ключевые компетенции совета директоров: это мониторинг исполнительного органа </w:t>
      </w:r>
      <w:bookmarkStart w:id="30" w:name="_Hlk136026476"/>
      <w:r>
        <w:rPr>
          <w:rFonts w:cs="Times New Roman"/>
          <w:szCs w:val="24"/>
        </w:rPr>
        <w:t>–</w:t>
      </w:r>
      <w:bookmarkEnd w:id="30"/>
      <w:r>
        <w:rPr>
          <w:rFonts w:cs="Times New Roman"/>
          <w:szCs w:val="24"/>
        </w:rPr>
        <w:t xml:space="preserve"> менеджеров компании</w:t>
      </w:r>
      <w:r w:rsidR="00026317">
        <w:rPr>
          <w:rFonts w:cs="Times New Roman"/>
          <w:szCs w:val="24"/>
        </w:rPr>
        <w:t xml:space="preserve"> </w:t>
      </w:r>
      <w:r w:rsidR="00026317" w:rsidRPr="0002631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и осуществление стратегического руководства. Тем не менее, изначально деятельность совета директоров в России носила формальный характер, так как в 1990-х годах про</w:t>
      </w:r>
      <w:r w:rsidR="0002631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сходило принудительное внедрение норм корпоративного управления. Однако для развития международных отношений и выхода на зарубежные рынки компаниям пришлось решать проблемы, связанные с защитой прав миноритариев и </w:t>
      </w:r>
      <w:r>
        <w:rPr>
          <w:rFonts w:cs="Times New Roman"/>
          <w:szCs w:val="24"/>
        </w:rPr>
        <w:lastRenderedPageBreak/>
        <w:t xml:space="preserve">с недостаточной прозрачностью бизнеса, что привело к изменению роли совета директоров: от формального института власти до эффективного механизма повышения инвестиционной привлекательности компании и реального инструмента корпоративного управления </w:t>
      </w:r>
      <w:r w:rsidRPr="0025295A">
        <w:rPr>
          <w:rFonts w:cs="Times New Roman"/>
          <w:szCs w:val="24"/>
        </w:rPr>
        <w:t>[</w:t>
      </w:r>
      <w:proofErr w:type="spellStart"/>
      <w:r>
        <w:rPr>
          <w:rFonts w:cs="Times New Roman"/>
          <w:szCs w:val="24"/>
        </w:rPr>
        <w:t>Дуляк</w:t>
      </w:r>
      <w:proofErr w:type="spellEnd"/>
      <w:r>
        <w:rPr>
          <w:rFonts w:cs="Times New Roman"/>
          <w:szCs w:val="24"/>
        </w:rPr>
        <w:t>, 2015</w:t>
      </w:r>
      <w:r w:rsidRPr="0025295A">
        <w:rPr>
          <w:rFonts w:cs="Times New Roman"/>
          <w:szCs w:val="24"/>
        </w:rPr>
        <w:t xml:space="preserve">]. </w:t>
      </w:r>
    </w:p>
    <w:p w14:paraId="4BE6ED49" w14:textId="0EF0767A" w:rsidR="00EA6047" w:rsidRDefault="00EA6047" w:rsidP="00D97FCF">
      <w:pPr>
        <w:pStyle w:val="aff0"/>
      </w:pPr>
      <w:r>
        <w:rPr>
          <w:rFonts w:cs="Times New Roman"/>
          <w:szCs w:val="24"/>
        </w:rPr>
        <w:t xml:space="preserve">Ключевой фигурой в совете директоров любого акционерного общества является Председатель, избираемый членами Совета из их числа большинством голосов. Из приказа Росимущества от 21.11.2013 № 357 «Об утверждении Методических рекомендаций по организации Совета директоров в АО» следует, что Председатель выполняет ряд важных задач: планирует работу Совета, инициирует и организовывает ежегодную оценку его деятельности, а также интерпретирует результаты оценки для акционеров. </w:t>
      </w:r>
    </w:p>
    <w:p w14:paraId="4357F243" w14:textId="444FE109" w:rsidR="008D3B84" w:rsidRDefault="00DF7400" w:rsidP="00D97FCF">
      <w:pPr>
        <w:pStyle w:val="aff0"/>
      </w:pPr>
      <w:r>
        <w:t>Нельзя не отметить особое влияние государства в российской экономике и роль компаний с государственным участием. Как отмечалось ранее, в исследовании, проведенным</w:t>
      </w:r>
      <w:r w:rsidRPr="009104E3">
        <w:t xml:space="preserve"> </w:t>
      </w:r>
      <w:r>
        <w:t>Научно-учебной лабораторией исследований в области бизнес-коммуникаций ВШЭ совместно с Ассоциацией профессиональных инвесторов, утверждается, что компании с государственным участием сильно влияют на общий уровень корпоративного управления в стране</w:t>
      </w:r>
      <w:r w:rsidR="00706ACC">
        <w:rPr>
          <w:rStyle w:val="ac"/>
        </w:rPr>
        <w:footnoteReference w:id="7"/>
      </w:r>
      <w:r>
        <w:t>. Именно поэтому данное исследование фокусируется на изучении</w:t>
      </w:r>
      <w:r w:rsidR="00706ACC">
        <w:t xml:space="preserve"> характеристик советов директоров таких компаний. </w:t>
      </w:r>
    </w:p>
    <w:p w14:paraId="756B55BD" w14:textId="2C9709AB" w:rsidR="00F55700" w:rsidRDefault="007207DD" w:rsidP="0062070C">
      <w:pPr>
        <w:pStyle w:val="2"/>
      </w:pPr>
      <w:bookmarkStart w:id="32" w:name="_Toc136001536"/>
      <w:r>
        <w:t>1.</w:t>
      </w:r>
      <w:r w:rsidR="006D5168">
        <w:t>3</w:t>
      </w:r>
      <w:r w:rsidR="00F55700">
        <w:t xml:space="preserve"> </w:t>
      </w:r>
      <w:r>
        <w:t>Особенности к</w:t>
      </w:r>
      <w:r w:rsidR="00F55700">
        <w:t>омпани</w:t>
      </w:r>
      <w:r>
        <w:t>й</w:t>
      </w:r>
      <w:r w:rsidR="00F55700">
        <w:t xml:space="preserve"> с государственным участием</w:t>
      </w:r>
      <w:bookmarkEnd w:id="32"/>
      <w:r w:rsidR="00F55700">
        <w:t xml:space="preserve"> </w:t>
      </w:r>
    </w:p>
    <w:p w14:paraId="31C522A1" w14:textId="1DE8E58F" w:rsidR="0099565D" w:rsidRPr="003D1FDC" w:rsidRDefault="00DD26B8" w:rsidP="00D97FCF">
      <w:pPr>
        <w:pStyle w:val="aff0"/>
      </w:pPr>
      <w:r>
        <w:t xml:space="preserve">Специфика деятельности компаний с государственным участием в структуре собственности волнует многих зарубежных и отечественных исследователей в сфере корпоративного управления </w:t>
      </w:r>
      <w:r w:rsidRPr="00DD26B8">
        <w:t>[</w:t>
      </w:r>
      <w:r>
        <w:t xml:space="preserve">Березинец, Ильина, Смирнов, 2016; </w:t>
      </w:r>
      <w:bookmarkStart w:id="33" w:name="_Hlk131880925"/>
      <w:proofErr w:type="spellStart"/>
      <w:r>
        <w:t>Авдашева</w:t>
      </w:r>
      <w:proofErr w:type="spellEnd"/>
      <w:r>
        <w:t xml:space="preserve">, </w:t>
      </w:r>
      <w:proofErr w:type="spellStart"/>
      <w:r>
        <w:t>Долгопятова</w:t>
      </w:r>
      <w:proofErr w:type="spellEnd"/>
      <w:r>
        <w:t xml:space="preserve">, </w:t>
      </w:r>
      <w:proofErr w:type="spellStart"/>
      <w:r>
        <w:t>Пляйнес</w:t>
      </w:r>
      <w:proofErr w:type="spellEnd"/>
      <w:r>
        <w:t xml:space="preserve">, 2007; </w:t>
      </w:r>
      <w:proofErr w:type="spellStart"/>
      <w:r>
        <w:rPr>
          <w:lang w:val="en-US"/>
        </w:rPr>
        <w:t>Daiser</w:t>
      </w:r>
      <w:proofErr w:type="spellEnd"/>
      <w:r w:rsidRPr="00DD26B8">
        <w:t xml:space="preserve">, </w:t>
      </w:r>
      <w:proofErr w:type="spellStart"/>
      <w:r>
        <w:rPr>
          <w:lang w:val="en-US"/>
        </w:rPr>
        <w:t>Ysa</w:t>
      </w:r>
      <w:proofErr w:type="spellEnd"/>
      <w:r w:rsidRPr="00DD26B8">
        <w:t xml:space="preserve">, </w:t>
      </w:r>
      <w:r>
        <w:rPr>
          <w:lang w:val="en-US"/>
        </w:rPr>
        <w:t>Schmitt</w:t>
      </w:r>
      <w:r>
        <w:t>, 2017</w:t>
      </w:r>
      <w:bookmarkEnd w:id="33"/>
      <w:r>
        <w:t xml:space="preserve">]. </w:t>
      </w:r>
      <w:r w:rsidR="00F9480E">
        <w:t xml:space="preserve">Особое внимание в практике корпоративного управления заслужили </w:t>
      </w:r>
      <w:r w:rsidR="00706ACC">
        <w:t>государственные</w:t>
      </w:r>
      <w:r w:rsidR="00F9480E">
        <w:t xml:space="preserve"> компании из стран ОЭСР (США, Великобритания, Швейцария, Сингапур </w:t>
      </w:r>
      <w:r w:rsidR="003D1FDC">
        <w:t xml:space="preserve">и другие). И. Ю. Беляева и М.М. Пухова </w:t>
      </w:r>
      <w:r w:rsidR="003D1FDC" w:rsidRPr="003D1FDC">
        <w:t>[</w:t>
      </w:r>
      <w:bookmarkStart w:id="34" w:name="_Hlk131880954"/>
      <w:r w:rsidR="003D1FDC">
        <w:t>Беляева, Пухова, 2014</w:t>
      </w:r>
      <w:bookmarkEnd w:id="34"/>
      <w:r w:rsidR="003D1FDC" w:rsidRPr="003D1FDC">
        <w:t xml:space="preserve">] </w:t>
      </w:r>
      <w:r w:rsidR="003D1FDC">
        <w:t xml:space="preserve">в своей работе рассмотрели опыт компаний с государственным участием как раз из развитых стран ОЭСР, ведь именно там реализуются наиболее эффективные механизмы по улучшению системы корпоративного управления. </w:t>
      </w:r>
      <w:r w:rsidR="0071105A">
        <w:t>В 2005 году было разработано «</w:t>
      </w:r>
      <w:r w:rsidR="0071105A" w:rsidRPr="0071105A">
        <w:t>Руководство ОЭСР по корпоративному управлению на государственных предприятиях</w:t>
      </w:r>
      <w:r w:rsidR="0071105A">
        <w:t>», в котором термин «</w:t>
      </w:r>
      <w:r w:rsidR="0071105A" w:rsidRPr="0071105A">
        <w:t>госпредприятия» относится к предприятиям, которые государство контролирует через стопроцентную, контрольную или неконтрольную, но значительную долю собственности</w:t>
      </w:r>
      <w:r w:rsidR="0071105A">
        <w:t xml:space="preserve"> </w:t>
      </w:r>
      <w:r w:rsidR="0071105A" w:rsidRPr="0071105A">
        <w:t>[</w:t>
      </w:r>
      <w:bookmarkStart w:id="35" w:name="_Hlk131880984"/>
      <w:r w:rsidR="0071105A">
        <w:t>Вишневская, 2010</w:t>
      </w:r>
      <w:bookmarkEnd w:id="35"/>
      <w:r w:rsidR="0071105A" w:rsidRPr="0071105A">
        <w:t>]</w:t>
      </w:r>
      <w:r w:rsidR="0071105A">
        <w:t xml:space="preserve">. И. Ю. Беляева и М.М. Пухова </w:t>
      </w:r>
      <w:r w:rsidR="003D1FDC">
        <w:t>отмечают</w:t>
      </w:r>
      <w:r w:rsidR="0071105A">
        <w:t xml:space="preserve"> некоторые основные рекомендации ОЭСР: рынок должен быть справедливым и открытым одинаково к государственным и </w:t>
      </w:r>
      <w:r w:rsidR="00706ACC">
        <w:t>негосударственным</w:t>
      </w:r>
      <w:r w:rsidR="0071105A">
        <w:t xml:space="preserve"> компаниям, для которых должны быть </w:t>
      </w:r>
      <w:r w:rsidR="0071105A">
        <w:lastRenderedPageBreak/>
        <w:t xml:space="preserve">одинаковые конкурентные условия; на </w:t>
      </w:r>
      <w:r w:rsidR="00706ACC">
        <w:t>государственные</w:t>
      </w:r>
      <w:r w:rsidR="0071105A">
        <w:t xml:space="preserve"> предприятия распространяются общие законы и правила, обеспечивающие соблюдение прав всех заинтересованных сторон; </w:t>
      </w:r>
      <w:r w:rsidR="00706ACC">
        <w:t>правительство</w:t>
      </w:r>
      <w:r w:rsidR="0071105A">
        <w:t xml:space="preserve"> как акционер должно быть информированным и активным собственником. </w:t>
      </w:r>
      <w:r w:rsidR="00284855">
        <w:t xml:space="preserve">Кроме того, в таких странах нет </w:t>
      </w:r>
      <w:r w:rsidR="00706ACC">
        <w:t>принципиальных</w:t>
      </w:r>
      <w:r w:rsidR="00284855">
        <w:t xml:space="preserve"> различий в структуре совета директоров госпредприятий и частных компаний, однако в некоторых </w:t>
      </w:r>
      <w:r w:rsidR="00706ACC">
        <w:t>государственных</w:t>
      </w:r>
      <w:r w:rsidR="00284855">
        <w:t xml:space="preserve"> компаниях присутствуют представители главного акционера – </w:t>
      </w:r>
      <w:r w:rsidR="00706ACC">
        <w:t>государства</w:t>
      </w:r>
      <w:r w:rsidR="00284855">
        <w:t xml:space="preserve"> в составе совета директоров, что характерно для Швеции, Германии и Франции. Другой особенностью части стран ОЭСР </w:t>
      </w:r>
      <w:r w:rsidR="00706ACC">
        <w:t>является</w:t>
      </w:r>
      <w:r w:rsidR="00284855">
        <w:t xml:space="preserve"> присутствие представителей работников в составе совета директоров, это можно встретить в Австрии, Германии, Чехии и других странах, в которых у работников есть дополнительные юридические возможности. </w:t>
      </w:r>
    </w:p>
    <w:p w14:paraId="72CE54C6" w14:textId="39B3D956" w:rsidR="00F55700" w:rsidRDefault="00DD26B8" w:rsidP="00D97FCF">
      <w:pPr>
        <w:pStyle w:val="aff0"/>
      </w:pPr>
      <w:r>
        <w:t>История российских компаний с государс</w:t>
      </w:r>
      <w:r w:rsidR="0099565D">
        <w:t>т</w:t>
      </w:r>
      <w:r>
        <w:t>венным участием берет сво</w:t>
      </w:r>
      <w:r w:rsidR="0099565D">
        <w:t xml:space="preserve">е начало в </w:t>
      </w:r>
      <w:r w:rsidR="00706ACC">
        <w:t>1990-х</w:t>
      </w:r>
      <w:r w:rsidR="0099565D">
        <w:t xml:space="preserve"> годах, после активных процессов приватизации, когда были образованы </w:t>
      </w:r>
      <w:r w:rsidR="00F9480E">
        <w:t xml:space="preserve">акционерные общества </w:t>
      </w:r>
      <w:r w:rsidR="0099565D">
        <w:t>с</w:t>
      </w:r>
      <w:r w:rsidR="00F9480E">
        <w:t xml:space="preserve"> различной структурой капитала.  </w:t>
      </w:r>
      <w:r w:rsidR="00C2166F">
        <w:t xml:space="preserve">Согласно классификации </w:t>
      </w:r>
      <w:r w:rsidR="00A04412">
        <w:t xml:space="preserve">ОЭСР </w:t>
      </w:r>
      <w:r w:rsidR="00C2166F">
        <w:t xml:space="preserve">моделей управления в государственных компаниях, Россия относится к «дуальной» модели, то есть кроме отраслевого («функционального») министерства определенные права в отношении компаний в госсобственности воплощает специальный орган финансово-экономического плана </w:t>
      </w:r>
      <w:r w:rsidR="00C2166F" w:rsidRPr="00C2166F">
        <w:t>[</w:t>
      </w:r>
      <w:r w:rsidR="00C2166F">
        <w:t>Березинец, Ильина, Смирнов, 2016</w:t>
      </w:r>
      <w:r w:rsidR="00C2166F" w:rsidRPr="00C2166F">
        <w:t xml:space="preserve">]. </w:t>
      </w:r>
      <w:r w:rsidR="00C2166F">
        <w:t xml:space="preserve">В соответствии с </w:t>
      </w:r>
      <w:r w:rsidR="00706ACC" w:rsidRPr="0054564F">
        <w:rPr>
          <w:color w:val="000000" w:themeColor="text1"/>
        </w:rPr>
        <w:t>Постановлением</w:t>
      </w:r>
      <w:r w:rsidR="00C2166F" w:rsidRPr="0054564F">
        <w:rPr>
          <w:color w:val="000000" w:themeColor="text1"/>
        </w:rPr>
        <w:t xml:space="preserve"> </w:t>
      </w:r>
      <w:r w:rsidR="00706ACC" w:rsidRPr="0054564F">
        <w:rPr>
          <w:color w:val="000000" w:themeColor="text1"/>
        </w:rPr>
        <w:t>Правительства</w:t>
      </w:r>
      <w:r w:rsidR="00C2166F" w:rsidRPr="0054564F">
        <w:rPr>
          <w:color w:val="000000" w:themeColor="text1"/>
        </w:rPr>
        <w:t xml:space="preserve"> РФ от 03.12.2004 </w:t>
      </w:r>
      <w:r w:rsidR="00C2166F">
        <w:t xml:space="preserve">№738, ключевым органом, на который возложено </w:t>
      </w:r>
      <w:r w:rsidR="00706ACC">
        <w:t>осуществление</w:t>
      </w:r>
      <w:r w:rsidR="00C2166F">
        <w:t xml:space="preserve"> прав собственности </w:t>
      </w:r>
      <w:r w:rsidR="004E457F">
        <w:t xml:space="preserve">от имени государства, является Росимущество. </w:t>
      </w:r>
      <w:r w:rsidR="00A04412">
        <w:t xml:space="preserve">Согласно «дуальной» модели, Росимущество </w:t>
      </w:r>
      <w:r w:rsidR="00706ACC">
        <w:t>осуществляет</w:t>
      </w:r>
      <w:r w:rsidR="00A04412">
        <w:t xml:space="preserve"> права акционера на основании предложений «функционального» органа, которому «отведены функции выработки </w:t>
      </w:r>
      <w:r w:rsidR="00706ACC">
        <w:t>государственной</w:t>
      </w:r>
      <w:r w:rsidR="00A04412">
        <w:t xml:space="preserve"> политики, координации и </w:t>
      </w:r>
      <w:r w:rsidR="00706ACC">
        <w:t>регулирования</w:t>
      </w:r>
      <w:r w:rsidR="00A04412">
        <w:t xml:space="preserve"> в соответствующей сфере деятельность АО»</w:t>
      </w:r>
      <w:r w:rsidR="00A04412">
        <w:rPr>
          <w:rStyle w:val="ac"/>
        </w:rPr>
        <w:footnoteReference w:id="8"/>
      </w:r>
      <w:r w:rsidR="008A447D">
        <w:t xml:space="preserve">. К примеру, в роли отраслевого органа может выступать Минпромторг, Минсельхоз или Минэнерго России. </w:t>
      </w:r>
      <w:r w:rsidR="00E97EDD">
        <w:t xml:space="preserve">Акционером госкомпании может выступать не только Росимущество, а также </w:t>
      </w:r>
      <w:r w:rsidR="00706ACC">
        <w:t>некоммерческие</w:t>
      </w:r>
      <w:r w:rsidR="00E97EDD">
        <w:t xml:space="preserve"> организации – ГК </w:t>
      </w:r>
      <w:r w:rsidR="00706ACC">
        <w:t>«</w:t>
      </w:r>
      <w:proofErr w:type="spellStart"/>
      <w:r w:rsidR="00E97EDD">
        <w:t>Ростех</w:t>
      </w:r>
      <w:proofErr w:type="spellEnd"/>
      <w:r w:rsidR="00706ACC">
        <w:t>»</w:t>
      </w:r>
      <w:r w:rsidR="00E97EDD">
        <w:t xml:space="preserve"> и ГК </w:t>
      </w:r>
      <w:r w:rsidR="00706ACC">
        <w:t>«</w:t>
      </w:r>
      <w:r w:rsidR="00E97EDD">
        <w:t>Внешэкономбанк</w:t>
      </w:r>
      <w:r w:rsidR="00706ACC">
        <w:t>»</w:t>
      </w:r>
      <w:r w:rsidR="00E97EDD">
        <w:t xml:space="preserve"> и Центральный Банк РФ. Также владельцем может выступ</w:t>
      </w:r>
      <w:r w:rsidR="00A91A91">
        <w:t>а</w:t>
      </w:r>
      <w:r w:rsidR="00E97EDD">
        <w:t xml:space="preserve">ть субъект РФ или муниципальный орган, однако такую компанию только косвенно можно отнести к </w:t>
      </w:r>
      <w:r w:rsidR="00706ACC">
        <w:t>государственной</w:t>
      </w:r>
      <w:r w:rsidR="00E97EDD">
        <w:t xml:space="preserve">. Например, доля </w:t>
      </w:r>
      <w:r w:rsidR="00011BAF">
        <w:t>Республики Татарстан</w:t>
      </w:r>
      <w:r w:rsidR="00E97EDD">
        <w:t xml:space="preserve"> в капитале компании ПАО «Татнефть» составляет 34%</w:t>
      </w:r>
      <w:r w:rsidR="00E97EDD">
        <w:rPr>
          <w:rStyle w:val="ac"/>
        </w:rPr>
        <w:footnoteReference w:id="9"/>
      </w:r>
      <w:r w:rsidR="00E97EDD">
        <w:t xml:space="preserve">. </w:t>
      </w:r>
    </w:p>
    <w:p w14:paraId="594711D2" w14:textId="3003A97E" w:rsidR="00527C3E" w:rsidRDefault="00011BAF" w:rsidP="00D97FCF">
      <w:pPr>
        <w:pStyle w:val="aff0"/>
      </w:pPr>
      <w:r>
        <w:t>На сегодняшний день</w:t>
      </w:r>
      <w:r w:rsidR="007604E1">
        <w:t xml:space="preserve"> государство является мажоритарным акционером большинства крупнейших предприятий в сфере промышленности, полезных ископаемых, </w:t>
      </w:r>
      <w:r w:rsidR="007604E1">
        <w:lastRenderedPageBreak/>
        <w:t xml:space="preserve">электроэнергетике и многих других. Оценки доли госсектора в экономике среди экспертов сильно </w:t>
      </w:r>
      <w:r w:rsidR="00706ACC">
        <w:t>разнятся</w:t>
      </w:r>
      <w:r w:rsidR="007604E1">
        <w:t>, ведь, согласно Аналитическому центру при Правительстве РФ, не существует единого метода этой оценки</w:t>
      </w:r>
      <w:r w:rsidR="007604E1">
        <w:rPr>
          <w:rStyle w:val="ac"/>
        </w:rPr>
        <w:footnoteReference w:id="10"/>
      </w:r>
      <w:r w:rsidR="007604E1">
        <w:t xml:space="preserve">. Эксперты Международного валютного фонда (МВФ) утверждают, что </w:t>
      </w:r>
      <w:r w:rsidR="00AC2686">
        <w:t xml:space="preserve">в 2016 доля </w:t>
      </w:r>
      <w:r w:rsidR="00706ACC">
        <w:t>госсектора</w:t>
      </w:r>
      <w:r w:rsidR="00AC2686">
        <w:t xml:space="preserve"> составляла</w:t>
      </w:r>
      <w:r w:rsidR="007604E1">
        <w:t xml:space="preserve"> 33% от общего производства в стране</w:t>
      </w:r>
      <w:r w:rsidR="002C334E">
        <w:rPr>
          <w:rStyle w:val="ac"/>
        </w:rPr>
        <w:footnoteReference w:id="11"/>
      </w:r>
      <w:r w:rsidR="007604E1">
        <w:t xml:space="preserve">, тогда как </w:t>
      </w:r>
      <w:r w:rsidR="00AC2686">
        <w:t>ФАС говорит об увеличени</w:t>
      </w:r>
      <w:r w:rsidR="00B13ECF">
        <w:t>и</w:t>
      </w:r>
      <w:r w:rsidR="00AC2686">
        <w:t xml:space="preserve"> влияния государства с 35% в 2005 году до 70% в 2015</w:t>
      </w:r>
      <w:r w:rsidR="002C334E">
        <w:rPr>
          <w:rStyle w:val="ac"/>
        </w:rPr>
        <w:footnoteReference w:id="12"/>
      </w:r>
      <w:r w:rsidR="00AC2686">
        <w:t xml:space="preserve">. Аналитическое </w:t>
      </w:r>
      <w:r w:rsidR="00706ACC">
        <w:t>агентство</w:t>
      </w:r>
      <w:r w:rsidR="00AC2686">
        <w:t xml:space="preserve"> </w:t>
      </w:r>
      <w:r w:rsidR="00AC2686">
        <w:rPr>
          <w:lang w:val="en-US"/>
        </w:rPr>
        <w:t>Moody</w:t>
      </w:r>
      <w:r w:rsidR="00AC2686" w:rsidRPr="00AC2686">
        <w:t>’</w:t>
      </w:r>
      <w:r w:rsidR="00AC2686">
        <w:rPr>
          <w:lang w:val="en-US"/>
        </w:rPr>
        <w:t>s</w:t>
      </w:r>
      <w:r w:rsidR="00AC2686" w:rsidRPr="00AC2686">
        <w:t xml:space="preserve"> </w:t>
      </w:r>
      <w:r w:rsidR="00AC2686">
        <w:t xml:space="preserve">оценивает долю госсектора в </w:t>
      </w:r>
      <w:r w:rsidR="00706ACC">
        <w:t>40–50</w:t>
      </w:r>
      <w:r w:rsidR="00AC2686">
        <w:t xml:space="preserve">%, что также соответствует данным Центра стратегических разработок </w:t>
      </w:r>
      <w:r w:rsidR="002A2C52">
        <w:t xml:space="preserve">(ЦСР) </w:t>
      </w:r>
      <w:r w:rsidR="00AC2686">
        <w:t>по итогам 2016 года – 46% от ВВП России</w:t>
      </w:r>
      <w:r w:rsidR="002C334E">
        <w:rPr>
          <w:rStyle w:val="ac"/>
        </w:rPr>
        <w:footnoteReference w:id="13"/>
      </w:r>
      <w:r w:rsidR="00AC2686">
        <w:t xml:space="preserve">. МВФ в докладе подчеркивает, что </w:t>
      </w:r>
      <w:r w:rsidR="00706ACC">
        <w:t>государственное</w:t>
      </w:r>
      <w:r w:rsidR="00AC2686">
        <w:t xml:space="preserve"> участие особенно велико в </w:t>
      </w:r>
      <w:r w:rsidR="002C334E">
        <w:t>стратегических</w:t>
      </w:r>
      <w:r w:rsidR="00AC2686">
        <w:t xml:space="preserve"> отраслях: добыча нефти и газа, оборона, естественны</w:t>
      </w:r>
      <w:r w:rsidR="00B13ECF">
        <w:t>е</w:t>
      </w:r>
      <w:r w:rsidR="00AC2686">
        <w:t xml:space="preserve"> монополи</w:t>
      </w:r>
      <w:r w:rsidR="00B13ECF">
        <w:t>и</w:t>
      </w:r>
      <w:r w:rsidR="00AC2686">
        <w:t xml:space="preserve"> и </w:t>
      </w:r>
      <w:r w:rsidR="002C334E">
        <w:t>государственн</w:t>
      </w:r>
      <w:r w:rsidR="00B13ECF">
        <w:t>ые</w:t>
      </w:r>
      <w:r w:rsidR="00AC2686">
        <w:t xml:space="preserve"> служб</w:t>
      </w:r>
      <w:r w:rsidR="00B13ECF">
        <w:t xml:space="preserve">ы </w:t>
      </w:r>
      <w:r w:rsidR="00AC2686">
        <w:t>(электроэнергия, транспорт, водоснабжение)</w:t>
      </w:r>
      <w:r w:rsidR="00486D2B">
        <w:t>. Т</w:t>
      </w:r>
      <w:r w:rsidR="00AC2686">
        <w:t xml:space="preserve">огда как частными </w:t>
      </w:r>
      <w:r w:rsidR="002C334E">
        <w:t>отраслями</w:t>
      </w:r>
      <w:r w:rsidR="00AC2686">
        <w:t xml:space="preserve"> являются </w:t>
      </w:r>
      <w:r w:rsidR="002C334E">
        <w:t>сельское хозяйство</w:t>
      </w:r>
      <w:r w:rsidR="00AC2686">
        <w:t xml:space="preserve">, торговля и пищевая промышленность. Кроме того, государство сильно доминирует в </w:t>
      </w:r>
      <w:r w:rsidR="002C334E">
        <w:t>финансовом</w:t>
      </w:r>
      <w:r w:rsidR="00AC2686">
        <w:t xml:space="preserve"> секторе: более двух третей банковской системы является </w:t>
      </w:r>
      <w:r w:rsidR="002C334E">
        <w:t>собственностью</w:t>
      </w:r>
      <w:r w:rsidR="00AC2686">
        <w:t xml:space="preserve"> </w:t>
      </w:r>
      <w:r w:rsidR="002C334E">
        <w:t>государственных</w:t>
      </w:r>
      <w:r w:rsidR="00AC2686">
        <w:t xml:space="preserve"> банков. </w:t>
      </w:r>
      <w:r w:rsidR="00AE2140">
        <w:t xml:space="preserve">Если единой оценки доли </w:t>
      </w:r>
      <w:r w:rsidR="002C334E">
        <w:t>госсектора</w:t>
      </w:r>
      <w:r w:rsidR="00AE2140">
        <w:t xml:space="preserve"> в экономике страны эксперты дать не могут, то единое мнение о влиянии значительного участия </w:t>
      </w:r>
      <w:r w:rsidR="002C334E">
        <w:t>государства</w:t>
      </w:r>
      <w:r w:rsidR="00AE2140">
        <w:t xml:space="preserve"> в экономике прослеживается во всех отчетах. Доминирование </w:t>
      </w:r>
      <w:r w:rsidR="002C334E">
        <w:t>госсектора</w:t>
      </w:r>
      <w:r w:rsidR="00AE2140">
        <w:t xml:space="preserve"> отрицательно влияет на рыночную конкуренцию, создавая неравные условия для деловой активности, препятствует росту инвестиций и производительности</w:t>
      </w:r>
      <w:r w:rsidR="002A2C52">
        <w:t xml:space="preserve">. В 2021 году ЦСР уже оценивает долю госсектора в 56,2% как исторический максимум. </w:t>
      </w:r>
      <w:r w:rsidR="002C334E">
        <w:t>В связи с недавними новыми геополитическими рисками</w:t>
      </w:r>
      <w:r w:rsidR="002A2C52">
        <w:t xml:space="preserve"> министр экономического развития Максим Решетников утверждает, что роль </w:t>
      </w:r>
      <w:r w:rsidR="002C334E">
        <w:t>государства</w:t>
      </w:r>
      <w:r w:rsidR="002A2C52">
        <w:t xml:space="preserve"> должн</w:t>
      </w:r>
      <w:r w:rsidR="00914F7A">
        <w:t>а</w:t>
      </w:r>
      <w:r w:rsidR="002A2C52">
        <w:t xml:space="preserve"> только возрасти, что станет ответом на замедление деловой активности</w:t>
      </w:r>
      <w:r w:rsidR="002A2C52">
        <w:rPr>
          <w:rStyle w:val="ac"/>
        </w:rPr>
        <w:footnoteReference w:id="14"/>
      </w:r>
      <w:r w:rsidR="002A2C52">
        <w:t xml:space="preserve">. </w:t>
      </w:r>
    </w:p>
    <w:p w14:paraId="7269422B" w14:textId="178A17C6" w:rsidR="00FD3459" w:rsidRPr="00914F7A" w:rsidRDefault="00914F7A" w:rsidP="00D97FCF">
      <w:pPr>
        <w:pStyle w:val="aff0"/>
      </w:pPr>
      <w:r>
        <w:t xml:space="preserve">Кроме прямого участия государства в структуре </w:t>
      </w:r>
      <w:r w:rsidR="002C334E">
        <w:t>собственности</w:t>
      </w:r>
      <w:r>
        <w:t xml:space="preserve"> многих АО, в России распространено косвенное участие через контроль над материнской компанией, имеющей власть над дочерним обществом. </w:t>
      </w:r>
      <w:r w:rsidR="00A91A91">
        <w:t>Ярким примером является крупнейший российский энергохолдинг – ПАО «</w:t>
      </w:r>
      <w:r w:rsidR="002C334E">
        <w:t>Россети</w:t>
      </w:r>
      <w:r w:rsidR="00A91A91">
        <w:t>», контрольный пакет акций которого принадлежит Росимуществу в размере 88%</w:t>
      </w:r>
      <w:r w:rsidR="00A91A91">
        <w:rPr>
          <w:rStyle w:val="ac"/>
        </w:rPr>
        <w:footnoteReference w:id="15"/>
      </w:r>
      <w:r w:rsidR="00A91A91">
        <w:t xml:space="preserve">. </w:t>
      </w:r>
      <w:r w:rsidR="002C334E">
        <w:t>Россети</w:t>
      </w:r>
      <w:r w:rsidR="00A91A91">
        <w:t xml:space="preserve"> имеет множество дочерних акционерных обществ, которые из-за значительного </w:t>
      </w:r>
      <w:r w:rsidR="002C334E">
        <w:t>влияния</w:t>
      </w:r>
      <w:r w:rsidR="00A91A91">
        <w:t xml:space="preserve"> государства на материнскую компанию также </w:t>
      </w:r>
      <w:r w:rsidR="00A91A91">
        <w:lastRenderedPageBreak/>
        <w:t xml:space="preserve">относятся </w:t>
      </w:r>
      <w:r w:rsidR="002C334E">
        <w:t>к компаниям</w:t>
      </w:r>
      <w:r w:rsidR="00A91A91">
        <w:t xml:space="preserve"> с </w:t>
      </w:r>
      <w:r w:rsidR="002C334E">
        <w:t>государственным</w:t>
      </w:r>
      <w:r w:rsidR="00A91A91">
        <w:t xml:space="preserve"> участием (</w:t>
      </w:r>
      <w:r w:rsidR="002C334E" w:rsidRPr="002C334E">
        <w:t>ПАО «Россети Ленэнерго»</w:t>
      </w:r>
      <w:r w:rsidR="00A91A91">
        <w:t xml:space="preserve">, </w:t>
      </w:r>
      <w:r w:rsidR="002C334E" w:rsidRPr="002C334E">
        <w:t>ПАО «ФСК ЕЭС»</w:t>
      </w:r>
      <w:r w:rsidR="00A91A91">
        <w:t xml:space="preserve">, </w:t>
      </w:r>
      <w:r w:rsidR="002C334E" w:rsidRPr="002C334E">
        <w:t xml:space="preserve">ПАО «Россети Юг» </w:t>
      </w:r>
      <w:r w:rsidR="00A91A91">
        <w:t>и</w:t>
      </w:r>
      <w:r w:rsidR="002C334E">
        <w:t xml:space="preserve"> другие</w:t>
      </w:r>
      <w:r w:rsidR="00A91A91">
        <w:t xml:space="preserve">). </w:t>
      </w:r>
    </w:p>
    <w:p w14:paraId="2ECDC592" w14:textId="722435BD" w:rsidR="00104A0B" w:rsidRPr="00D8002E" w:rsidRDefault="00B61C76" w:rsidP="00D97FCF">
      <w:pPr>
        <w:pStyle w:val="aff0"/>
      </w:pPr>
      <w:r>
        <w:t xml:space="preserve">Государство прямо или косвенно владеет многими публичными </w:t>
      </w:r>
      <w:r w:rsidR="002C334E">
        <w:t xml:space="preserve">акционерными </w:t>
      </w:r>
      <w:r>
        <w:t xml:space="preserve">обществами.  </w:t>
      </w:r>
      <w:r w:rsidR="002C334E">
        <w:t>Н</w:t>
      </w:r>
      <w:r>
        <w:t xml:space="preserve">а Московской бирже представлены 2 индекса, связанных с государством: индекс компаний с </w:t>
      </w:r>
      <w:r w:rsidR="002C334E">
        <w:t>государственным</w:t>
      </w:r>
      <w:r>
        <w:t xml:space="preserve"> (прямым) участием – </w:t>
      </w:r>
      <w:r>
        <w:rPr>
          <w:lang w:val="en-US"/>
        </w:rPr>
        <w:t>MOEX</w:t>
      </w:r>
      <w:r w:rsidRPr="00B61C76">
        <w:t xml:space="preserve"> </w:t>
      </w:r>
      <w:r>
        <w:rPr>
          <w:lang w:val="en-US"/>
        </w:rPr>
        <w:t>SCI</w:t>
      </w:r>
      <w:r>
        <w:t xml:space="preserve"> (ПАО «Сбербанк России», ПАО «Газпром», ОАО «НК «Роснефть», АК «АЛРОСА» и еще 11 компаний)</w:t>
      </w:r>
      <w:r w:rsidRPr="00B61C76">
        <w:t xml:space="preserve"> </w:t>
      </w:r>
      <w:r>
        <w:t xml:space="preserve">и индекс компаний с регулируемой деятельностью – </w:t>
      </w:r>
      <w:r>
        <w:rPr>
          <w:lang w:val="en-US"/>
        </w:rPr>
        <w:t>MOEX</w:t>
      </w:r>
      <w:r w:rsidRPr="00B61C76">
        <w:t xml:space="preserve"> </w:t>
      </w:r>
      <w:r>
        <w:rPr>
          <w:lang w:val="en-US"/>
        </w:rPr>
        <w:t>RCI</w:t>
      </w:r>
      <w:r>
        <w:t xml:space="preserve"> (ПАО «Ростелеком», ОАО «АК «Татнефть», ПАО «НМТП» </w:t>
      </w:r>
      <w:r w:rsidR="00247DED">
        <w:t>и еще 13 компаний)</w:t>
      </w:r>
      <w:r w:rsidR="00247DED">
        <w:rPr>
          <w:rStyle w:val="ac"/>
        </w:rPr>
        <w:footnoteReference w:id="16"/>
      </w:r>
      <w:r w:rsidRPr="00B61C76">
        <w:t xml:space="preserve">. </w:t>
      </w:r>
      <w:r w:rsidR="00247DED">
        <w:t xml:space="preserve"> </w:t>
      </w:r>
      <w:r w:rsidR="00DC2CE6">
        <w:t xml:space="preserve">На Рисунке 1 показано изменение индексов к значениям 2011 года. </w:t>
      </w:r>
      <w:r w:rsidR="004E54B8">
        <w:t xml:space="preserve">Наибольший рост показывает индекс компаний с </w:t>
      </w:r>
      <w:r w:rsidR="002C334E">
        <w:t>государственным</w:t>
      </w:r>
      <w:r w:rsidR="004E54B8">
        <w:t xml:space="preserve"> участием, который к 2021 году вырос на 280%, индекс </w:t>
      </w:r>
      <w:proofErr w:type="spellStart"/>
      <w:r w:rsidR="004E54B8">
        <w:t>МосБиржи</w:t>
      </w:r>
      <w:proofErr w:type="spellEnd"/>
      <w:r w:rsidR="004E54B8">
        <w:t xml:space="preserve"> вырос на 170%, тогда как индекс компаний с регулируемой деятельностью вырос лишь на 60%. В 2022 году</w:t>
      </w:r>
      <w:r w:rsidR="00D8002E">
        <w:t>, когда</w:t>
      </w:r>
      <w:r w:rsidR="004E54B8">
        <w:t xml:space="preserve"> рынок значительно упал</w:t>
      </w:r>
      <w:r w:rsidR="00D8002E">
        <w:t xml:space="preserve">, индекс </w:t>
      </w:r>
      <w:r w:rsidR="00D8002E">
        <w:rPr>
          <w:lang w:val="en-US"/>
        </w:rPr>
        <w:t>IMOEX</w:t>
      </w:r>
      <w:r w:rsidR="00D8002E" w:rsidRPr="00D8002E">
        <w:t xml:space="preserve"> </w:t>
      </w:r>
      <w:r w:rsidR="00D8002E">
        <w:t xml:space="preserve">снизился </w:t>
      </w:r>
      <w:r w:rsidR="00EA335F">
        <w:t>на 43% по сравнению с предыдущим годом</w:t>
      </w:r>
      <w:r w:rsidR="00D8002E">
        <w:t xml:space="preserve">, тогда как индекс </w:t>
      </w:r>
      <w:r w:rsidR="00D8002E">
        <w:rPr>
          <w:lang w:val="en-US"/>
        </w:rPr>
        <w:t>MOEX</w:t>
      </w:r>
      <w:r w:rsidR="00D8002E" w:rsidRPr="00D8002E">
        <w:t xml:space="preserve"> </w:t>
      </w:r>
      <w:r w:rsidR="00D8002E">
        <w:rPr>
          <w:lang w:val="en-US"/>
        </w:rPr>
        <w:t>SCI</w:t>
      </w:r>
      <w:r w:rsidR="00D8002E" w:rsidRPr="00D8002E">
        <w:t xml:space="preserve"> </w:t>
      </w:r>
      <w:r w:rsidR="00D8002E">
        <w:t xml:space="preserve">уменьшился на 35%, а </w:t>
      </w:r>
      <w:r w:rsidR="00D8002E">
        <w:rPr>
          <w:lang w:val="en-US"/>
        </w:rPr>
        <w:t>MOEX</w:t>
      </w:r>
      <w:r w:rsidR="00D8002E" w:rsidRPr="00D8002E">
        <w:t xml:space="preserve"> </w:t>
      </w:r>
      <w:r w:rsidR="00D8002E">
        <w:rPr>
          <w:lang w:val="en-US"/>
        </w:rPr>
        <w:t>RCI</w:t>
      </w:r>
      <w:r w:rsidR="00D8002E" w:rsidRPr="00D8002E">
        <w:t xml:space="preserve"> </w:t>
      </w:r>
      <w:r w:rsidR="00D8002E">
        <w:t xml:space="preserve">на 30%. </w:t>
      </w:r>
    </w:p>
    <w:p w14:paraId="1AFCDF70" w14:textId="3E7CF162" w:rsidR="00DC2CE6" w:rsidRDefault="00DC2CE6" w:rsidP="0062070C">
      <w:pPr>
        <w:pStyle w:val="aff"/>
      </w:pPr>
      <w:r>
        <w:rPr>
          <w:lang w:eastAsia="ru-RU"/>
        </w:rPr>
        <w:drawing>
          <wp:inline distT="0" distB="0" distL="0" distR="0" wp14:anchorId="3E51E2EF" wp14:editId="1E28F246">
            <wp:extent cx="4320000" cy="2160000"/>
            <wp:effectExtent l="0" t="0" r="444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450B6D" w14:textId="16F69BF9" w:rsidR="00EA335F" w:rsidRPr="00D53E6A" w:rsidRDefault="00EA335F" w:rsidP="00D53E6A">
      <w:pPr>
        <w:pStyle w:val="a1"/>
      </w:pPr>
      <w:r w:rsidRPr="00D53E6A">
        <w:t xml:space="preserve">Доходность индексов </w:t>
      </w:r>
      <w:r w:rsidR="00104A0B" w:rsidRPr="00D53E6A">
        <w:t>IMOEX, MOEX SCI, MOEX RCI к 2011 году</w:t>
      </w:r>
      <w:r w:rsidRPr="00D53E6A">
        <w:br/>
        <w:t>Источник:</w:t>
      </w:r>
      <w:r w:rsidR="00104A0B" w:rsidRPr="00D53E6A">
        <w:t xml:space="preserve"> Индексы акций государственного сектора // Московская Биржа URL: https://www.moex.com/ru/index/publicsector/</w:t>
      </w:r>
      <w:r w:rsidRPr="00D53E6A">
        <w:t xml:space="preserve"> </w:t>
      </w:r>
    </w:p>
    <w:p w14:paraId="5B2E397B" w14:textId="5D0A420B" w:rsidR="00752A32" w:rsidRDefault="00E347D9" w:rsidP="00D97FCF">
      <w:pPr>
        <w:pStyle w:val="aff0"/>
      </w:pPr>
      <w:r>
        <w:rPr>
          <w:color w:val="000000" w:themeColor="text1"/>
        </w:rPr>
        <w:t>До недавнего времени</w:t>
      </w:r>
      <w:r w:rsidR="000078D7">
        <w:rPr>
          <w:color w:val="000000" w:themeColor="text1"/>
        </w:rPr>
        <w:t xml:space="preserve"> </w:t>
      </w:r>
      <w:r w:rsidR="000078D7" w:rsidRPr="000078D7">
        <w:rPr>
          <w:color w:val="000000" w:themeColor="text1"/>
        </w:rPr>
        <w:t xml:space="preserve">Положение Банка России от 27.03.2020 </w:t>
      </w:r>
      <w:r w:rsidR="000078D7">
        <w:rPr>
          <w:color w:val="000000" w:themeColor="text1"/>
        </w:rPr>
        <w:t xml:space="preserve">№ </w:t>
      </w:r>
      <w:r w:rsidR="000078D7" w:rsidRPr="000078D7">
        <w:rPr>
          <w:color w:val="000000" w:themeColor="text1"/>
        </w:rPr>
        <w:t>714</w:t>
      </w:r>
      <w:r w:rsidR="000078D7">
        <w:rPr>
          <w:color w:val="000000" w:themeColor="text1"/>
        </w:rPr>
        <w:t xml:space="preserve"> обязывало публичные акционерные общества раскрывать информацию в форме годовых отчетов, в которых должна была быть включена информация о соблюдении принципов и рекомендаций Кодекса корпоративного управления. </w:t>
      </w:r>
      <w:r w:rsidR="006064F6" w:rsidRPr="000078D7">
        <w:rPr>
          <w:color w:val="000000" w:themeColor="text1"/>
        </w:rPr>
        <w:t>П</w:t>
      </w:r>
      <w:r w:rsidR="00752A32" w:rsidRPr="000078D7">
        <w:rPr>
          <w:color w:val="000000" w:themeColor="text1"/>
        </w:rPr>
        <w:t>остановлением</w:t>
      </w:r>
      <w:r w:rsidR="006064F6" w:rsidRPr="000078D7">
        <w:rPr>
          <w:color w:val="000000" w:themeColor="text1"/>
        </w:rPr>
        <w:t xml:space="preserve"> </w:t>
      </w:r>
      <w:r w:rsidR="00752A32">
        <w:t xml:space="preserve">Правительства от 12.03.2022 № 351 «Об особенностях раскрытия и предоставления в 2022 году информации ...» было установлено, что эмитенты ценных </w:t>
      </w:r>
      <w:r w:rsidR="006B09E3">
        <w:t>бумаг вправе</w:t>
      </w:r>
      <w:r w:rsidR="00752A32">
        <w:t xml:space="preserve"> осуществлять раскрытие </w:t>
      </w:r>
      <w:r w:rsidR="006B09E3">
        <w:t>корпоративной</w:t>
      </w:r>
      <w:r w:rsidR="00752A32">
        <w:t xml:space="preserve"> информации в ограниченном составе и (или) объеме либо отказаться от </w:t>
      </w:r>
      <w:r w:rsidR="00752A32">
        <w:lastRenderedPageBreak/>
        <w:t xml:space="preserve">раскрытия, если это может привести к введению мер ограничительного характера. Данная мера должна защитить российские компании от санкций со стороны недружественных государств. </w:t>
      </w:r>
      <w:r w:rsidR="001E2AFD">
        <w:t>Осенью 2022 года Правительство продлило постановление до июля 2023 года</w:t>
      </w:r>
      <w:r w:rsidR="001E2AFD">
        <w:rPr>
          <w:rStyle w:val="ac"/>
        </w:rPr>
        <w:footnoteReference w:id="17"/>
      </w:r>
      <w:r w:rsidR="001E2AFD">
        <w:t xml:space="preserve">. Среди компаний, которые отказались публиковать отчеты за 2021 год, есть значительное количество компаний с </w:t>
      </w:r>
      <w:r w:rsidR="006B09E3">
        <w:t>государственным</w:t>
      </w:r>
      <w:r w:rsidR="001E2AFD">
        <w:t xml:space="preserve"> участием, </w:t>
      </w:r>
      <w:r w:rsidR="000B5EE7">
        <w:t>например</w:t>
      </w:r>
      <w:r w:rsidR="001E2AFD">
        <w:t xml:space="preserve"> ПАО «Алроса», ПАО «Газпром Нефть», ПАО «Транснефть» и другие. Некоторые компани</w:t>
      </w:r>
      <w:r w:rsidR="00486D2B">
        <w:t>и</w:t>
      </w:r>
      <w:r w:rsidR="001E2AFD">
        <w:t xml:space="preserve"> стали</w:t>
      </w:r>
      <w:r w:rsidR="000E63F0">
        <w:t xml:space="preserve"> частично раскрывать информацию о составе совета директоров, ссылаясь на постановление Правительства РФ </w:t>
      </w:r>
      <w:r w:rsidR="001E2AFD">
        <w:t xml:space="preserve">– ПАО «Корпорация «Иркут», </w:t>
      </w:r>
      <w:r w:rsidR="000E63F0">
        <w:t xml:space="preserve">ПАО «Аэрофлот», ПАО «Ростелеком». </w:t>
      </w:r>
    </w:p>
    <w:p w14:paraId="415B004D" w14:textId="0FCB6425" w:rsidR="00E347D9" w:rsidRPr="00EA3217" w:rsidRDefault="00E347D9" w:rsidP="00D97FCF">
      <w:pPr>
        <w:pStyle w:val="aff0"/>
      </w:pPr>
      <w:r>
        <w:t xml:space="preserve">Наличие государства в структуре собственности позволяет компаниям (особенно со значительной долей государства) снизить риск банкротства и риск враждебного поглощения. Государство также способно регулировать тарифы в различных отраслях, предоставлять доступ к финансовым ресурсам, что способствует устойчивому развитию таких компаний. Однако менеджерам может быть свойственно оппортунистическое поведение, что требует функционирования эффективных механизмов корпоративного управления </w:t>
      </w:r>
      <w:r w:rsidRPr="00EA3217">
        <w:t>[</w:t>
      </w:r>
      <w:r>
        <w:t>Березинец, Ильина, Смирнов, 2016</w:t>
      </w:r>
      <w:r w:rsidRPr="00EA3217">
        <w:t>]</w:t>
      </w:r>
      <w:r>
        <w:t>.</w:t>
      </w:r>
    </w:p>
    <w:p w14:paraId="7B470706" w14:textId="04D3154D" w:rsidR="006064F6" w:rsidRPr="00E347D9" w:rsidRDefault="00E347D9" w:rsidP="00D97FCF">
      <w:pPr>
        <w:pStyle w:val="aff0"/>
      </w:pPr>
      <w:r>
        <w:t>Ключевым внутренним механизмом корпоративного управления в государственных компаниях является совет директоров, призванный защищать интересы собственников, осуществлять стратегическое управление компанией и контролировать деятельность менеджмента. Государство является определенным типом собственника, ведь оно может не только контролировать деятельность компании, но и накладывать законодательные ограничения. Кроме того, государство может иметь иные цели, отличные от целей частных акционеров, то есть быть заинтересовано не с</w:t>
      </w:r>
      <w:r w:rsidR="00675CD7">
        <w:t>т</w:t>
      </w:r>
      <w:r>
        <w:t>олько в росте ценности компании, а больше в удовлетворении более широких, общественных интересов</w:t>
      </w:r>
      <w:r w:rsidRPr="00236CE8">
        <w:t xml:space="preserve">. </w:t>
      </w:r>
      <w:r>
        <w:t xml:space="preserve">Таким образом, преследуемые </w:t>
      </w:r>
      <w:r w:rsidR="00486D2B">
        <w:t xml:space="preserve">государством </w:t>
      </w:r>
      <w:r>
        <w:t xml:space="preserve">интересы могут влиять на структуру и состав совета директоров </w:t>
      </w:r>
      <w:r w:rsidRPr="00C2166F">
        <w:t>[</w:t>
      </w:r>
      <w:r>
        <w:t>Березинец, Ильина, Смирнов, 2016</w:t>
      </w:r>
      <w:r w:rsidRPr="00236CE8">
        <w:t>]</w:t>
      </w:r>
      <w:r>
        <w:t>.</w:t>
      </w:r>
    </w:p>
    <w:p w14:paraId="17600A30" w14:textId="67238EA5" w:rsidR="0008768D" w:rsidRPr="003C77CB" w:rsidRDefault="007207DD" w:rsidP="007207DD">
      <w:pPr>
        <w:pStyle w:val="2"/>
      </w:pPr>
      <w:bookmarkStart w:id="38" w:name="_Toc136001537"/>
      <w:r>
        <w:t>1.</w:t>
      </w:r>
      <w:r w:rsidR="006D5168">
        <w:t>4</w:t>
      </w:r>
      <w:r w:rsidR="0008768D" w:rsidRPr="003C77CB">
        <w:t xml:space="preserve"> </w:t>
      </w:r>
      <w:r>
        <w:t xml:space="preserve">Институт совета директоров </w:t>
      </w:r>
      <w:r w:rsidR="006D5168">
        <w:t>в компаниях с государственным участием</w:t>
      </w:r>
      <w:bookmarkEnd w:id="38"/>
    </w:p>
    <w:p w14:paraId="21FE3D40" w14:textId="7146EC40" w:rsidR="004C3B5F" w:rsidRDefault="006268B5" w:rsidP="00D97FCF">
      <w:pPr>
        <w:pStyle w:val="aff0"/>
      </w:pPr>
      <w:r>
        <w:t xml:space="preserve">Структура совета директоров компаний с государственным участием зависит от множества факторов: доли государственной собственности и доли акций, находящихся в свободном обращении, размера компании, отрасли и значимости компании на рынке, ее стратегии и необходимых для эффективной деятельности </w:t>
      </w:r>
      <w:r w:rsidR="00486D2B">
        <w:t>ресурсов</w:t>
      </w:r>
      <w:r w:rsidR="006B09E3">
        <w:t xml:space="preserve"> </w:t>
      </w:r>
      <w:r w:rsidR="006B09E3" w:rsidRPr="00EA3217">
        <w:t>[</w:t>
      </w:r>
      <w:r w:rsidR="006B09E3">
        <w:t>Березинец, Ильина, Смирнов, 2016</w:t>
      </w:r>
      <w:r w:rsidR="006B09E3" w:rsidRPr="00EA3217">
        <w:t>]</w:t>
      </w:r>
      <w:r>
        <w:t xml:space="preserve">. Так, способность поддерживать «доверительные» отношения с аутсайдерами может иметь высокое значение для компаний с </w:t>
      </w:r>
      <w:r w:rsidR="006B09E3">
        <w:t>государственной</w:t>
      </w:r>
      <w:r>
        <w:t xml:space="preserve"> собственностью, </w:t>
      </w:r>
      <w:r w:rsidR="00486D2B">
        <w:t xml:space="preserve">к примеру, </w:t>
      </w:r>
      <w:r>
        <w:t>планирующих размещение своих акций на</w:t>
      </w:r>
      <w:r w:rsidR="00486D2B">
        <w:t xml:space="preserve"> бирже</w:t>
      </w:r>
      <w:r w:rsidR="00D5467D">
        <w:t xml:space="preserve">. Если </w:t>
      </w:r>
      <w:r w:rsidR="00D5467D">
        <w:lastRenderedPageBreak/>
        <w:t xml:space="preserve">компания хочет выходить на новые рынки и создавать новые продукты, то доступ к внешней информации и компетенциям у членов совета директоров может сыграть значительную роль </w:t>
      </w:r>
      <w:r w:rsidR="00D5467D" w:rsidRPr="00EA3217">
        <w:t>[</w:t>
      </w:r>
      <w:r w:rsidR="00D5467D">
        <w:t>Березинец, Ильина, Смирнов, 2016</w:t>
      </w:r>
      <w:r w:rsidR="00D5467D" w:rsidRPr="00EA3217">
        <w:t>]</w:t>
      </w:r>
      <w:r w:rsidR="00D5467D">
        <w:t xml:space="preserve">. </w:t>
      </w:r>
    </w:p>
    <w:p w14:paraId="4DBC2435" w14:textId="604F63C3" w:rsidR="00E07856" w:rsidRDefault="00D5467D" w:rsidP="00D97FCF">
      <w:pPr>
        <w:pStyle w:val="aff0"/>
        <w:rPr>
          <w:color w:val="000000"/>
          <w:shd w:val="clear" w:color="auto" w:fill="FFFFFF"/>
        </w:rPr>
      </w:pPr>
      <w:r>
        <w:t>Члены совета директоров компаний с государственным участием подразделяются на исполнительных (</w:t>
      </w:r>
      <w:r w:rsidR="006B09E3">
        <w:t>внутренних</w:t>
      </w:r>
      <w:r>
        <w:t>)</w:t>
      </w:r>
      <w:r w:rsidR="006B09E3">
        <w:t xml:space="preserve"> директоров</w:t>
      </w:r>
      <w:r>
        <w:t>, которы</w:t>
      </w:r>
      <w:r w:rsidR="00486D2B">
        <w:t>е</w:t>
      </w:r>
      <w:r>
        <w:t xml:space="preserve"> непосредственно управляют компанией, и неисполнительных (</w:t>
      </w:r>
      <w:r w:rsidR="006B09E3">
        <w:t>внешних</w:t>
      </w:r>
      <w:r>
        <w:t>), которые</w:t>
      </w:r>
      <w:r w:rsidR="00486D2B">
        <w:t xml:space="preserve">, </w:t>
      </w:r>
      <w:r>
        <w:t>в свою очередь</w:t>
      </w:r>
      <w:r w:rsidR="00486D2B">
        <w:t xml:space="preserve">, </w:t>
      </w:r>
      <w:r>
        <w:t xml:space="preserve">могут быть либо зависимыми, </w:t>
      </w:r>
      <w:r w:rsidR="00943A27">
        <w:t xml:space="preserve">то есть представителями акционеров, </w:t>
      </w:r>
      <w:r>
        <w:t>либо независимым</w:t>
      </w:r>
      <w:r w:rsidR="00943A27">
        <w:t>и.</w:t>
      </w:r>
      <w:r>
        <w:t xml:space="preserve"> </w:t>
      </w:r>
      <w:r w:rsidR="00943A27">
        <w:t>В соответствии с</w:t>
      </w:r>
      <w:r w:rsidR="00F42618">
        <w:t xml:space="preserve"> Кодексом корпоративного управления</w:t>
      </w:r>
      <w:r w:rsidR="00943A27">
        <w:t xml:space="preserve">, важнейшей рекомендацией при формировании совета </w:t>
      </w:r>
      <w:r w:rsidR="006B09E3">
        <w:t>директоров</w:t>
      </w:r>
      <w:r w:rsidR="00943A27">
        <w:t xml:space="preserve"> является наличие достаточного количества независимых членов, </w:t>
      </w:r>
      <w:r w:rsidR="00F42618">
        <w:t xml:space="preserve">то есть </w:t>
      </w:r>
      <w:r w:rsidR="00943A27">
        <w:t>«</w:t>
      </w:r>
      <w:r w:rsidR="00F42618">
        <w:t>лиц, которые обладают достаточными профессионализмом, опытом и самостоятельностью для формирования собственной позиции, способны выносить объективные и добросовестные суждения, независимы от влияния исполнительных органов общества, отдельных групп акционеров или иных заинтересованных сторон</w:t>
      </w:r>
      <w:r w:rsidR="00943A27">
        <w:rPr>
          <w:color w:val="000000"/>
          <w:shd w:val="clear" w:color="auto" w:fill="FFFFFF"/>
        </w:rPr>
        <w:t>»</w:t>
      </w:r>
      <w:r w:rsidR="003862CF">
        <w:rPr>
          <w:color w:val="000000"/>
          <w:shd w:val="clear" w:color="auto" w:fill="FFFFFF"/>
        </w:rPr>
        <w:t xml:space="preserve"> </w:t>
      </w:r>
      <w:r w:rsidR="003862CF" w:rsidRPr="003862CF">
        <w:rPr>
          <w:color w:val="000000"/>
          <w:shd w:val="clear" w:color="auto" w:fill="FFFFFF"/>
        </w:rPr>
        <w:t>[</w:t>
      </w:r>
      <w:r w:rsidR="003862CF" w:rsidRPr="00D95859">
        <w:t>п. 2.</w:t>
      </w:r>
      <w:r w:rsidR="00D8185A" w:rsidRPr="00D8185A">
        <w:t>4</w:t>
      </w:r>
      <w:r w:rsidR="003862CF" w:rsidRPr="00540299">
        <w:t>.</w:t>
      </w:r>
      <w:r w:rsidR="00D8185A" w:rsidRPr="00D8185A">
        <w:t>1</w:t>
      </w:r>
      <w:r w:rsidR="003862CF" w:rsidRPr="00D95859">
        <w:t>,</w:t>
      </w:r>
      <w:r w:rsidR="003862CF" w:rsidRPr="00540299">
        <w:t xml:space="preserve"> </w:t>
      </w:r>
      <w:r w:rsidR="003862CF" w:rsidRPr="00D95859">
        <w:t>Кодекс корпоративного управления</w:t>
      </w:r>
      <w:r w:rsidR="003862CF" w:rsidRPr="00D8185A">
        <w:t>]</w:t>
      </w:r>
      <w:r w:rsidR="00943A27">
        <w:rPr>
          <w:color w:val="000000"/>
          <w:shd w:val="clear" w:color="auto" w:fill="FFFFFF"/>
        </w:rPr>
        <w:t>. Совет директоров должен проводить регулярную оценку независимости кандидатов и осуществлять анали</w:t>
      </w:r>
      <w:r w:rsidR="00BC741C">
        <w:rPr>
          <w:color w:val="000000"/>
          <w:shd w:val="clear" w:color="auto" w:fill="FFFFFF"/>
        </w:rPr>
        <w:t>з</w:t>
      </w:r>
      <w:r w:rsidR="00943A27">
        <w:rPr>
          <w:color w:val="000000"/>
          <w:shd w:val="clear" w:color="auto" w:fill="FFFFFF"/>
        </w:rPr>
        <w:t xml:space="preserve"> независимости членов на предмет </w:t>
      </w:r>
      <w:r w:rsidR="006B09E3">
        <w:rPr>
          <w:color w:val="000000"/>
          <w:shd w:val="clear" w:color="auto" w:fill="FFFFFF"/>
        </w:rPr>
        <w:t>соответствия</w:t>
      </w:r>
      <w:r w:rsidR="00943A27">
        <w:rPr>
          <w:color w:val="000000"/>
          <w:shd w:val="clear" w:color="auto" w:fill="FFFFFF"/>
        </w:rPr>
        <w:t xml:space="preserve"> критериям независимости</w:t>
      </w:r>
      <w:r w:rsidR="00167BCF" w:rsidRPr="00167BCF">
        <w:rPr>
          <w:color w:val="000000"/>
          <w:shd w:val="clear" w:color="auto" w:fill="FFFFFF"/>
        </w:rPr>
        <w:t xml:space="preserve"> </w:t>
      </w:r>
      <w:r w:rsidR="00167BCF" w:rsidRPr="003862CF">
        <w:rPr>
          <w:color w:val="000000"/>
          <w:shd w:val="clear" w:color="auto" w:fill="FFFFFF"/>
        </w:rPr>
        <w:t>[</w:t>
      </w:r>
      <w:r w:rsidR="00167BCF" w:rsidRPr="00D95859">
        <w:t>п. 2.</w:t>
      </w:r>
      <w:r w:rsidR="00167BCF" w:rsidRPr="00D8185A">
        <w:t>4</w:t>
      </w:r>
      <w:r w:rsidR="00167BCF" w:rsidRPr="00540299">
        <w:t>.</w:t>
      </w:r>
      <w:r w:rsidR="00167BCF" w:rsidRPr="003A72AF">
        <w:t>2</w:t>
      </w:r>
      <w:r w:rsidR="00167BCF" w:rsidRPr="00D95859">
        <w:t>,</w:t>
      </w:r>
      <w:r w:rsidR="00167BCF" w:rsidRPr="00540299">
        <w:t xml:space="preserve"> </w:t>
      </w:r>
      <w:r w:rsidR="00167BCF" w:rsidRPr="00D95859">
        <w:t>Кодекс корпоративного управления</w:t>
      </w:r>
      <w:r w:rsidR="00167BCF" w:rsidRPr="00D8185A">
        <w:t>]</w:t>
      </w:r>
      <w:r w:rsidR="00943A27">
        <w:rPr>
          <w:color w:val="000000"/>
          <w:shd w:val="clear" w:color="auto" w:fill="FFFFFF"/>
        </w:rPr>
        <w:t xml:space="preserve">. Чтобы независимые директора смогли влиять на принимаемые решения, они должны составлять не менее одной трети от всего состава совета </w:t>
      </w:r>
      <w:r w:rsidR="006B09E3">
        <w:rPr>
          <w:color w:val="000000"/>
          <w:shd w:val="clear" w:color="auto" w:fill="FFFFFF"/>
        </w:rPr>
        <w:t>директоров</w:t>
      </w:r>
      <w:r w:rsidR="003A72AF" w:rsidRPr="003A72AF">
        <w:rPr>
          <w:color w:val="000000"/>
          <w:shd w:val="clear" w:color="auto" w:fill="FFFFFF"/>
        </w:rPr>
        <w:t xml:space="preserve"> </w:t>
      </w:r>
      <w:r w:rsidR="003A72AF" w:rsidRPr="003862CF">
        <w:rPr>
          <w:color w:val="000000"/>
          <w:shd w:val="clear" w:color="auto" w:fill="FFFFFF"/>
        </w:rPr>
        <w:t>[</w:t>
      </w:r>
      <w:r w:rsidR="003A72AF" w:rsidRPr="00D95859">
        <w:t>п. 2.</w:t>
      </w:r>
      <w:r w:rsidR="003A72AF" w:rsidRPr="00D8185A">
        <w:t>4</w:t>
      </w:r>
      <w:r w:rsidR="003A72AF" w:rsidRPr="00540299">
        <w:t>.</w:t>
      </w:r>
      <w:r w:rsidR="003A72AF" w:rsidRPr="00B01463">
        <w:t>3</w:t>
      </w:r>
      <w:r w:rsidR="003A72AF" w:rsidRPr="00D95859">
        <w:t>,</w:t>
      </w:r>
      <w:r w:rsidR="003A72AF" w:rsidRPr="00540299">
        <w:t xml:space="preserve"> </w:t>
      </w:r>
      <w:r w:rsidR="003A72AF" w:rsidRPr="00D95859">
        <w:t>Кодекс корпоративного управления</w:t>
      </w:r>
      <w:r w:rsidR="003A72AF" w:rsidRPr="00D8185A">
        <w:t>]</w:t>
      </w:r>
      <w:r w:rsidR="00943A27">
        <w:rPr>
          <w:color w:val="000000"/>
          <w:shd w:val="clear" w:color="auto" w:fill="FFFFFF"/>
        </w:rPr>
        <w:t xml:space="preserve">. </w:t>
      </w:r>
    </w:p>
    <w:p w14:paraId="31808470" w14:textId="354AEB7F" w:rsidR="00D5467D" w:rsidRPr="00E07856" w:rsidRDefault="00D5467D" w:rsidP="00D97FCF">
      <w:pPr>
        <w:pStyle w:val="aff0"/>
        <w:rPr>
          <w:color w:val="000000"/>
          <w:shd w:val="clear" w:color="auto" w:fill="FFFFFF"/>
        </w:rPr>
      </w:pPr>
      <w:r>
        <w:t xml:space="preserve">Зависимые директора делятся на представителей государства, состоящих на государственной службе, и прочих аффилированных с компанией зависимых директоров. </w:t>
      </w:r>
      <w:r w:rsidR="00BE6780">
        <w:t xml:space="preserve">В крупных компаниях с </w:t>
      </w:r>
      <w:r w:rsidR="00884C07">
        <w:t>государственным</w:t>
      </w:r>
      <w:r w:rsidR="00BE6780">
        <w:t xml:space="preserve"> участием в роли представителей </w:t>
      </w:r>
      <w:r w:rsidR="00884C07">
        <w:t>государства</w:t>
      </w:r>
      <w:r w:rsidR="00BE6780">
        <w:t xml:space="preserve"> могут выступать </w:t>
      </w:r>
      <w:r w:rsidR="00884C07">
        <w:t>М</w:t>
      </w:r>
      <w:r w:rsidR="00BE6780">
        <w:t>инистры</w:t>
      </w:r>
      <w:r w:rsidR="00884C07">
        <w:t xml:space="preserve"> и их заместители</w:t>
      </w:r>
      <w:r w:rsidR="00BE6780">
        <w:t>, представители Администрации Президента</w:t>
      </w:r>
      <w:r w:rsidR="00884C07" w:rsidRPr="00884C07">
        <w:t xml:space="preserve"> </w:t>
      </w:r>
      <w:r w:rsidR="00884C07">
        <w:t>и Правительства РФ</w:t>
      </w:r>
      <w:r w:rsidR="00BE6780">
        <w:t>, представители органов субъектов, члены партий</w:t>
      </w:r>
      <w:r w:rsidR="006B09E3">
        <w:rPr>
          <w:color w:val="FF0000"/>
        </w:rPr>
        <w:t xml:space="preserve"> </w:t>
      </w:r>
      <w:r w:rsidR="006B09E3" w:rsidRPr="006B09E3">
        <w:rPr>
          <w:color w:val="000000" w:themeColor="text1"/>
        </w:rPr>
        <w:t xml:space="preserve">и другие лица, связанные с государством. </w:t>
      </w:r>
      <w:r w:rsidR="00DD3450">
        <w:t xml:space="preserve">Вдобавок, до недавнего времени </w:t>
      </w:r>
      <w:r w:rsidR="00943A27">
        <w:t>в российских компаниях с государс</w:t>
      </w:r>
      <w:r w:rsidR="00BE6780">
        <w:t>т</w:t>
      </w:r>
      <w:r w:rsidR="00943A27">
        <w:t>венным участием выделяли отдельно роль профессионального поверенного</w:t>
      </w:r>
      <w:r w:rsidR="00BE6780">
        <w:t>, который отлича</w:t>
      </w:r>
      <w:r w:rsidR="00891B47">
        <w:t>лся</w:t>
      </w:r>
      <w:r w:rsidR="00BE6780">
        <w:t xml:space="preserve"> от независимого директора тем, что он руководств</w:t>
      </w:r>
      <w:r w:rsidR="00891B47">
        <w:t>овался</w:t>
      </w:r>
      <w:r w:rsidR="00BE6780">
        <w:t xml:space="preserve"> порядком, </w:t>
      </w:r>
      <w:r w:rsidR="00DD3450">
        <w:t>установленным</w:t>
      </w:r>
      <w:r w:rsidR="00BE6780">
        <w:t xml:space="preserve"> Правительством РФ, осуществляя голосование в соответствии с директивами уполномоченных органов госвласти. </w:t>
      </w:r>
      <w:r w:rsidR="00FC49C4">
        <w:t>Профессиональный поверенный не являлся госслужащим, однако представлял интересы государства</w:t>
      </w:r>
      <w:r w:rsidR="00FC49C4" w:rsidRPr="00FC49C4">
        <w:t xml:space="preserve">. </w:t>
      </w:r>
      <w:r w:rsidR="00DD3450">
        <w:t>Независимые</w:t>
      </w:r>
      <w:r w:rsidR="00FC49C4">
        <w:t xml:space="preserve"> директора и профессиональные поверенные отбира</w:t>
      </w:r>
      <w:r w:rsidR="00891B47">
        <w:t>лись</w:t>
      </w:r>
      <w:r w:rsidR="00FC49C4">
        <w:t xml:space="preserve"> в состав совета директоров компаний с государственным участием </w:t>
      </w:r>
      <w:r w:rsidR="00DD3450">
        <w:t>Росимуществом [</w:t>
      </w:r>
      <w:bookmarkStart w:id="39" w:name="_Hlk131932035"/>
      <w:proofErr w:type="spellStart"/>
      <w:r w:rsidR="00FC49C4">
        <w:t>Амбарднишвили</w:t>
      </w:r>
      <w:proofErr w:type="spellEnd"/>
      <w:r w:rsidR="00FC49C4">
        <w:t>, Березинец,</w:t>
      </w:r>
      <w:r w:rsidR="00FC49C4" w:rsidRPr="00FC49C4">
        <w:t xml:space="preserve"> </w:t>
      </w:r>
      <w:r w:rsidR="00FC49C4">
        <w:t>Ильина, Смирнов, 2017</w:t>
      </w:r>
      <w:bookmarkEnd w:id="39"/>
      <w:r w:rsidR="00FC49C4" w:rsidRPr="00FC49C4">
        <w:t xml:space="preserve">]. </w:t>
      </w:r>
      <w:r w:rsidR="00DD3450">
        <w:t xml:space="preserve">Тем не менее, некоторые компании сохранили профессиональных поверенных, например, в ПАО «Совкомфлот» в 2020 году из 11 членов совета директоров 8 считались профессиональными поверенными. </w:t>
      </w:r>
    </w:p>
    <w:p w14:paraId="3C2C4ACC" w14:textId="5C24B5B0" w:rsidR="007D0C7E" w:rsidRPr="00233B1D" w:rsidRDefault="00E07856" w:rsidP="00D97FCF">
      <w:pPr>
        <w:pStyle w:val="aff0"/>
      </w:pPr>
      <w:r>
        <w:lastRenderedPageBreak/>
        <w:t>В исследовании, проведенным</w:t>
      </w:r>
      <w:r w:rsidRPr="009104E3">
        <w:t xml:space="preserve"> </w:t>
      </w:r>
      <w:r>
        <w:t>Научно-учебной лабораторией исследований в области бизнес-коммуникаций ВШЭ совместно с Ассоциацией профессиональных инвесторов</w:t>
      </w:r>
      <w:r w:rsidR="00E1003D">
        <w:rPr>
          <w:rStyle w:val="ac"/>
        </w:rPr>
        <w:footnoteReference w:id="18"/>
      </w:r>
      <w:r>
        <w:t>, утверждалось, что российским к</w:t>
      </w:r>
      <w:r w:rsidRPr="00E07856">
        <w:t xml:space="preserve">омпаниям с государственным участием есть куда стремиться в вопросах, касающихся корпоративного управления. </w:t>
      </w:r>
      <w:r>
        <w:t>В том числе н</w:t>
      </w:r>
      <w:r w:rsidRPr="00E07856">
        <w:t>еобходим</w:t>
      </w:r>
      <w:r>
        <w:t xml:space="preserve">о </w:t>
      </w:r>
      <w:r w:rsidRPr="00E07856">
        <w:t>совершенствование системы формирования Советов директоров</w:t>
      </w:r>
      <w:r>
        <w:t xml:space="preserve">. </w:t>
      </w:r>
      <w:r w:rsidR="00B01463">
        <w:t>В исследовании выделяется ключевая проблема компаний с государственным участием –</w:t>
      </w:r>
      <w:r w:rsidR="00006D78">
        <w:t xml:space="preserve">независимые директора, полностью </w:t>
      </w:r>
      <w:r w:rsidR="00FE665F">
        <w:t>соответствующие</w:t>
      </w:r>
      <w:r w:rsidR="00006D78">
        <w:t xml:space="preserve"> правилам листинга Московской биржи и требованиям Кодекса, избраны менее чем в половине компаний</w:t>
      </w:r>
      <w:r w:rsidR="00FE665F">
        <w:t xml:space="preserve"> в исследовании</w:t>
      </w:r>
      <w:r w:rsidR="00A7036D">
        <w:t>. В остальных компаниях</w:t>
      </w:r>
      <w:r w:rsidR="00EA1DF1">
        <w:t xml:space="preserve"> лишь небольшое число</w:t>
      </w:r>
      <w:r w:rsidR="00A7036D">
        <w:t xml:space="preserve"> членов Совета отвечают критериям независимости,</w:t>
      </w:r>
      <w:r w:rsidR="005D21E5">
        <w:t xml:space="preserve"> тогда как</w:t>
      </w:r>
      <w:r w:rsidR="00A7036D">
        <w:t xml:space="preserve"> большинство </w:t>
      </w:r>
      <w:r w:rsidR="00F83224">
        <w:t>фактически так или иначе связаны либо</w:t>
      </w:r>
      <w:r w:rsidR="00A7036D">
        <w:t xml:space="preserve"> с государством, либо </w:t>
      </w:r>
      <w:r w:rsidR="00F83224">
        <w:t>с</w:t>
      </w:r>
      <w:r w:rsidR="00FE665F">
        <w:t xml:space="preserve"> другой заинтересованной стороной</w:t>
      </w:r>
      <w:r w:rsidR="00A7036D">
        <w:t>.</w:t>
      </w:r>
      <w:r w:rsidR="00B01463">
        <w:t xml:space="preserve"> </w:t>
      </w:r>
      <w:r w:rsidRPr="00E07856">
        <w:t>Пока российские госкомпании не всегда соответствуют международным стандартам в сфере корпоративного управления</w:t>
      </w:r>
      <w:r w:rsidR="007D0C7E">
        <w:t xml:space="preserve">. </w:t>
      </w:r>
      <w:r w:rsidR="00E1003D">
        <w:t>В исследовании также отмечается, что у</w:t>
      </w:r>
      <w:r w:rsidR="007D0C7E">
        <w:t xml:space="preserve">ровень корпоративного управления в компаниях с государственным участием, </w:t>
      </w:r>
      <w:r w:rsidR="00E1003D">
        <w:t>занимающи</w:t>
      </w:r>
      <w:r w:rsidR="00891B47">
        <w:t>х</w:t>
      </w:r>
      <w:r w:rsidR="00E1003D">
        <w:t xml:space="preserve"> значительную</w:t>
      </w:r>
      <w:r w:rsidR="007D0C7E">
        <w:t xml:space="preserve"> долю рынка, влияет</w:t>
      </w:r>
      <w:r w:rsidR="00E1003D">
        <w:t xml:space="preserve"> </w:t>
      </w:r>
      <w:r w:rsidR="007D0C7E">
        <w:t>на уровень корпоративного управления в стране. Некоторые из проанализированных в исследовании компани</w:t>
      </w:r>
      <w:r w:rsidR="00891B47">
        <w:t>й</w:t>
      </w:r>
      <w:r w:rsidR="007D0C7E">
        <w:t xml:space="preserve"> уже являются </w:t>
      </w:r>
      <w:r w:rsidR="00891B47">
        <w:t>бенчмарком</w:t>
      </w:r>
      <w:r w:rsidR="007D0C7E">
        <w:t xml:space="preserve"> уровня и качества корпоративного управления </w:t>
      </w:r>
      <w:r w:rsidR="00891B47">
        <w:t>для</w:t>
      </w:r>
      <w:r w:rsidR="007D0C7E">
        <w:t xml:space="preserve"> других компани</w:t>
      </w:r>
      <w:r w:rsidR="00891B47">
        <w:t>й</w:t>
      </w:r>
      <w:r w:rsidR="007D0C7E">
        <w:t>.</w:t>
      </w:r>
    </w:p>
    <w:p w14:paraId="03A1C237" w14:textId="1FAE45F2" w:rsidR="00EB0DF2" w:rsidRDefault="00FC49C4" w:rsidP="00D97FCF">
      <w:pPr>
        <w:pStyle w:val="aff0"/>
      </w:pPr>
      <w:r>
        <w:t>В 202</w:t>
      </w:r>
      <w:r w:rsidR="00E7107B">
        <w:t>0</w:t>
      </w:r>
      <w:r>
        <w:t xml:space="preserve"> году консалтинговое </w:t>
      </w:r>
      <w:r w:rsidR="00DD3450">
        <w:t>агентство</w:t>
      </w:r>
      <w:r>
        <w:t xml:space="preserve"> </w:t>
      </w:r>
      <w:r>
        <w:rPr>
          <w:lang w:val="en-US"/>
        </w:rPr>
        <w:t>Stanton</w:t>
      </w:r>
      <w:r w:rsidRPr="00FC49C4">
        <w:t xml:space="preserve"> </w:t>
      </w:r>
      <w:r>
        <w:rPr>
          <w:lang w:val="en-US"/>
        </w:rPr>
        <w:t>Chase</w:t>
      </w:r>
      <w:r w:rsidRPr="00FC49C4">
        <w:t xml:space="preserve"> </w:t>
      </w:r>
      <w:r>
        <w:t>опубликовало отч</w:t>
      </w:r>
      <w:r w:rsidR="00EF027C">
        <w:t>ет об изменениях в советах дире</w:t>
      </w:r>
      <w:r>
        <w:t>к</w:t>
      </w:r>
      <w:r w:rsidR="00EF027C">
        <w:t>т</w:t>
      </w:r>
      <w:r>
        <w:t xml:space="preserve">оров крупнейших российских публичных компаний. </w:t>
      </w:r>
      <w:r w:rsidR="00EF027C">
        <w:t>В исследовании экс</w:t>
      </w:r>
      <w:r w:rsidR="00E7107B">
        <w:t>перты сравнивали показатели 2019</w:t>
      </w:r>
      <w:r w:rsidR="00EF027C">
        <w:t xml:space="preserve"> года с аналогичными показателями 2012, чтобы проследить тенденции в развитии корпоративного управления и института совета директоров в России</w:t>
      </w:r>
      <w:r w:rsidR="00DD3450">
        <w:rPr>
          <w:rStyle w:val="ac"/>
          <w:rFonts w:cs="Times New Roman"/>
          <w:szCs w:val="24"/>
        </w:rPr>
        <w:footnoteReference w:id="19"/>
      </w:r>
      <w:r w:rsidR="00EF027C">
        <w:t xml:space="preserve">. </w:t>
      </w:r>
      <w:r w:rsidR="00EF027C">
        <w:rPr>
          <w:lang w:val="en-US"/>
        </w:rPr>
        <w:t>Stanton</w:t>
      </w:r>
      <w:r w:rsidR="00EF027C" w:rsidRPr="00EF027C">
        <w:t xml:space="preserve"> </w:t>
      </w:r>
      <w:r w:rsidR="00EF027C">
        <w:rPr>
          <w:lang w:val="en-US"/>
        </w:rPr>
        <w:t>Chase</w:t>
      </w:r>
      <w:r w:rsidR="00EF027C" w:rsidRPr="00EF027C">
        <w:t xml:space="preserve"> </w:t>
      </w:r>
      <w:r w:rsidR="00EF027C">
        <w:t xml:space="preserve">выяснило, что </w:t>
      </w:r>
      <w:r w:rsidR="00E7107B">
        <w:t>в 2019</w:t>
      </w:r>
      <w:r w:rsidR="00EF027C">
        <w:t xml:space="preserve"> году средний размер совета директоров составляет 11 человек; нез</w:t>
      </w:r>
      <w:r w:rsidR="00E7107B">
        <w:t>ависимые директора составляют 29%</w:t>
      </w:r>
      <w:r w:rsidR="00E7107B" w:rsidRPr="00E7107B">
        <w:t xml:space="preserve"> </w:t>
      </w:r>
      <w:r w:rsidR="00E7107B">
        <w:t>от общей численности</w:t>
      </w:r>
      <w:r w:rsidR="00EF027C">
        <w:t xml:space="preserve">, </w:t>
      </w:r>
      <w:r w:rsidR="00E7107B">
        <w:t xml:space="preserve">тогда как в 2012 году этот показатель был 39%; доля исполнительных равна </w:t>
      </w:r>
      <w:r w:rsidR="00EF027C">
        <w:t>15%;</w:t>
      </w:r>
      <w:r w:rsidR="00E7107B">
        <w:t xml:space="preserve"> средняя доля женщин в 2019 году - 12%, а в 2012 – 8%; большинство директоров (89</w:t>
      </w:r>
      <w:r w:rsidR="00EF027C">
        <w:t xml:space="preserve">%) участвуют лишь в одном совете </w:t>
      </w:r>
      <w:r w:rsidR="00DD3450">
        <w:t>директоров</w:t>
      </w:r>
      <w:r w:rsidR="00EF027C">
        <w:t>, тогда как остальн</w:t>
      </w:r>
      <w:r w:rsidR="00A82502">
        <w:t>ы</w:t>
      </w:r>
      <w:r w:rsidR="00EF027C">
        <w:t xml:space="preserve">е в двух и более. </w:t>
      </w:r>
      <w:r w:rsidR="00E7107B">
        <w:t>В 2021 году в подобном отчете эксперты сравнили показатели 20</w:t>
      </w:r>
      <w:r w:rsidR="00DD3450">
        <w:t>20</w:t>
      </w:r>
      <w:r w:rsidR="00E7107B">
        <w:t xml:space="preserve"> и 20</w:t>
      </w:r>
      <w:r w:rsidR="00DD3450">
        <w:t>19</w:t>
      </w:r>
      <w:r w:rsidR="00E7107B">
        <w:t xml:space="preserve"> года и обнаружили, что в основном показатели значительно не изменились, однако доля независимых директоров выросла на 4 п</w:t>
      </w:r>
      <w:r w:rsidR="00DD3450">
        <w:t>роцентных пункта</w:t>
      </w:r>
      <w:r w:rsidR="00DD3450">
        <w:rPr>
          <w:rStyle w:val="ac"/>
          <w:rFonts w:cs="Times New Roman"/>
          <w:szCs w:val="24"/>
        </w:rPr>
        <w:footnoteReference w:id="20"/>
      </w:r>
      <w:r w:rsidR="00DD3450">
        <w:t>.</w:t>
      </w:r>
      <w:r w:rsidR="00E7107B">
        <w:t xml:space="preserve"> </w:t>
      </w:r>
      <w:r w:rsidR="00F36062">
        <w:t xml:space="preserve">Что касается характеристик Председателя, </w:t>
      </w:r>
      <w:r w:rsidR="00F36062">
        <w:lastRenderedPageBreak/>
        <w:t xml:space="preserve">то доля независимых председателей в общем числе равна 15%, а доля госслужащих – 13%. </w:t>
      </w:r>
      <w:r w:rsidR="00CE49DD">
        <w:t xml:space="preserve">Другое консалтинговое агентство – </w:t>
      </w:r>
      <w:r w:rsidR="00CE49DD">
        <w:rPr>
          <w:lang w:val="en-US"/>
        </w:rPr>
        <w:t>Spenser</w:t>
      </w:r>
      <w:r w:rsidR="00CE49DD" w:rsidRPr="00CE49DD">
        <w:t xml:space="preserve"> </w:t>
      </w:r>
      <w:r w:rsidR="00CE49DD">
        <w:rPr>
          <w:lang w:val="en-US"/>
        </w:rPr>
        <w:t>Stuart</w:t>
      </w:r>
      <w:r w:rsidR="00CE49DD" w:rsidRPr="00CE49DD">
        <w:t xml:space="preserve"> </w:t>
      </w:r>
      <w:r w:rsidR="00CE49DD">
        <w:t xml:space="preserve">провело ежегодное исследование «Российский индекс советов директоров 2020» и выявило, что </w:t>
      </w:r>
      <w:r w:rsidR="00816D3F">
        <w:t xml:space="preserve">средний размер совета директоров составил </w:t>
      </w:r>
      <w:r w:rsidR="00B4347C">
        <w:t>9–11</w:t>
      </w:r>
      <w:r w:rsidR="00816D3F">
        <w:t xml:space="preserve"> человек</w:t>
      </w:r>
      <w:r w:rsidR="00DD3450">
        <w:rPr>
          <w:rStyle w:val="ac"/>
        </w:rPr>
        <w:footnoteReference w:id="21"/>
      </w:r>
      <w:r w:rsidR="00816D3F">
        <w:t xml:space="preserve">. </w:t>
      </w:r>
      <w:r w:rsidR="00963B9C">
        <w:t>Доля исполнительных директоров сильно не изменила</w:t>
      </w:r>
      <w:r w:rsidR="00891B47">
        <w:t>сь</w:t>
      </w:r>
      <w:r w:rsidR="00963B9C">
        <w:t xml:space="preserve"> и осталась на уровне </w:t>
      </w:r>
      <w:r w:rsidR="00DD3450">
        <w:t>13–14%</w:t>
      </w:r>
      <w:r w:rsidR="00963B9C">
        <w:t xml:space="preserve"> от общего количества, тогда как доля независимых директоров выросла с 36,7% до </w:t>
      </w:r>
      <w:r w:rsidR="00E00B34">
        <w:t>42,2% (в 2014 году – 39% доля независимых директоров). Эксперты также отметили, что сократилась доля компаний, которые не следуют рекомендациям Кодекса о доли независимых директоров равн</w:t>
      </w:r>
      <w:r w:rsidR="00891B47">
        <w:t>ой</w:t>
      </w:r>
      <w:r w:rsidR="00E00B34">
        <w:t xml:space="preserve"> 1/3. Несмотря на то, что представленность женщин в составах </w:t>
      </w:r>
      <w:r w:rsidR="00891B47">
        <w:t xml:space="preserve">российских </w:t>
      </w:r>
      <w:r w:rsidR="00E00B34">
        <w:t xml:space="preserve">советов директоров </w:t>
      </w:r>
      <w:r w:rsidR="00B4347C">
        <w:t>одна из самых низких по сравнению с международной практикой, п</w:t>
      </w:r>
      <w:r w:rsidR="00816D3F">
        <w:t xml:space="preserve">роизошли значительные изменения в гендерном разнообразии в советах директоров компаний Индекса РТС: </w:t>
      </w:r>
      <w:r w:rsidR="00B4347C">
        <w:t xml:space="preserve">доля женщин–директоров выросла с 8,4% до 10,5%, также </w:t>
      </w:r>
      <w:r w:rsidR="00816D3F">
        <w:t>в 1,6 раза уменьшился процент компаний, которые не имеют женщин в своих советах директоров (с 37% до 23%)</w:t>
      </w:r>
      <w:r w:rsidR="00B4347C">
        <w:t xml:space="preserve">. Кроме того, агентство провело анализ доли иностранных директоров и обнаружило, что их доля составляет около 30% и </w:t>
      </w:r>
      <w:r w:rsidR="00CE2147">
        <w:t xml:space="preserve">что из них 72% являются независимыми. </w:t>
      </w:r>
    </w:p>
    <w:p w14:paraId="1B28E322" w14:textId="7BBE0F48" w:rsidR="00C01824" w:rsidRDefault="00C01824" w:rsidP="00D97FCF">
      <w:pPr>
        <w:pStyle w:val="aff0"/>
      </w:pPr>
      <w:r>
        <w:t xml:space="preserve">Что касается более актуальных данных, </w:t>
      </w:r>
      <w:r w:rsidR="00A470F8">
        <w:t>н</w:t>
      </w:r>
      <w:r w:rsidRPr="00C01824">
        <w:t>ациональное объединение корпоративных секретарей (НОКС) совместно с консультантами компании КФР подготовили обзор практик корпоративного управления в России</w:t>
      </w:r>
      <w:r w:rsidR="00A470F8">
        <w:t xml:space="preserve"> в 2022 году. Основной вывод исследования – несмотря на все вызовы 2022 года, корпоративное управление в российских компаниях демонстрирует высокий уровень устойчивости и остается эффективной системой. Советы директоров остаются важнейшими органами стратегического управления и профессиональной экспертизы в компаниях. Отмечается уход большинства иностранных директоров под влиянием санкций</w:t>
      </w:r>
      <w:r w:rsidR="00251F1B">
        <w:t>, что стало первым из вызовов, с которым</w:t>
      </w:r>
      <w:r w:rsidR="00891B47">
        <w:t>и</w:t>
      </w:r>
      <w:r w:rsidR="00251F1B">
        <w:t xml:space="preserve"> пришлось столкнуться компаниям. </w:t>
      </w:r>
      <w:r w:rsidR="00532AAF" w:rsidRPr="00532AAF">
        <w:t>В 75% компаний число иностранных директоров снизилось, причем в половине из них – до нуля</w:t>
      </w:r>
      <w:r w:rsidR="00532AAF">
        <w:t xml:space="preserve">. Однако количественный состав почти не изменился, поэтому доля новых директоров за 2022 год составила 80%. Компании </w:t>
      </w:r>
      <w:r w:rsidR="00A34A05">
        <w:t>сохраняют высокую</w:t>
      </w:r>
      <w:r w:rsidR="00532AAF">
        <w:t xml:space="preserve"> долю </w:t>
      </w:r>
      <w:r w:rsidR="00A34A05">
        <w:t xml:space="preserve">(37%) </w:t>
      </w:r>
      <w:r w:rsidR="00532AAF">
        <w:t>независимых директоров</w:t>
      </w:r>
      <w:r w:rsidR="00A34A05">
        <w:rPr>
          <w:rStyle w:val="ac"/>
        </w:rPr>
        <w:footnoteReference w:id="22"/>
      </w:r>
      <w:r w:rsidR="00A34A05">
        <w:t xml:space="preserve">. </w:t>
      </w:r>
    </w:p>
    <w:p w14:paraId="652ED587" w14:textId="3ADAFED7" w:rsidR="00AB581F" w:rsidRPr="00E1003D" w:rsidRDefault="00E1003D" w:rsidP="00D97FCF">
      <w:pPr>
        <w:pStyle w:val="aff0"/>
      </w:pPr>
      <w:r w:rsidRPr="00E1003D">
        <w:rPr>
          <w:color w:val="000000" w:themeColor="text1"/>
        </w:rPr>
        <w:t>Для компаний с государственным участием, занимающим существенную долю на рынке, особенно важно следовать современным тенденциям в области формирования совет</w:t>
      </w:r>
      <w:r>
        <w:rPr>
          <w:color w:val="000000" w:themeColor="text1"/>
        </w:rPr>
        <w:t>ов</w:t>
      </w:r>
      <w:r w:rsidRPr="00E1003D">
        <w:rPr>
          <w:color w:val="000000" w:themeColor="text1"/>
        </w:rPr>
        <w:t xml:space="preserve"> директоров, так как такие компании являются бенчмарком для остальных и влияют на уровень корпоративного управления всей страны. </w:t>
      </w:r>
      <w:r w:rsidR="00250010">
        <w:t>В интервью для журнала «Риск-менеджмент. Практика» эксперты ответили на вопросы, касающи</w:t>
      </w:r>
      <w:r w:rsidR="00CA3FAD">
        <w:t>е</w:t>
      </w:r>
      <w:r w:rsidR="00250010">
        <w:t xml:space="preserve">ся новых требований к </w:t>
      </w:r>
      <w:r w:rsidR="00250010">
        <w:lastRenderedPageBreak/>
        <w:t>членам советов директоров.</w:t>
      </w:r>
      <w:r w:rsidR="001E0C97">
        <w:t xml:space="preserve"> Отмечается, что от директоров в современном мире требуется умение работать в неопределенности,</w:t>
      </w:r>
      <w:r w:rsidR="00CA3FAD">
        <w:t xml:space="preserve"> высокая</w:t>
      </w:r>
      <w:r w:rsidR="001E0C97">
        <w:t xml:space="preserve"> скорость принятия решений </w:t>
      </w:r>
      <w:r w:rsidR="008470D8">
        <w:t xml:space="preserve">и </w:t>
      </w:r>
      <w:r w:rsidR="00CA3FAD">
        <w:t xml:space="preserve">развитые </w:t>
      </w:r>
      <w:r w:rsidR="008470D8">
        <w:t>навык</w:t>
      </w:r>
      <w:r w:rsidR="00CA3FAD">
        <w:t>и</w:t>
      </w:r>
      <w:r w:rsidR="008470D8">
        <w:t xml:space="preserve"> работы с большим объемом информации. Безусловно, сегодня для всех компаний и советов директоров на первый план выходит тематика устойчивого развития</w:t>
      </w:r>
      <w:r w:rsidR="008470D8">
        <w:rPr>
          <w:rStyle w:val="ac"/>
        </w:rPr>
        <w:footnoteReference w:id="23"/>
      </w:r>
      <w:r w:rsidR="008470D8">
        <w:t xml:space="preserve">. </w:t>
      </w:r>
      <w:r w:rsidR="00AB581F">
        <w:t xml:space="preserve">В отчете </w:t>
      </w:r>
      <w:r w:rsidR="00AB581F">
        <w:rPr>
          <w:lang w:val="de-DE"/>
        </w:rPr>
        <w:t>Stanton</w:t>
      </w:r>
      <w:r w:rsidR="00AB581F" w:rsidRPr="00AB581F">
        <w:t xml:space="preserve"> </w:t>
      </w:r>
      <w:r w:rsidR="00AB581F">
        <w:rPr>
          <w:lang w:val="de-DE"/>
        </w:rPr>
        <w:t>Chase</w:t>
      </w:r>
      <w:r w:rsidR="00AB581F" w:rsidRPr="00AB581F">
        <w:t xml:space="preserve"> </w:t>
      </w:r>
      <w:r w:rsidR="00AB581F">
        <w:t xml:space="preserve">2021 года была затронута тема устойчивого развития и </w:t>
      </w:r>
      <w:r w:rsidR="00AB581F">
        <w:rPr>
          <w:lang w:val="en-US"/>
        </w:rPr>
        <w:t>ESG</w:t>
      </w:r>
      <w:r w:rsidR="00284D78" w:rsidRPr="00284D78">
        <w:t xml:space="preserve"> (</w:t>
      </w:r>
      <w:proofErr w:type="spellStart"/>
      <w:r w:rsidR="00284D78">
        <w:t>Environmental</w:t>
      </w:r>
      <w:proofErr w:type="spellEnd"/>
      <w:r w:rsidR="00284D78">
        <w:t xml:space="preserve">, Social </w:t>
      </w:r>
      <w:proofErr w:type="spellStart"/>
      <w:r w:rsidR="00284D78">
        <w:t>and</w:t>
      </w:r>
      <w:proofErr w:type="spellEnd"/>
      <w:r w:rsidR="00284D78">
        <w:t xml:space="preserve"> </w:t>
      </w:r>
      <w:proofErr w:type="spellStart"/>
      <w:r w:rsidR="00284D78">
        <w:t>Governance</w:t>
      </w:r>
      <w:proofErr w:type="spellEnd"/>
      <w:r w:rsidR="00284D78" w:rsidRPr="00284D78">
        <w:t>)</w:t>
      </w:r>
      <w:r w:rsidR="00AB581F" w:rsidRPr="00DC6067">
        <w:t xml:space="preserve"> </w:t>
      </w:r>
      <w:r w:rsidR="00AB581F">
        <w:t xml:space="preserve">повестки, которая приобретает большую популярность в последнее время. Большинство компаний (86%) относят аспекты устойчивого развития к стратегическим приоритетам, некоторые компании создали </w:t>
      </w:r>
      <w:r w:rsidR="00062B0E">
        <w:t>специализированные</w:t>
      </w:r>
      <w:r w:rsidR="00AB581F">
        <w:t xml:space="preserve"> комитеты по устойчивому развитию. 76% от всех компаний публично раскрывают информацию об устойчивом развитии</w:t>
      </w:r>
      <w:r w:rsidR="00AB581F">
        <w:rPr>
          <w:rStyle w:val="ac"/>
          <w:rFonts w:cs="Times New Roman"/>
          <w:szCs w:val="24"/>
        </w:rPr>
        <w:footnoteReference w:id="24"/>
      </w:r>
      <w:r w:rsidR="00AB581F">
        <w:t>.</w:t>
      </w:r>
      <w:r w:rsidR="00185DF4" w:rsidRPr="00185DF4">
        <w:t xml:space="preserve"> </w:t>
      </w:r>
      <w:r w:rsidR="00185DF4">
        <w:t xml:space="preserve">Центральный банк РФ рекомендовал членам советов директоров российских публичных компаний при выработке стратегии учитывать </w:t>
      </w:r>
      <w:r w:rsidR="00185DF4">
        <w:rPr>
          <w:lang w:val="en-US"/>
        </w:rPr>
        <w:t>ESG</w:t>
      </w:r>
      <w:r w:rsidR="00185DF4" w:rsidRPr="00185DF4">
        <w:t>-</w:t>
      </w:r>
      <w:r w:rsidR="00185DF4">
        <w:t>факторы, так как интеграция учета данных факторов играет важную роль в долгосрочной ценности компании</w:t>
      </w:r>
      <w:r w:rsidR="00185DF4">
        <w:rPr>
          <w:rStyle w:val="ac"/>
          <w:rFonts w:cs="Times New Roman"/>
          <w:szCs w:val="24"/>
        </w:rPr>
        <w:footnoteReference w:id="25"/>
      </w:r>
      <w:r w:rsidR="00185DF4">
        <w:t xml:space="preserve">. </w:t>
      </w:r>
      <w:r w:rsidR="00AC1EB8">
        <w:t xml:space="preserve">В исследовании </w:t>
      </w:r>
      <w:r w:rsidR="00AC1EB8">
        <w:rPr>
          <w:lang w:val="en-US"/>
        </w:rPr>
        <w:t>PwC</w:t>
      </w:r>
      <w:r w:rsidR="00AC1EB8">
        <w:t xml:space="preserve"> «Устойчивое развитие в фокусе внимания советов директоров» утверждается, что 89% членов российских </w:t>
      </w:r>
      <w:r w:rsidR="003441EE">
        <w:t xml:space="preserve">советов </w:t>
      </w:r>
      <w:r w:rsidR="00AC1EB8">
        <w:t xml:space="preserve">директоров уже </w:t>
      </w:r>
      <w:r w:rsidR="005B129A">
        <w:t>приняли решения по интеграции устойчивого развития в стратегию компании, 35% директоров считают, что знания в данной области дадут преимущества их компании. Кроме того, 81% полагает, что нефинансовые данные об успехах в устойчивом развитии компании повышают ее инвестиционную привлекательность, так как</w:t>
      </w:r>
      <w:r w:rsidR="00C37CDC">
        <w:t>,</w:t>
      </w:r>
      <w:r w:rsidR="005B129A">
        <w:t xml:space="preserve"> по их мнению</w:t>
      </w:r>
      <w:r w:rsidR="00C37CDC">
        <w:t xml:space="preserve">, </w:t>
      </w:r>
      <w:r w:rsidR="005B129A">
        <w:t xml:space="preserve">инвесторов кроме финансовых результатов </w:t>
      </w:r>
      <w:r w:rsidR="009F5851">
        <w:t>и движений курса акций интересуют вопросы, связанные с корпоративной социальной ответственностью и устойчивым развитием, с корпоративным управлением, с гендерным разнообразием и с изменением климата</w:t>
      </w:r>
      <w:r w:rsidR="00E203F3">
        <w:rPr>
          <w:rStyle w:val="ac"/>
        </w:rPr>
        <w:footnoteReference w:id="26"/>
      </w:r>
      <w:r w:rsidR="009F5851">
        <w:t xml:space="preserve">. </w:t>
      </w:r>
    </w:p>
    <w:p w14:paraId="69724C92" w14:textId="625658D0" w:rsidR="00D45459" w:rsidRDefault="00D45459" w:rsidP="00D97FCF">
      <w:pPr>
        <w:pStyle w:val="aff0"/>
      </w:pPr>
      <w:r>
        <w:t xml:space="preserve">Что касается развития темы устойчивого развития в России в 2022 году, то </w:t>
      </w:r>
      <w:r w:rsidR="00C034F5">
        <w:t>она остается актуальной для 60% российских компаний. В</w:t>
      </w:r>
      <w:r>
        <w:t xml:space="preserve"> ежегодном исследовании «</w:t>
      </w:r>
      <w:r w:rsidRPr="00D45459">
        <w:t xml:space="preserve">Барометр устойчивой трансформации бизнеса 2022», проведенного E+ Change совместно с </w:t>
      </w:r>
      <w:proofErr w:type="spellStart"/>
      <w:r w:rsidRPr="00D45459">
        <w:t>Kep</w:t>
      </w:r>
      <w:proofErr w:type="spellEnd"/>
      <w:r>
        <w:rPr>
          <w:lang w:val="en-US"/>
        </w:rPr>
        <w:t>t</w:t>
      </w:r>
      <w:r>
        <w:t xml:space="preserve">, был выявлен основной драйвер для развития </w:t>
      </w:r>
      <w:r>
        <w:rPr>
          <w:lang w:val="en-US"/>
        </w:rPr>
        <w:t>ESG</w:t>
      </w:r>
      <w:r>
        <w:t xml:space="preserve">-принципов </w:t>
      </w:r>
      <w:r w:rsidR="0020758D">
        <w:t xml:space="preserve">– это активное продвижение данных инициатив на государственном уровне. Однако </w:t>
      </w:r>
      <w:r w:rsidR="00205538">
        <w:t xml:space="preserve">директора отметили появление новых барьеров для развития </w:t>
      </w:r>
      <w:r w:rsidR="00205538">
        <w:rPr>
          <w:lang w:val="en-US"/>
        </w:rPr>
        <w:t>ESG</w:t>
      </w:r>
      <w:r w:rsidR="00205538" w:rsidRPr="00205538">
        <w:t>-</w:t>
      </w:r>
      <w:r w:rsidR="00205538">
        <w:t>принципов</w:t>
      </w:r>
      <w:r w:rsidR="00631EFB">
        <w:t xml:space="preserve">: 74% опрошенных считают, что в текущих условиях компании будут направлять все свои ресурсы на решение проблем, связанных с сохранением бизнеса, позиции на рынке, ключевых сотрудников и с адаптацией к </w:t>
      </w:r>
      <w:r w:rsidR="00631EFB">
        <w:lastRenderedPageBreak/>
        <w:t xml:space="preserve">санкционному давлению. Более того, 61% директоров отмечают сокращение бюджетов на </w:t>
      </w:r>
      <w:r w:rsidR="00631EFB">
        <w:rPr>
          <w:lang w:val="en-US"/>
        </w:rPr>
        <w:t>ESG</w:t>
      </w:r>
      <w:r w:rsidR="00631EFB" w:rsidRPr="00631EFB">
        <w:t>-</w:t>
      </w:r>
      <w:r w:rsidR="00631EFB">
        <w:t>проекты, а 52% выделяют сложности с долгосрочным планированием</w:t>
      </w:r>
      <w:r w:rsidR="00814829">
        <w:rPr>
          <w:rStyle w:val="ac"/>
        </w:rPr>
        <w:footnoteReference w:id="27"/>
      </w:r>
      <w:r w:rsidR="00631EFB">
        <w:t xml:space="preserve">. </w:t>
      </w:r>
      <w:r w:rsidR="00E13A16">
        <w:t>Центр устойчивого развития СКОЛКОВО в исследовании «</w:t>
      </w:r>
      <w:r w:rsidR="00E13A16" w:rsidRPr="00E13A16">
        <w:t>Корпоративное управление и ESG-трансформация российских компаний</w:t>
      </w:r>
      <w:r w:rsidR="00E13A16">
        <w:t xml:space="preserve">» также отмечает возросшую роль регулятора в 2022 году в стимулировании развития устойчивого развития в российских компаниях. Ключевой мотивацией для реализации принципов </w:t>
      </w:r>
      <w:r w:rsidR="00E13A16">
        <w:rPr>
          <w:lang w:val="en-US"/>
        </w:rPr>
        <w:t>ESG</w:t>
      </w:r>
      <w:r w:rsidR="00E13A16" w:rsidRPr="009513F6">
        <w:t xml:space="preserve"> </w:t>
      </w:r>
      <w:r w:rsidR="00E13A16">
        <w:t>явл</w:t>
      </w:r>
      <w:r w:rsidR="009513F6">
        <w:t xml:space="preserve">яются запросы со стороны инвесторов, отмечают 73% членов советов директоров. Другие стейкхолдеры, такие как государство, клиенты/потребители, также играют немаловажную роль в </w:t>
      </w:r>
      <w:r w:rsidR="00C37CDC">
        <w:t>совершенствовании</w:t>
      </w:r>
      <w:r w:rsidR="009513F6">
        <w:t xml:space="preserve"> устойчивого развития в компаниях</w:t>
      </w:r>
      <w:r w:rsidR="009513F6">
        <w:rPr>
          <w:rStyle w:val="ac"/>
        </w:rPr>
        <w:footnoteReference w:id="28"/>
      </w:r>
      <w:r w:rsidR="009513F6">
        <w:t xml:space="preserve">. </w:t>
      </w:r>
      <w:r w:rsidR="00796350">
        <w:t>Теме устойчивого развития</w:t>
      </w:r>
      <w:r w:rsidR="00265FB6">
        <w:t xml:space="preserve"> посвящено множество работ и исследований, которые отмечают рост значимости данной повестки для компаний на протяжении последних лет</w:t>
      </w:r>
      <w:r w:rsidR="00E95160">
        <w:t xml:space="preserve"> и ее влияние на ценность и привлекательность компании на рынке</w:t>
      </w:r>
      <w:r w:rsidR="00265FB6">
        <w:t xml:space="preserve">, а также увеличение роли совета директоров в развитии </w:t>
      </w:r>
      <w:r w:rsidR="00265FB6">
        <w:rPr>
          <w:lang w:val="en-US"/>
        </w:rPr>
        <w:t>ESG</w:t>
      </w:r>
      <w:r w:rsidR="00265FB6">
        <w:t xml:space="preserve">-направления и внедрения его в долгосрочную стратегию компании. </w:t>
      </w:r>
    </w:p>
    <w:p w14:paraId="45BDDA12" w14:textId="5135BD5E" w:rsidR="00433E8E" w:rsidRDefault="0012549B" w:rsidP="00D97FCF">
      <w:pPr>
        <w:pStyle w:val="aff0"/>
      </w:pPr>
      <w:r>
        <w:t>Для российской практики, характеризующейся высокой концентрацией собственности в руках одного акционера, высокой роли государства в экономике и большого числа компаний с государственным участием, с</w:t>
      </w:r>
      <w:r w:rsidR="00E95160">
        <w:t xml:space="preserve">овет директоров </w:t>
      </w:r>
      <w:r>
        <w:t xml:space="preserve">становится </w:t>
      </w:r>
      <w:r w:rsidR="00E95160">
        <w:t>важнейшим механизмом корпоративного управлени</w:t>
      </w:r>
      <w:r w:rsidR="00C37CDC">
        <w:t>я</w:t>
      </w:r>
      <w:r w:rsidR="00E95160">
        <w:t xml:space="preserve">, </w:t>
      </w:r>
      <w:r>
        <w:t>выполняющим такие важные функции в компании</w:t>
      </w:r>
      <w:r w:rsidR="00C37CDC">
        <w:t>,</w:t>
      </w:r>
      <w:r>
        <w:t xml:space="preserve"> как составление стратегических планов и мониторинг деятельности топ-менеджмента, что позволяет уменьшить </w:t>
      </w:r>
      <w:r w:rsidR="008A7367">
        <w:t>агентские издержки. Таким образом, перед акционерами компаний стоит проблем</w:t>
      </w:r>
      <w:r w:rsidR="00EA56F8">
        <w:t>а</w:t>
      </w:r>
      <w:r w:rsidR="008A7367">
        <w:t xml:space="preserve"> формирования </w:t>
      </w:r>
      <w:r w:rsidR="00EA56F8">
        <w:t xml:space="preserve">эффективного совета директоров, который не только защитит их интересы, но и позволит своими решениями улучшить финансовые показатели компании и ее ценность на рынке. </w:t>
      </w:r>
    </w:p>
    <w:p w14:paraId="1F63BBFC" w14:textId="3ACFEE1A" w:rsidR="00433E8E" w:rsidRDefault="00433E8E" w:rsidP="00D97FCF">
      <w:pPr>
        <w:pStyle w:val="aff0"/>
      </w:pPr>
      <w:r>
        <w:t xml:space="preserve">Многие российские авторы рассуждают о роли совета директоров и его влиянии на эффективность деятельности компании. В своих работах исследователи анализируют различные характеристики совета директоров, большинство из них фокусируются на размере совета директоров, на роли независимых и исполнительных директоров, на гендерном разнообразии </w:t>
      </w:r>
      <w:r w:rsidRPr="00475947">
        <w:t>[</w:t>
      </w:r>
      <w:bookmarkStart w:id="40" w:name="_Hlk131880900"/>
      <w:r w:rsidRPr="002C3C90">
        <w:t>Березинец, Ильина, Черкасская, 2013</w:t>
      </w:r>
      <w:bookmarkEnd w:id="40"/>
      <w:r>
        <w:t xml:space="preserve">; </w:t>
      </w:r>
      <w:bookmarkStart w:id="41" w:name="_Hlk131880907"/>
      <w:r>
        <w:t>Березинец, Ильина, Смирнов, 2016</w:t>
      </w:r>
      <w:bookmarkEnd w:id="41"/>
      <w:r w:rsidRPr="00475947">
        <w:t>]</w:t>
      </w:r>
      <w:r>
        <w:t xml:space="preserve">. Ю. И. </w:t>
      </w:r>
      <w:proofErr w:type="spellStart"/>
      <w:r>
        <w:t>Дуляк</w:t>
      </w:r>
      <w:proofErr w:type="spellEnd"/>
      <w:r>
        <w:t xml:space="preserve"> в своей работе концентрируется на ресурсной теории и анализирует такие характеристики членов совета директоров, как отраслевой, управленческий опыт, особенности человеческого и социального капитала </w:t>
      </w:r>
      <w:r w:rsidRPr="0010078B">
        <w:t>[</w:t>
      </w:r>
      <w:bookmarkStart w:id="42" w:name="_Hlk131880914"/>
      <w:proofErr w:type="spellStart"/>
      <w:r>
        <w:t>Дуляк</w:t>
      </w:r>
      <w:proofErr w:type="spellEnd"/>
      <w:r>
        <w:t>, 2015</w:t>
      </w:r>
      <w:bookmarkEnd w:id="42"/>
      <w:r w:rsidRPr="0010078B">
        <w:t>].</w:t>
      </w:r>
      <w:r>
        <w:t xml:space="preserve"> </w:t>
      </w:r>
    </w:p>
    <w:p w14:paraId="2FCA5088" w14:textId="66E7EB4E" w:rsidR="00E95160" w:rsidRDefault="00EA56F8" w:rsidP="00D97FCF">
      <w:pPr>
        <w:pStyle w:val="aff0"/>
      </w:pPr>
      <w:r>
        <w:lastRenderedPageBreak/>
        <w:t xml:space="preserve">К основным характеристикам совета директоров, которые вызывают споры у </w:t>
      </w:r>
      <w:r w:rsidR="008D3B84">
        <w:t xml:space="preserve">множества </w:t>
      </w:r>
      <w:r>
        <w:t xml:space="preserve">исследователей, можно отнести оптимальный численный состав совета директоров, </w:t>
      </w:r>
      <w:r w:rsidR="00F06E78">
        <w:t>количество исполнительны</w:t>
      </w:r>
      <w:r w:rsidR="00C37CDC">
        <w:t>х</w:t>
      </w:r>
      <w:r w:rsidR="00F06E78">
        <w:t xml:space="preserve"> и независимых директов в общем числе, гендерное разнообразие, совмещение директорских позиций</w:t>
      </w:r>
      <w:r w:rsidR="003A6DE6">
        <w:t xml:space="preserve"> и </w:t>
      </w:r>
      <w:r w:rsidR="00F06E78">
        <w:t>дол</w:t>
      </w:r>
      <w:r w:rsidR="0041224F">
        <w:t>ю</w:t>
      </w:r>
      <w:r w:rsidR="00F06E78">
        <w:t xml:space="preserve"> </w:t>
      </w:r>
      <w:r w:rsidR="003A6DE6">
        <w:t>директоров, имеющих</w:t>
      </w:r>
      <w:r w:rsidR="00E1003D">
        <w:t xml:space="preserve"> опыт работы в госорганах</w:t>
      </w:r>
      <w:r w:rsidR="008D3B84" w:rsidRPr="0041224F">
        <w:t xml:space="preserve">. </w:t>
      </w:r>
      <w:r w:rsidR="0041224F">
        <w:t xml:space="preserve">Ввиду актуальности темы устойчивого развития и </w:t>
      </w:r>
      <w:r w:rsidR="0041224F">
        <w:rPr>
          <w:lang w:val="en-US"/>
        </w:rPr>
        <w:t>ESG</w:t>
      </w:r>
      <w:r w:rsidR="0041224F" w:rsidRPr="0041224F">
        <w:t>-</w:t>
      </w:r>
      <w:r w:rsidR="0041224F">
        <w:t>повестки, в</w:t>
      </w:r>
      <w:r w:rsidR="008D3B84" w:rsidRPr="0041224F">
        <w:t xml:space="preserve"> данно</w:t>
      </w:r>
      <w:r w:rsidR="0041224F">
        <w:t xml:space="preserve">й работе </w:t>
      </w:r>
      <w:r w:rsidR="008D3B84" w:rsidRPr="0041224F">
        <w:t xml:space="preserve">будет </w:t>
      </w:r>
      <w:r w:rsidR="0041224F">
        <w:t xml:space="preserve">исследована ранее не изученная характеристика </w:t>
      </w:r>
      <w:r w:rsidR="008D3B84" w:rsidRPr="0041224F">
        <w:t>членов совета директоров, а именно их участие в некоммерческих организациях, связанных с развитием экологического</w:t>
      </w:r>
      <w:r w:rsidR="0041224F">
        <w:t xml:space="preserve"> и </w:t>
      </w:r>
      <w:r w:rsidR="008D3B84" w:rsidRPr="0041224F">
        <w:t xml:space="preserve">социального направления. </w:t>
      </w:r>
    </w:p>
    <w:p w14:paraId="7B07C24D" w14:textId="73B5F616" w:rsidR="00904D8A" w:rsidRDefault="00904D8A" w:rsidP="00AB581F"/>
    <w:p w14:paraId="26AEA7F3" w14:textId="156DD5CB" w:rsidR="00904D8A" w:rsidRDefault="00904D8A" w:rsidP="00AB581F"/>
    <w:p w14:paraId="31AF8F49" w14:textId="3718A263" w:rsidR="00904D8A" w:rsidRDefault="00904D8A" w:rsidP="00AB581F"/>
    <w:p w14:paraId="6E39929F" w14:textId="10F9306F" w:rsidR="00C7468C" w:rsidRPr="0077631E" w:rsidRDefault="002747A3" w:rsidP="00AF571F">
      <w:pPr>
        <w:pStyle w:val="1"/>
        <w:rPr>
          <w:rFonts w:cs="Times New Roman"/>
          <w:szCs w:val="24"/>
        </w:rPr>
      </w:pPr>
      <w:bookmarkStart w:id="43" w:name="_Toc136001538"/>
      <w:r w:rsidRPr="0077631E">
        <w:rPr>
          <w:caps w:val="0"/>
        </w:rPr>
        <w:lastRenderedPageBreak/>
        <w:t>Г</w:t>
      </w:r>
      <w:r>
        <w:rPr>
          <w:caps w:val="0"/>
        </w:rPr>
        <w:t>ЛАВА</w:t>
      </w:r>
      <w:r w:rsidRPr="0077631E">
        <w:rPr>
          <w:caps w:val="0"/>
        </w:rPr>
        <w:t xml:space="preserve"> 2. О</w:t>
      </w:r>
      <w:r>
        <w:rPr>
          <w:caps w:val="0"/>
        </w:rPr>
        <w:t>БЗОР ИССЛЕДОВАНИЙ О ВЗАИМОСВЯЗИ ХАРАКТЕРИСТИК СОВЕТОВ ДИРЕКТОРОВ И ФИНАНСОВОЙ РЕЗУЛЬТАТИВНОСТИ КОМПАНИЙ</w:t>
      </w:r>
      <w:bookmarkEnd w:id="43"/>
    </w:p>
    <w:p w14:paraId="27B89D03" w14:textId="3E9E09E1" w:rsidR="00250010" w:rsidRPr="0077631E" w:rsidRDefault="001A6446" w:rsidP="00AF571F">
      <w:pPr>
        <w:pStyle w:val="2"/>
      </w:pPr>
      <w:bookmarkStart w:id="44" w:name="_Toc136001539"/>
      <w:r>
        <w:t xml:space="preserve">2.1 </w:t>
      </w:r>
      <w:r w:rsidR="00605D58" w:rsidRPr="0077631E">
        <w:t xml:space="preserve">Совет директоров и </w:t>
      </w:r>
      <w:r w:rsidR="0077631E" w:rsidRPr="0077631E">
        <w:t xml:space="preserve">финансовая результативность </w:t>
      </w:r>
      <w:r w:rsidR="00605D58" w:rsidRPr="0077631E">
        <w:t>компаний</w:t>
      </w:r>
      <w:bookmarkEnd w:id="44"/>
    </w:p>
    <w:p w14:paraId="6C0EA964" w14:textId="11C2D7DE" w:rsidR="003C1275" w:rsidRDefault="0077631E" w:rsidP="00D97FCF">
      <w:pPr>
        <w:pStyle w:val="aff0"/>
      </w:pPr>
      <w:r>
        <w:t>Взаимосвязь состава совета директоров с финансов</w:t>
      </w:r>
      <w:r w:rsidR="006E0C2B">
        <w:t xml:space="preserve">ой результативностью </w:t>
      </w:r>
      <w:r>
        <w:t xml:space="preserve">компаний является предметом многочисленных отечественных и зарубежных исследований. </w:t>
      </w:r>
      <w:r w:rsidR="006E0C2B">
        <w:t>Измерение финансовой результативности является неотъемлемой частью деятельности любой организации, которое проводится для оценки текущего состояни</w:t>
      </w:r>
      <w:r w:rsidR="00C53374">
        <w:t>я</w:t>
      </w:r>
      <w:r w:rsidR="006E0C2B">
        <w:t xml:space="preserve"> и сравнения с ранее поставленными целями. Способы определения </w:t>
      </w:r>
      <w:r w:rsidR="00702743">
        <w:t xml:space="preserve">и идентификации </w:t>
      </w:r>
      <w:r w:rsidR="006E0C2B">
        <w:t>результативност</w:t>
      </w:r>
      <w:r w:rsidR="00702743">
        <w:t>и</w:t>
      </w:r>
      <w:r w:rsidR="006E0C2B">
        <w:t>,</w:t>
      </w:r>
      <w:r w:rsidR="00702743">
        <w:t xml:space="preserve"> выбор необходимых финансовых показателей и их интерпретация могут различаться у авторов научных работ. </w:t>
      </w:r>
      <w:r w:rsidR="003E2AEB">
        <w:t>Результаты исследовани</w:t>
      </w:r>
      <w:r w:rsidR="00793BE0">
        <w:t>й</w:t>
      </w:r>
      <w:r w:rsidR="003E2AEB">
        <w:t xml:space="preserve"> сильно зависят от выбора того или иного финансового показателя, </w:t>
      </w:r>
      <w:r w:rsidR="00793BE0">
        <w:t xml:space="preserve">так как нет единого мнения о том, в какой степени решения совета директоров или действия высшего менеджмента способны влиять на финансовую результативность </w:t>
      </w:r>
      <w:r w:rsidR="00793BE0" w:rsidRPr="00793BE0">
        <w:t>[</w:t>
      </w:r>
      <w:r w:rsidR="00793BE0">
        <w:t>Березинец, Ильина, Черкасская</w:t>
      </w:r>
      <w:r w:rsidR="00793BE0" w:rsidRPr="00EC4498">
        <w:t xml:space="preserve">, </w:t>
      </w:r>
      <w:r w:rsidR="00793BE0" w:rsidRPr="00B92061">
        <w:t>2013</w:t>
      </w:r>
      <w:r w:rsidR="00793BE0" w:rsidRPr="00793BE0">
        <w:t>]</w:t>
      </w:r>
      <w:r w:rsidR="00793BE0">
        <w:t>.</w:t>
      </w:r>
      <w:r w:rsidR="00C962D4">
        <w:t xml:space="preserve"> </w:t>
      </w:r>
      <w:r w:rsidR="006C2BBE">
        <w:t xml:space="preserve">Таким образом, под финансовой результативностью в данном исследовании будет пониматься </w:t>
      </w:r>
      <w:r w:rsidR="00E250B1">
        <w:t>способность компании повышать ценность инвестиций, вложенных в ее развитие</w:t>
      </w:r>
      <w:r w:rsidR="00C53374">
        <w:t>.</w:t>
      </w:r>
      <w:r w:rsidR="00E250B1">
        <w:t xml:space="preserve"> Тогда показателями финансовой результативност</w:t>
      </w:r>
      <w:r w:rsidR="00C37CDC">
        <w:t>и</w:t>
      </w:r>
      <w:r w:rsidR="00E250B1">
        <w:t xml:space="preserve"> </w:t>
      </w:r>
      <w:r w:rsidR="00A76C3A">
        <w:t xml:space="preserve">будут считаться финансовые коэффициенты, отражающие способность компании увеличивать ценность вложенных в нее инвестиций. </w:t>
      </w:r>
    </w:p>
    <w:p w14:paraId="4929F6C1" w14:textId="10A903E3" w:rsidR="00940FEF" w:rsidRPr="0079257E" w:rsidRDefault="00D72915" w:rsidP="00D97FCF">
      <w:pPr>
        <w:pStyle w:val="aff0"/>
      </w:pPr>
      <w:r>
        <w:t>Наиболее распространённы</w:t>
      </w:r>
      <w:r w:rsidR="000B5EE7">
        <w:t>м</w:t>
      </w:r>
      <w:r>
        <w:t xml:space="preserve"> подходом среди авторов работ на данную проблематику является разделение показателей на бухгалтерские и рыночные. </w:t>
      </w:r>
      <w:r w:rsidR="00CA018E">
        <w:t xml:space="preserve">В одних работах исследуются только бухгалтерские показатели </w:t>
      </w:r>
      <w:r w:rsidR="00940FEF" w:rsidRPr="00940FEF">
        <w:t>[</w:t>
      </w:r>
      <w:proofErr w:type="spellStart"/>
      <w:r w:rsidR="00940FEF" w:rsidRPr="00E53C3B">
        <w:rPr>
          <w:rFonts w:cs="Times New Roman"/>
          <w:szCs w:val="24"/>
        </w:rPr>
        <w:t>Kramarić</w:t>
      </w:r>
      <w:proofErr w:type="spellEnd"/>
      <w:r w:rsidR="00940FEF" w:rsidRPr="00E53C3B">
        <w:rPr>
          <w:rFonts w:cs="Times New Roman"/>
          <w:szCs w:val="24"/>
        </w:rPr>
        <w:t xml:space="preserve">, </w:t>
      </w:r>
      <w:proofErr w:type="spellStart"/>
      <w:r w:rsidR="00940FEF" w:rsidRPr="00E53C3B">
        <w:rPr>
          <w:rFonts w:cs="Times New Roman"/>
          <w:szCs w:val="24"/>
        </w:rPr>
        <w:t>Aleksic</w:t>
      </w:r>
      <w:proofErr w:type="spellEnd"/>
      <w:r w:rsidR="00940FEF" w:rsidRPr="00E53C3B">
        <w:rPr>
          <w:rFonts w:cs="Times New Roman"/>
          <w:szCs w:val="24"/>
        </w:rPr>
        <w:t xml:space="preserve">, </w:t>
      </w:r>
      <w:proofErr w:type="spellStart"/>
      <w:r w:rsidR="00940FEF" w:rsidRPr="00E53C3B">
        <w:rPr>
          <w:rFonts w:cs="Times New Roman"/>
          <w:szCs w:val="24"/>
        </w:rPr>
        <w:t>Bach</w:t>
      </w:r>
      <w:proofErr w:type="spellEnd"/>
      <w:r w:rsidR="00940FEF" w:rsidRPr="00E53C3B">
        <w:rPr>
          <w:rFonts w:cs="Times New Roman"/>
          <w:szCs w:val="24"/>
        </w:rPr>
        <w:t>, 2018</w:t>
      </w:r>
      <w:r w:rsidR="00940FEF" w:rsidRPr="00940FEF">
        <w:rPr>
          <w:rFonts w:cs="Times New Roman"/>
          <w:szCs w:val="24"/>
        </w:rPr>
        <w:t xml:space="preserve">; </w:t>
      </w:r>
      <w:proofErr w:type="spellStart"/>
      <w:r w:rsidR="00940FEF" w:rsidRPr="00940FEF">
        <w:rPr>
          <w:rFonts w:cs="Times New Roman"/>
          <w:szCs w:val="24"/>
        </w:rPr>
        <w:t>Kathuria</w:t>
      </w:r>
      <w:proofErr w:type="spellEnd"/>
      <w:r w:rsidR="00940FEF" w:rsidRPr="00940FEF">
        <w:rPr>
          <w:rFonts w:cs="Times New Roman"/>
          <w:szCs w:val="24"/>
        </w:rPr>
        <w:t xml:space="preserve">, </w:t>
      </w:r>
      <w:proofErr w:type="spellStart"/>
      <w:r w:rsidR="00940FEF" w:rsidRPr="00940FEF">
        <w:rPr>
          <w:rFonts w:cs="Times New Roman"/>
          <w:szCs w:val="24"/>
        </w:rPr>
        <w:t>Dash</w:t>
      </w:r>
      <w:proofErr w:type="spellEnd"/>
      <w:r w:rsidR="00940FEF" w:rsidRPr="00940FEF">
        <w:t>, 1999</w:t>
      </w:r>
      <w:r w:rsidR="00940FEF">
        <w:t xml:space="preserve">; </w:t>
      </w:r>
      <w:r w:rsidR="00940FEF" w:rsidRPr="00940FEF">
        <w:t>Березинец, Гаранина, Ильина, 2018</w:t>
      </w:r>
      <w:r w:rsidR="0079257E" w:rsidRPr="0079257E">
        <w:t xml:space="preserve">; </w:t>
      </w:r>
      <w:r w:rsidR="0079257E">
        <w:rPr>
          <w:rFonts w:cs="Times New Roman"/>
          <w:szCs w:val="24"/>
          <w:lang w:val="en-US"/>
        </w:rPr>
        <w:t>Bond</w:t>
      </w:r>
      <w:r w:rsidR="0079257E" w:rsidRPr="00E12B87">
        <w:rPr>
          <w:rFonts w:cs="Times New Roman"/>
          <w:szCs w:val="24"/>
        </w:rPr>
        <w:t>, 2009</w:t>
      </w:r>
      <w:r w:rsidR="00940FEF" w:rsidRPr="00940FEF">
        <w:t xml:space="preserve">] </w:t>
      </w:r>
      <w:r w:rsidR="00940FEF">
        <w:t xml:space="preserve">или только рыночные </w:t>
      </w:r>
      <w:r w:rsidR="00940FEF" w:rsidRPr="00940FEF">
        <w:t xml:space="preserve">[Березинец, Ильина, Черкасская, 2013; </w:t>
      </w:r>
      <w:r w:rsidR="00940FEF">
        <w:rPr>
          <w:rFonts w:cs="Times New Roman"/>
          <w:szCs w:val="24"/>
        </w:rPr>
        <w:t>Разумова, Иванова, 2020</w:t>
      </w:r>
      <w:r w:rsidR="00940FEF" w:rsidRPr="00940FEF">
        <w:t>]</w:t>
      </w:r>
      <w:r w:rsidR="00940FEF">
        <w:t xml:space="preserve">, </w:t>
      </w:r>
      <w:r w:rsidR="00940FEF" w:rsidRPr="00940FEF">
        <w:t>тогда как другие авторы при анализе взаимосвязи характеристик совета директоров и финансовой результативности компаний исследуют комбинацию из этих коэффициентов</w:t>
      </w:r>
      <w:r w:rsidR="0079257E">
        <w:t xml:space="preserve"> </w:t>
      </w:r>
      <w:r w:rsidR="0079257E" w:rsidRPr="0079257E">
        <w:t xml:space="preserve">[Завертяева, Попова, 2021; </w:t>
      </w:r>
      <w:r w:rsidR="0079257E">
        <w:rPr>
          <w:lang w:val="en-US"/>
        </w:rPr>
        <w:t>Rodriguez</w:t>
      </w:r>
      <w:r w:rsidR="0079257E" w:rsidRPr="0079257E">
        <w:t>-</w:t>
      </w:r>
      <w:r w:rsidR="0079257E">
        <w:rPr>
          <w:lang w:val="en-US"/>
        </w:rPr>
        <w:t>Fernandez</w:t>
      </w:r>
      <w:r w:rsidR="0079257E" w:rsidRPr="0079257E">
        <w:t>, 2016].</w:t>
      </w:r>
    </w:p>
    <w:p w14:paraId="60B2311B" w14:textId="7C153248" w:rsidR="00491BDE" w:rsidRPr="00E009A7" w:rsidRDefault="00D123B2" w:rsidP="00D97FCF">
      <w:pPr>
        <w:pStyle w:val="aff0"/>
      </w:pPr>
      <w:r>
        <w:t>Бухгалтерскими показателями являются те показатели финансовой результативности, расчеты которых основаны на данных финансовых отчетностей компаний</w:t>
      </w:r>
      <w:r w:rsidR="00B50D81" w:rsidRPr="00B50D81">
        <w:t>.</w:t>
      </w:r>
      <w:r w:rsidR="00751496">
        <w:t xml:space="preserve"> Преимуществ</w:t>
      </w:r>
      <w:r w:rsidR="00A05548">
        <w:t xml:space="preserve">о </w:t>
      </w:r>
      <w:r w:rsidR="00751496">
        <w:t xml:space="preserve">данных показателей </w:t>
      </w:r>
      <w:r w:rsidR="00A05548">
        <w:t>заключается в том, что они отражают текущую деятельность компани</w:t>
      </w:r>
      <w:r w:rsidR="00C53374">
        <w:t>и</w:t>
      </w:r>
      <w:r w:rsidR="00A05548">
        <w:t xml:space="preserve"> и не подвержены влиянию ожиданий в отношении будущего. </w:t>
      </w:r>
      <w:r w:rsidR="005D0EC3">
        <w:t>Однако</w:t>
      </w:r>
      <w:r w:rsidR="00C37CDC">
        <w:t>,</w:t>
      </w:r>
      <w:r w:rsidR="005D0EC3">
        <w:t xml:space="preserve"> ввиду </w:t>
      </w:r>
      <w:r w:rsidR="00C37CDC">
        <w:t>того</w:t>
      </w:r>
      <w:r w:rsidR="005D0EC3">
        <w:t xml:space="preserve"> что</w:t>
      </w:r>
      <w:r w:rsidR="00A05548">
        <w:t xml:space="preserve"> они основаны на данных отчетностей, результатами которой в той или иной степени менеджмент может манипулировать</w:t>
      </w:r>
      <w:r w:rsidR="005D0EC3">
        <w:t xml:space="preserve">, бухгалтерские показатели могут не отражать действительности </w:t>
      </w:r>
      <w:r w:rsidR="005D0EC3" w:rsidRPr="005D0EC3">
        <w:t>[</w:t>
      </w:r>
      <w:bookmarkStart w:id="45" w:name="_Hlk131933400"/>
      <w:r w:rsidR="00B50D81">
        <w:rPr>
          <w:lang w:val="en-US"/>
        </w:rPr>
        <w:t>Brealey</w:t>
      </w:r>
      <w:r w:rsidR="00B50D81" w:rsidRPr="00B50D81">
        <w:t xml:space="preserve"> </w:t>
      </w:r>
      <w:r w:rsidR="00B50D81">
        <w:rPr>
          <w:lang w:val="en-US"/>
        </w:rPr>
        <w:t>et</w:t>
      </w:r>
      <w:r w:rsidR="00B50D81" w:rsidRPr="00B50D81">
        <w:t xml:space="preserve"> </w:t>
      </w:r>
      <w:r w:rsidR="00B50D81">
        <w:rPr>
          <w:lang w:val="en-US"/>
        </w:rPr>
        <w:t>al</w:t>
      </w:r>
      <w:r w:rsidR="00B50D81">
        <w:t>., 201</w:t>
      </w:r>
      <w:r w:rsidR="00B50D81" w:rsidRPr="00B50D81">
        <w:t>1</w:t>
      </w:r>
      <w:r w:rsidR="00B50D81">
        <w:t>, с. 712</w:t>
      </w:r>
      <w:r w:rsidR="00B50D81" w:rsidRPr="00B50D81">
        <w:t>–713</w:t>
      </w:r>
      <w:bookmarkEnd w:id="45"/>
      <w:r w:rsidR="005D0EC3" w:rsidRPr="005D0EC3">
        <w:t>]</w:t>
      </w:r>
      <w:r w:rsidR="00B50D81" w:rsidRPr="00B50D81">
        <w:t>.</w:t>
      </w:r>
      <w:r w:rsidR="005D0EC3">
        <w:t xml:space="preserve"> </w:t>
      </w:r>
      <w:r w:rsidR="005F67B9">
        <w:t xml:space="preserve">Тем не менее, в работе </w:t>
      </w:r>
      <w:r w:rsidR="005F67B9" w:rsidRPr="005F67B9">
        <w:t>[</w:t>
      </w:r>
      <w:proofErr w:type="spellStart"/>
      <w:r w:rsidR="005F67B9">
        <w:t>Дуляк</w:t>
      </w:r>
      <w:proofErr w:type="spellEnd"/>
      <w:r w:rsidR="005F67B9">
        <w:t>, 2015</w:t>
      </w:r>
      <w:r w:rsidR="005F67B9" w:rsidRPr="005F67B9">
        <w:t xml:space="preserve">] </w:t>
      </w:r>
      <w:r w:rsidR="005F67B9">
        <w:t xml:space="preserve">автор отмечает, что при анализе компаний, действующих в переходных экономиках, исследователи больше опираются на бухгалтерские показатели, так как финансовые рынки в таких странах недостаточно развиты. </w:t>
      </w:r>
      <w:r w:rsidR="00E47BB4">
        <w:t xml:space="preserve">К основным </w:t>
      </w:r>
      <w:r w:rsidR="00E47BB4">
        <w:lastRenderedPageBreak/>
        <w:t xml:space="preserve">бухгалтерским показателям относят </w:t>
      </w:r>
      <w:r>
        <w:t>показатель рентабельности активов (</w:t>
      </w:r>
      <w:r>
        <w:rPr>
          <w:lang w:val="en-US"/>
        </w:rPr>
        <w:t>ROA</w:t>
      </w:r>
      <w:r w:rsidR="000B45CF">
        <w:t>,</w:t>
      </w:r>
      <w:r w:rsidRPr="00D123B2">
        <w:t xml:space="preserve"> </w:t>
      </w:r>
      <w:r w:rsidR="00AA714B">
        <w:rPr>
          <w:lang w:val="en-US"/>
        </w:rPr>
        <w:t>R</w:t>
      </w:r>
      <w:r>
        <w:rPr>
          <w:lang w:val="en-US"/>
        </w:rPr>
        <w:t>eturn</w:t>
      </w:r>
      <w:r w:rsidRPr="00D123B2">
        <w:t xml:space="preserve"> </w:t>
      </w:r>
      <w:r>
        <w:rPr>
          <w:lang w:val="en-US"/>
        </w:rPr>
        <w:t>on</w:t>
      </w:r>
      <w:r w:rsidRPr="00D123B2">
        <w:t xml:space="preserve"> </w:t>
      </w:r>
      <w:r w:rsidR="00AA714B">
        <w:rPr>
          <w:lang w:val="en-US"/>
        </w:rPr>
        <w:t>A</w:t>
      </w:r>
      <w:r>
        <w:rPr>
          <w:lang w:val="en-US"/>
        </w:rPr>
        <w:t>ssets</w:t>
      </w:r>
      <w:r w:rsidRPr="00D123B2">
        <w:t xml:space="preserve">), </w:t>
      </w:r>
      <w:r>
        <w:t>показатель рентабельности собственного капитала (</w:t>
      </w:r>
      <w:r>
        <w:rPr>
          <w:lang w:val="en-US"/>
        </w:rPr>
        <w:t>ROE</w:t>
      </w:r>
      <w:r w:rsidR="00AA714B">
        <w:t xml:space="preserve">, </w:t>
      </w:r>
      <w:r w:rsidR="00AA714B">
        <w:rPr>
          <w:lang w:val="en-US"/>
        </w:rPr>
        <w:t>R</w:t>
      </w:r>
      <w:r>
        <w:rPr>
          <w:lang w:val="en-US"/>
        </w:rPr>
        <w:t>eturn</w:t>
      </w:r>
      <w:r w:rsidRPr="00D123B2">
        <w:t xml:space="preserve"> </w:t>
      </w:r>
      <w:r>
        <w:rPr>
          <w:lang w:val="en-US"/>
        </w:rPr>
        <w:t>on</w:t>
      </w:r>
      <w:r w:rsidRPr="00D123B2">
        <w:t xml:space="preserve"> </w:t>
      </w:r>
      <w:r w:rsidR="00AA714B">
        <w:rPr>
          <w:lang w:val="en-US"/>
        </w:rPr>
        <w:t>E</w:t>
      </w:r>
      <w:r>
        <w:rPr>
          <w:lang w:val="en-US"/>
        </w:rPr>
        <w:t>quity</w:t>
      </w:r>
      <w:r w:rsidRPr="00D123B2">
        <w:t>)</w:t>
      </w:r>
      <w:r w:rsidR="00AA714B">
        <w:t>, показатель рентабельности инвестированного капитала (</w:t>
      </w:r>
      <w:r w:rsidR="00AA714B">
        <w:rPr>
          <w:lang w:val="en-US"/>
        </w:rPr>
        <w:t>ROIC</w:t>
      </w:r>
      <w:r w:rsidR="00AA714B">
        <w:t xml:space="preserve">, Return </w:t>
      </w:r>
      <w:proofErr w:type="spellStart"/>
      <w:r w:rsidR="00AA714B">
        <w:t>on</w:t>
      </w:r>
      <w:proofErr w:type="spellEnd"/>
      <w:r w:rsidR="00AA714B">
        <w:t xml:space="preserve"> </w:t>
      </w:r>
      <w:proofErr w:type="spellStart"/>
      <w:r w:rsidR="00AA714B">
        <w:t>Invested</w:t>
      </w:r>
      <w:proofErr w:type="spellEnd"/>
      <w:r w:rsidR="00AA714B">
        <w:t xml:space="preserve"> Capital)</w:t>
      </w:r>
      <w:r w:rsidR="00AA714B" w:rsidRPr="00AA714B">
        <w:t xml:space="preserve">. </w:t>
      </w:r>
    </w:p>
    <w:p w14:paraId="21CCA850" w14:textId="4361D7DC" w:rsidR="00C42CF7" w:rsidRPr="00C42CF7" w:rsidRDefault="0076437D" w:rsidP="00C42CF7">
      <w:pPr>
        <w:pStyle w:val="aff0"/>
      </w:pPr>
      <w:r w:rsidRPr="00E009A7">
        <w:t xml:space="preserve">Показатель </w:t>
      </w:r>
      <w:r w:rsidRPr="00E009A7">
        <w:rPr>
          <w:lang w:val="en-US"/>
        </w:rPr>
        <w:t>ROA</w:t>
      </w:r>
      <w:r w:rsidRPr="00E009A7">
        <w:t xml:space="preserve"> </w:t>
      </w:r>
      <w:r w:rsidR="00E009A7">
        <w:t xml:space="preserve">отражает отдачу от использования суммарных активов компании. Он позволяет оценить </w:t>
      </w:r>
      <w:r w:rsidR="0079257E">
        <w:t xml:space="preserve">работу </w:t>
      </w:r>
      <w:r w:rsidR="00E009A7">
        <w:t xml:space="preserve">менеджмента и показывает, </w:t>
      </w:r>
      <w:r w:rsidR="00E009A7" w:rsidRPr="00E009A7">
        <w:t>сколько чистой прибыли в расчете на денежные единицы приносит каждая единица активов, имеющихся в распоряжении компании.</w:t>
      </w:r>
      <w:r w:rsidR="00110E1C" w:rsidRPr="00110E1C">
        <w:t xml:space="preserve"> </w:t>
      </w:r>
      <w:r w:rsidR="00110E1C" w:rsidRPr="00E009A7">
        <w:rPr>
          <w:rFonts w:eastAsiaTheme="minorEastAsia" w:cs="Times New Roman"/>
          <w:iCs/>
        </w:rPr>
        <w:t xml:space="preserve">Увеличение данного показателя демонстрирует </w:t>
      </w:r>
      <w:r w:rsidR="0079257E">
        <w:rPr>
          <w:rFonts w:eastAsiaTheme="minorEastAsia" w:cs="Times New Roman"/>
          <w:iCs/>
        </w:rPr>
        <w:t xml:space="preserve">эффективную </w:t>
      </w:r>
      <w:r w:rsidR="00110E1C" w:rsidRPr="00E009A7">
        <w:rPr>
          <w:rFonts w:eastAsiaTheme="minorEastAsia" w:cs="Times New Roman"/>
          <w:iCs/>
        </w:rPr>
        <w:t>работу менеджмента и рост эффективности использования ресурсов</w:t>
      </w:r>
      <w:r w:rsidR="00110E1C">
        <w:rPr>
          <w:rFonts w:eastAsiaTheme="minorEastAsia" w:cs="Times New Roman"/>
          <w:iCs/>
        </w:rPr>
        <w:t xml:space="preserve">. </w:t>
      </w:r>
      <w:r w:rsidR="00110E1C">
        <w:t xml:space="preserve">В общем виде показатель рентабельности активов рассчитывается как отношение чистой прибыли (убытков) к величине совокупных активов: </w:t>
      </w:r>
    </w:p>
    <w:p w14:paraId="205A5E4A" w14:textId="4F48CB8A" w:rsidR="00110E1C" w:rsidRPr="00E009A7" w:rsidRDefault="00110E1C" w:rsidP="00110E1C">
      <w:pPr>
        <w:spacing w:after="0"/>
        <w:ind w:firstLine="709"/>
        <w:jc w:val="center"/>
        <w:rPr>
          <w:rFonts w:eastAsiaTheme="minorEastAsia" w:cs="Times New Roman"/>
          <w:i/>
        </w:rPr>
      </w:pPr>
      <m:oMath>
        <m:r>
          <w:rPr>
            <w:rFonts w:ascii="Cambria Math" w:hAnsi="Cambria Math" w:cs="Times New Roman"/>
          </w:rPr>
          <m:t xml:space="preserve">ROA=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</w:rPr>
              <m:t>TA</m:t>
            </m:r>
          </m:den>
        </m:f>
      </m:oMath>
      <w:r w:rsidRPr="00E009A7">
        <w:rPr>
          <w:rFonts w:eastAsiaTheme="minorEastAsia" w:cs="Times New Roman"/>
          <w:i/>
        </w:rPr>
        <w:t xml:space="preserve"> , гд</w:t>
      </w:r>
      <w:r w:rsidRPr="00E009A7">
        <w:rPr>
          <w:rFonts w:eastAsiaTheme="minorEastAsia" w:cs="Times New Roman"/>
          <w:i/>
          <w:lang w:val="en-US"/>
        </w:rPr>
        <w:t>e</w:t>
      </w:r>
      <w:r w:rsidRPr="00E009A7">
        <w:rPr>
          <w:rFonts w:eastAsiaTheme="minorEastAsia" w:cs="Times New Roman"/>
          <w:i/>
        </w:rPr>
        <w:t xml:space="preserve">                  </w:t>
      </w:r>
    </w:p>
    <w:p w14:paraId="0633E8F5" w14:textId="059C390A" w:rsidR="00110E1C" w:rsidRPr="00E009A7" w:rsidRDefault="00110E1C" w:rsidP="00110E1C">
      <w:pPr>
        <w:spacing w:after="0"/>
        <w:ind w:firstLine="709"/>
        <w:rPr>
          <w:rFonts w:eastAsiaTheme="minorEastAsia" w:cs="Times New Roman"/>
          <w:i/>
        </w:rPr>
      </w:pPr>
      <w:r w:rsidRPr="00E009A7">
        <w:rPr>
          <w:rFonts w:eastAsiaTheme="minorEastAsia" w:cs="Times New Roman"/>
          <w:i/>
          <w:lang w:val="en-US"/>
        </w:rPr>
        <w:t>NI</w:t>
      </w:r>
      <w:r w:rsidRPr="00E009A7">
        <w:rPr>
          <w:rFonts w:eastAsiaTheme="minorEastAsia" w:cs="Times New Roman"/>
          <w:i/>
        </w:rPr>
        <w:t xml:space="preserve"> </w:t>
      </w:r>
      <w:r w:rsidRPr="00E009A7">
        <w:rPr>
          <w:rFonts w:cs="Times New Roman"/>
          <w:i/>
          <w:szCs w:val="24"/>
        </w:rPr>
        <w:t>—</w:t>
      </w:r>
      <w:r w:rsidRPr="00E009A7">
        <w:rPr>
          <w:rFonts w:eastAsiaTheme="minorEastAsia" w:cs="Times New Roman"/>
          <w:i/>
        </w:rPr>
        <w:t xml:space="preserve"> величина чистой прибыли,</w:t>
      </w:r>
    </w:p>
    <w:p w14:paraId="107CB51B" w14:textId="77777777" w:rsidR="00110E1C" w:rsidRPr="00E009A7" w:rsidRDefault="00110E1C" w:rsidP="00110E1C">
      <w:pPr>
        <w:spacing w:after="0"/>
        <w:ind w:firstLine="709"/>
        <w:rPr>
          <w:rFonts w:eastAsiaTheme="minorEastAsia" w:cs="Times New Roman"/>
        </w:rPr>
      </w:pPr>
      <w:r w:rsidRPr="00E009A7">
        <w:rPr>
          <w:rFonts w:eastAsiaTheme="minorEastAsia" w:cs="Times New Roman"/>
          <w:i/>
          <w:lang w:val="en-US"/>
        </w:rPr>
        <w:t>TA</w:t>
      </w:r>
      <w:r w:rsidRPr="00E009A7">
        <w:rPr>
          <w:rFonts w:eastAsiaTheme="minorEastAsia" w:cs="Times New Roman"/>
          <w:i/>
        </w:rPr>
        <w:t xml:space="preserve"> </w:t>
      </w:r>
      <w:r w:rsidRPr="00E009A7">
        <w:rPr>
          <w:rFonts w:cs="Times New Roman"/>
          <w:i/>
          <w:szCs w:val="24"/>
        </w:rPr>
        <w:t>—</w:t>
      </w:r>
      <w:r w:rsidRPr="00E009A7">
        <w:rPr>
          <w:rFonts w:eastAsiaTheme="minorEastAsia" w:cs="Times New Roman"/>
          <w:i/>
        </w:rPr>
        <w:t xml:space="preserve"> </w:t>
      </w:r>
      <w:r w:rsidRPr="00E009A7">
        <w:rPr>
          <w:rFonts w:cs="Times New Roman"/>
          <w:i/>
          <w:szCs w:val="24"/>
        </w:rPr>
        <w:t>балансовая стоимость активов.</w:t>
      </w:r>
    </w:p>
    <w:p w14:paraId="0DCD8455" w14:textId="45F33201" w:rsidR="00110E1C" w:rsidRPr="00110E1C" w:rsidRDefault="00110E1C" w:rsidP="00D97FCF">
      <w:pPr>
        <w:pStyle w:val="aff0"/>
      </w:pPr>
      <w:r>
        <w:t>Однако, т</w:t>
      </w:r>
      <w:r w:rsidRPr="00E009A7">
        <w:t>ак как в знаменатель включен весь капитал компании, в том числе и заемный, необходимо рассчитывать эффективность вложенных средств не только для акционеров, но и для долгосрочных кредиторов. Проценты к уплате необходимо корректировать на налоговый щит, чтобы оценить сколько компания могла бы заработать, если бы финансировалась только собственным капиталом. Кроме того, это позволяет сравнивать рентабельность компаний с разной долговой нагрузкой</w:t>
      </w:r>
      <w:r>
        <w:t xml:space="preserve"> </w:t>
      </w:r>
      <w:r w:rsidRPr="00E009A7">
        <w:t>[</w:t>
      </w:r>
      <w:r w:rsidRPr="00E009A7">
        <w:rPr>
          <w:lang w:val="en-US"/>
        </w:rPr>
        <w:t>Brealey</w:t>
      </w:r>
      <w:r w:rsidRPr="00E009A7">
        <w:t xml:space="preserve"> </w:t>
      </w:r>
      <w:r w:rsidRPr="00E009A7">
        <w:rPr>
          <w:lang w:val="en-US"/>
        </w:rPr>
        <w:t>et</w:t>
      </w:r>
      <w:r w:rsidRPr="00E009A7">
        <w:t xml:space="preserve"> </w:t>
      </w:r>
      <w:r w:rsidRPr="00E009A7">
        <w:rPr>
          <w:lang w:val="en-US"/>
        </w:rPr>
        <w:t>al</w:t>
      </w:r>
      <w:r w:rsidRPr="00E009A7">
        <w:t>., 2011, с. 712]</w:t>
      </w:r>
      <w:r>
        <w:t xml:space="preserve">. Таким образом, </w:t>
      </w:r>
      <w:r>
        <w:rPr>
          <w:lang w:val="en-US"/>
        </w:rPr>
        <w:t>ROA</w:t>
      </w:r>
      <w:r w:rsidRPr="00110E1C">
        <w:t xml:space="preserve"> </w:t>
      </w:r>
      <w:r w:rsidR="00C37CDC">
        <w:t>может рассчитываться</w:t>
      </w:r>
      <w:r>
        <w:t xml:space="preserve"> как </w:t>
      </w:r>
      <w:r w:rsidRPr="00E009A7">
        <w:t>отношение дохода инвесторов к величине совокупных активов</w:t>
      </w:r>
      <w:r>
        <w:t xml:space="preserve">: </w:t>
      </w:r>
    </w:p>
    <w:p w14:paraId="6B4FA6D7" w14:textId="18B3EC47" w:rsidR="008C05D8" w:rsidRPr="00E009A7" w:rsidRDefault="008C05D8" w:rsidP="008C05D8">
      <w:pPr>
        <w:spacing w:after="0"/>
        <w:ind w:firstLine="709"/>
        <w:jc w:val="center"/>
        <w:rPr>
          <w:rFonts w:eastAsiaTheme="minorEastAsia" w:cs="Times New Roman"/>
          <w:i/>
        </w:rPr>
      </w:pPr>
      <m:oMath>
        <m:r>
          <w:rPr>
            <w:rFonts w:ascii="Cambria Math" w:hAnsi="Cambria Math" w:cs="Times New Roman"/>
          </w:rPr>
          <m:t xml:space="preserve">ROA=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+In*(1-T)</m:t>
            </m:r>
          </m:num>
          <m:den>
            <m:r>
              <w:rPr>
                <w:rFonts w:ascii="Cambria Math" w:hAnsi="Cambria Math" w:cs="Times New Roman"/>
              </w:rPr>
              <m:t>TA</m:t>
            </m:r>
          </m:den>
        </m:f>
      </m:oMath>
      <w:r w:rsidRPr="00E009A7">
        <w:rPr>
          <w:rFonts w:eastAsiaTheme="minorEastAsia" w:cs="Times New Roman"/>
          <w:i/>
        </w:rPr>
        <w:t xml:space="preserve"> , гд</w:t>
      </w:r>
      <w:r w:rsidR="00530586" w:rsidRPr="00E009A7">
        <w:rPr>
          <w:rFonts w:eastAsiaTheme="minorEastAsia" w:cs="Times New Roman"/>
          <w:i/>
          <w:lang w:val="en-US"/>
        </w:rPr>
        <w:t>e</w:t>
      </w:r>
      <w:r w:rsidR="00530586" w:rsidRPr="00E009A7">
        <w:rPr>
          <w:rFonts w:eastAsiaTheme="minorEastAsia" w:cs="Times New Roman"/>
          <w:i/>
        </w:rPr>
        <w:t xml:space="preserve">                                                                   </w:t>
      </w:r>
    </w:p>
    <w:p w14:paraId="0FECDC45" w14:textId="380DF5D3" w:rsidR="008C05D8" w:rsidRPr="00E009A7" w:rsidRDefault="008C05D8" w:rsidP="008C05D8">
      <w:pPr>
        <w:spacing w:after="0"/>
        <w:ind w:firstLine="709"/>
        <w:rPr>
          <w:rFonts w:eastAsiaTheme="minorEastAsia" w:cs="Times New Roman"/>
          <w:i/>
        </w:rPr>
      </w:pPr>
      <w:r w:rsidRPr="00E009A7">
        <w:rPr>
          <w:rFonts w:eastAsiaTheme="minorEastAsia" w:cs="Times New Roman"/>
          <w:i/>
          <w:lang w:val="en-US"/>
        </w:rPr>
        <w:t>N</w:t>
      </w:r>
      <w:r w:rsidR="00793726" w:rsidRPr="00E009A7">
        <w:rPr>
          <w:rFonts w:eastAsiaTheme="minorEastAsia" w:cs="Times New Roman"/>
          <w:i/>
          <w:lang w:val="en-US"/>
        </w:rPr>
        <w:t>I</w:t>
      </w:r>
      <w:r w:rsidRPr="00E009A7">
        <w:rPr>
          <w:rFonts w:eastAsiaTheme="minorEastAsia" w:cs="Times New Roman"/>
          <w:i/>
        </w:rPr>
        <w:t xml:space="preserve"> </w:t>
      </w:r>
      <w:r w:rsidRPr="00E009A7">
        <w:rPr>
          <w:rFonts w:cs="Times New Roman"/>
          <w:i/>
          <w:szCs w:val="24"/>
        </w:rPr>
        <w:t>—</w:t>
      </w:r>
      <w:r w:rsidRPr="00E009A7">
        <w:rPr>
          <w:rFonts w:eastAsiaTheme="minorEastAsia" w:cs="Times New Roman"/>
          <w:i/>
        </w:rPr>
        <w:t xml:space="preserve"> величина чистой прибыли,</w:t>
      </w:r>
    </w:p>
    <w:p w14:paraId="4EAF52D3" w14:textId="216CBA46" w:rsidR="00526749" w:rsidRPr="00E009A7" w:rsidRDefault="00526749" w:rsidP="008C05D8">
      <w:pPr>
        <w:spacing w:after="0"/>
        <w:ind w:firstLine="709"/>
        <w:rPr>
          <w:rFonts w:eastAsiaTheme="minorEastAsia" w:cs="Times New Roman"/>
          <w:i/>
        </w:rPr>
      </w:pPr>
      <w:r w:rsidRPr="00E009A7">
        <w:rPr>
          <w:rFonts w:eastAsiaTheme="minorEastAsia" w:cs="Times New Roman"/>
          <w:i/>
          <w:lang w:val="en-US"/>
        </w:rPr>
        <w:t>In</w:t>
      </w:r>
      <w:r w:rsidRPr="00E009A7">
        <w:rPr>
          <w:rFonts w:eastAsiaTheme="minorEastAsia" w:cs="Times New Roman"/>
          <w:i/>
        </w:rPr>
        <w:t xml:space="preserve"> – проценты к уплате по долгосрочному долгу,</w:t>
      </w:r>
    </w:p>
    <w:p w14:paraId="6332E1ED" w14:textId="32971485" w:rsidR="004940E9" w:rsidRPr="00E009A7" w:rsidRDefault="004940E9" w:rsidP="008C05D8">
      <w:pPr>
        <w:spacing w:after="0"/>
        <w:ind w:firstLine="709"/>
        <w:rPr>
          <w:rFonts w:eastAsiaTheme="minorEastAsia" w:cs="Times New Roman"/>
          <w:i/>
        </w:rPr>
      </w:pPr>
      <w:r w:rsidRPr="00E009A7">
        <w:rPr>
          <w:rFonts w:eastAsiaTheme="minorEastAsia" w:cs="Times New Roman"/>
          <w:i/>
          <w:lang w:val="en-US"/>
        </w:rPr>
        <w:t>T</w:t>
      </w:r>
      <w:r w:rsidRPr="00E009A7">
        <w:rPr>
          <w:rFonts w:eastAsiaTheme="minorEastAsia" w:cs="Times New Roman"/>
          <w:i/>
        </w:rPr>
        <w:t xml:space="preserve"> – </w:t>
      </w:r>
      <w:r w:rsidR="00F40245" w:rsidRPr="00E009A7">
        <w:rPr>
          <w:rFonts w:eastAsiaTheme="minorEastAsia" w:cs="Times New Roman"/>
          <w:i/>
        </w:rPr>
        <w:t xml:space="preserve">ставка </w:t>
      </w:r>
      <w:r w:rsidRPr="00E009A7">
        <w:rPr>
          <w:rFonts w:eastAsiaTheme="minorEastAsia" w:cs="Times New Roman"/>
          <w:i/>
        </w:rPr>
        <w:t>налог</w:t>
      </w:r>
      <w:r w:rsidR="00F40245" w:rsidRPr="00E009A7">
        <w:rPr>
          <w:rFonts w:eastAsiaTheme="minorEastAsia" w:cs="Times New Roman"/>
          <w:i/>
        </w:rPr>
        <w:t>а</w:t>
      </w:r>
      <w:r w:rsidRPr="00E009A7">
        <w:rPr>
          <w:rFonts w:eastAsiaTheme="minorEastAsia" w:cs="Times New Roman"/>
          <w:i/>
        </w:rPr>
        <w:t xml:space="preserve"> на прибыль,</w:t>
      </w:r>
    </w:p>
    <w:p w14:paraId="0CCB08D4" w14:textId="70F40A53" w:rsidR="008C05D8" w:rsidRDefault="008C05D8" w:rsidP="008C05D8">
      <w:pPr>
        <w:spacing w:after="0"/>
        <w:ind w:firstLine="709"/>
        <w:rPr>
          <w:rFonts w:cs="Times New Roman"/>
          <w:i/>
          <w:szCs w:val="24"/>
        </w:rPr>
      </w:pPr>
      <w:r w:rsidRPr="00E009A7">
        <w:rPr>
          <w:rFonts w:eastAsiaTheme="minorEastAsia" w:cs="Times New Roman"/>
          <w:i/>
          <w:lang w:val="en-US"/>
        </w:rPr>
        <w:t>TA</w:t>
      </w:r>
      <w:r w:rsidRPr="00E009A7">
        <w:rPr>
          <w:rFonts w:eastAsiaTheme="minorEastAsia" w:cs="Times New Roman"/>
          <w:i/>
        </w:rPr>
        <w:t xml:space="preserve"> </w:t>
      </w:r>
      <w:r w:rsidRPr="00E009A7">
        <w:rPr>
          <w:rFonts w:cs="Times New Roman"/>
          <w:i/>
          <w:szCs w:val="24"/>
        </w:rPr>
        <w:t>—</w:t>
      </w:r>
      <w:r w:rsidRPr="00E009A7">
        <w:rPr>
          <w:rFonts w:eastAsiaTheme="minorEastAsia" w:cs="Times New Roman"/>
          <w:i/>
        </w:rPr>
        <w:t xml:space="preserve"> </w:t>
      </w:r>
      <w:r w:rsidRPr="00E009A7">
        <w:rPr>
          <w:rFonts w:cs="Times New Roman"/>
          <w:i/>
          <w:szCs w:val="24"/>
        </w:rPr>
        <w:t>балансовая стоимость активов.</w:t>
      </w:r>
    </w:p>
    <w:p w14:paraId="5A774E2E" w14:textId="6098B161" w:rsidR="008C05D8" w:rsidRPr="00D655B0" w:rsidRDefault="00110E1C" w:rsidP="00D97FCF">
      <w:pPr>
        <w:pStyle w:val="aff0"/>
      </w:pPr>
      <w:r w:rsidRPr="00110E1C">
        <w:rPr>
          <w:szCs w:val="24"/>
        </w:rPr>
        <w:t xml:space="preserve">Ввиду </w:t>
      </w:r>
      <w:r w:rsidR="00D44A93">
        <w:rPr>
          <w:szCs w:val="24"/>
        </w:rPr>
        <w:t>более распространённого подхода расчета показателя рентабельности активов как отношени</w:t>
      </w:r>
      <w:r w:rsidR="00131135">
        <w:rPr>
          <w:szCs w:val="24"/>
        </w:rPr>
        <w:t>я</w:t>
      </w:r>
      <w:r w:rsidR="00D44A93">
        <w:rPr>
          <w:szCs w:val="24"/>
        </w:rPr>
        <w:t xml:space="preserve"> </w:t>
      </w:r>
      <w:r w:rsidR="00D44A93">
        <w:t xml:space="preserve">чистой прибыли (убытков) к совокупным активам, в данной работе будет использован именно этот подход при расчете. </w:t>
      </w:r>
    </w:p>
    <w:p w14:paraId="45211812" w14:textId="77AC8638" w:rsidR="00793726" w:rsidRDefault="00745942" w:rsidP="00D97FCF">
      <w:pPr>
        <w:pStyle w:val="aff0"/>
      </w:pPr>
      <w:r>
        <w:t>Рентабельность собственного капитала (</w:t>
      </w:r>
      <w:r>
        <w:rPr>
          <w:lang w:val="en-US"/>
        </w:rPr>
        <w:t>ROE</w:t>
      </w:r>
      <w:r w:rsidRPr="00745942">
        <w:t xml:space="preserve">) </w:t>
      </w:r>
      <w:r>
        <w:t xml:space="preserve">является другим важным показателем рентабельности инвестиций, </w:t>
      </w:r>
      <w:r w:rsidR="00D655B0">
        <w:t xml:space="preserve">который </w:t>
      </w:r>
      <w:r>
        <w:t>показыва</w:t>
      </w:r>
      <w:r w:rsidR="00D655B0">
        <w:t>ет</w:t>
      </w:r>
      <w:r>
        <w:t xml:space="preserve"> эффективность использования денежных средств </w:t>
      </w:r>
      <w:r w:rsidR="00793726">
        <w:t xml:space="preserve">акционеров для получения прибыли. Показатель </w:t>
      </w:r>
      <w:r w:rsidR="00793726">
        <w:rPr>
          <w:lang w:val="en-US"/>
        </w:rPr>
        <w:t>ROE</w:t>
      </w:r>
      <w:r w:rsidR="00793726" w:rsidRPr="00793726">
        <w:t xml:space="preserve"> </w:t>
      </w:r>
      <w:r w:rsidR="00793726">
        <w:t>рассчитывается как отношение чистой прибыли к собственному капиталу</w:t>
      </w:r>
      <w:r w:rsidR="00CA202C" w:rsidRPr="00CA202C">
        <w:t xml:space="preserve"> [</w:t>
      </w:r>
      <w:r w:rsidR="00CA202C">
        <w:t xml:space="preserve">Там же, с. </w:t>
      </w:r>
      <w:r w:rsidR="00CA202C" w:rsidRPr="00CA202C">
        <w:t>712]</w:t>
      </w:r>
      <w:r w:rsidR="00793726">
        <w:t xml:space="preserve">: </w:t>
      </w:r>
    </w:p>
    <w:p w14:paraId="53C87918" w14:textId="77777777" w:rsidR="00793726" w:rsidRDefault="00793726" w:rsidP="00793726">
      <w:pPr>
        <w:spacing w:after="0"/>
        <w:ind w:firstLine="709"/>
        <w:jc w:val="center"/>
        <w:rPr>
          <w:rFonts w:eastAsiaTheme="minorEastAsia" w:cs="Times New Roman"/>
          <w:i/>
        </w:rPr>
      </w:pPr>
      <m:oMath>
        <m:r>
          <w:rPr>
            <w:rFonts w:ascii="Cambria Math" w:hAnsi="Cambria Math" w:cs="Times New Roman"/>
          </w:rPr>
          <m:t xml:space="preserve">ROE=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NI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  <w:r w:rsidRPr="00156AB1">
        <w:rPr>
          <w:rFonts w:eastAsiaTheme="minorEastAsia" w:cs="Times New Roman"/>
          <w:i/>
        </w:rPr>
        <w:t xml:space="preserve"> , </w:t>
      </w:r>
      <w:r w:rsidRPr="005A1586">
        <w:rPr>
          <w:rFonts w:eastAsiaTheme="minorEastAsia" w:cs="Times New Roman"/>
          <w:i/>
        </w:rPr>
        <w:t>где</w:t>
      </w:r>
    </w:p>
    <w:p w14:paraId="4CDA6815" w14:textId="77777777" w:rsidR="00793726" w:rsidRDefault="00793726" w:rsidP="00793726">
      <w:pPr>
        <w:spacing w:after="0"/>
        <w:ind w:firstLine="709"/>
        <w:rPr>
          <w:rFonts w:eastAsiaTheme="minorEastAsia" w:cs="Times New Roman"/>
          <w:i/>
        </w:rPr>
      </w:pPr>
      <w:r>
        <w:rPr>
          <w:rFonts w:eastAsiaTheme="minorEastAsia" w:cs="Times New Roman"/>
          <w:i/>
          <w:lang w:val="en-US"/>
        </w:rPr>
        <w:lastRenderedPageBreak/>
        <w:t>NI</w:t>
      </w:r>
      <w:r w:rsidRPr="005A1586">
        <w:rPr>
          <w:rFonts w:eastAsiaTheme="minorEastAsia" w:cs="Times New Roman"/>
          <w:i/>
        </w:rPr>
        <w:t xml:space="preserve"> </w:t>
      </w:r>
      <w:r w:rsidRPr="00496150">
        <w:rPr>
          <w:rFonts w:cs="Times New Roman"/>
          <w:i/>
          <w:szCs w:val="24"/>
        </w:rPr>
        <w:t>—</w:t>
      </w:r>
      <w:r w:rsidRPr="005A1586">
        <w:rPr>
          <w:rFonts w:eastAsiaTheme="minorEastAsia" w:cs="Times New Roman"/>
          <w:i/>
        </w:rPr>
        <w:t xml:space="preserve"> </w:t>
      </w:r>
      <w:r>
        <w:rPr>
          <w:rFonts w:eastAsiaTheme="minorEastAsia" w:cs="Times New Roman"/>
          <w:i/>
        </w:rPr>
        <w:t>величина чистой прибыли,</w:t>
      </w:r>
    </w:p>
    <w:p w14:paraId="4F01C0BD" w14:textId="114C054E" w:rsidR="00CE5A25" w:rsidRPr="00CE5A25" w:rsidRDefault="00793726" w:rsidP="00CE5A25">
      <w:pPr>
        <w:spacing w:after="0"/>
        <w:ind w:firstLine="709"/>
        <w:rPr>
          <w:rFonts w:cs="Times New Roman"/>
          <w:i/>
        </w:rPr>
      </w:pPr>
      <w:r>
        <w:rPr>
          <w:rFonts w:eastAsiaTheme="minorEastAsia" w:cs="Times New Roman"/>
          <w:i/>
          <w:lang w:val="en-US"/>
        </w:rPr>
        <w:t>E</w:t>
      </w:r>
      <w:r w:rsidRPr="005A1586">
        <w:rPr>
          <w:rFonts w:eastAsiaTheme="minorEastAsia" w:cs="Times New Roman"/>
          <w:i/>
        </w:rPr>
        <w:t xml:space="preserve"> </w:t>
      </w:r>
      <w:r w:rsidRPr="005A1586">
        <w:rPr>
          <w:rFonts w:cs="Times New Roman"/>
          <w:i/>
          <w:szCs w:val="24"/>
        </w:rPr>
        <w:t>—</w:t>
      </w:r>
      <w:r w:rsidRPr="005A1586">
        <w:rPr>
          <w:rFonts w:eastAsiaTheme="minorEastAsia" w:cs="Times New Roman"/>
          <w:i/>
        </w:rPr>
        <w:t xml:space="preserve"> </w:t>
      </w:r>
      <w:r w:rsidRPr="005A1586">
        <w:rPr>
          <w:rFonts w:cs="Times New Roman"/>
          <w:i/>
        </w:rPr>
        <w:t>балансовая стоимость собственного капитала компании.</w:t>
      </w:r>
    </w:p>
    <w:p w14:paraId="2C785047" w14:textId="1284EBA0" w:rsidR="00793726" w:rsidRPr="009B3A04" w:rsidRDefault="009325B1" w:rsidP="00D97FCF">
      <w:pPr>
        <w:pStyle w:val="aff0"/>
      </w:pPr>
      <w:r>
        <w:t xml:space="preserve">Среди ключевых показателей рентабельности инвестиций можно </w:t>
      </w:r>
      <w:r w:rsidR="0084248D">
        <w:t xml:space="preserve">также </w:t>
      </w:r>
      <w:r>
        <w:t>выделить показатель рентабельности инвестированного капитала (</w:t>
      </w:r>
      <w:r>
        <w:rPr>
          <w:lang w:val="en-US"/>
        </w:rPr>
        <w:t>ROIC</w:t>
      </w:r>
      <w:r w:rsidRPr="009325B1">
        <w:t>)</w:t>
      </w:r>
      <w:r w:rsidR="00312C7E">
        <w:t xml:space="preserve">, показывающий </w:t>
      </w:r>
      <w:r w:rsidR="00B04379">
        <w:t>доходность долгосрочного капитала</w:t>
      </w:r>
      <w:r w:rsidR="0084248D">
        <w:t>, привлеченного из внешних источников,</w:t>
      </w:r>
      <w:r w:rsidR="009B3A04" w:rsidRPr="009B3A04">
        <w:t xml:space="preserve"> </w:t>
      </w:r>
      <w:r w:rsidR="009B3A04">
        <w:t>и рассчитывающийся как отношение чистой операционной прибыли к инвестированному капиталу, равному сумме</w:t>
      </w:r>
      <w:r w:rsidR="0084248D">
        <w:t xml:space="preserve"> собственного капитала и долгосрочных обязательств</w:t>
      </w:r>
      <w:r w:rsidR="00530586">
        <w:rPr>
          <w:rStyle w:val="ac"/>
          <w:rFonts w:eastAsiaTheme="minorEastAsia" w:cs="Times New Roman"/>
        </w:rPr>
        <w:footnoteReference w:id="29"/>
      </w:r>
      <w:r w:rsidR="0084248D">
        <w:t xml:space="preserve">: </w:t>
      </w:r>
    </w:p>
    <w:p w14:paraId="023EA4E1" w14:textId="181961A4" w:rsidR="0002098E" w:rsidRPr="00530586" w:rsidRDefault="00745942" w:rsidP="0002098E">
      <w:pPr>
        <w:spacing w:after="0"/>
        <w:ind w:firstLine="709"/>
        <w:jc w:val="center"/>
        <w:rPr>
          <w:rFonts w:eastAsiaTheme="minorEastAsia" w:cs="Times New Roman"/>
          <w:i/>
        </w:rPr>
      </w:pPr>
      <w:r>
        <w:t xml:space="preserve"> </w:t>
      </w:r>
      <m:oMath>
        <m:r>
          <w:rPr>
            <w:rFonts w:ascii="Cambria Math" w:hAnsi="Cambria Math" w:cs="Times New Roman"/>
          </w:rPr>
          <m:t>ROIC=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EBIT*(1-T)</m:t>
            </m:r>
          </m:num>
          <m:den>
            <m:r>
              <w:rPr>
                <w:rFonts w:ascii="Cambria Math" w:hAnsi="Cambria Math" w:cs="Times New Roman"/>
              </w:rPr>
              <m:t>IC</m:t>
            </m:r>
          </m:den>
        </m:f>
      </m:oMath>
      <w:r w:rsidR="0002098E" w:rsidRPr="00156AB1">
        <w:rPr>
          <w:rFonts w:eastAsiaTheme="minorEastAsia" w:cs="Times New Roman"/>
          <w:i/>
        </w:rPr>
        <w:t xml:space="preserve"> , </w:t>
      </w:r>
      <w:r w:rsidR="0002098E" w:rsidRPr="005A1586">
        <w:rPr>
          <w:rFonts w:eastAsiaTheme="minorEastAsia" w:cs="Times New Roman"/>
          <w:i/>
        </w:rPr>
        <w:t>где</w:t>
      </w:r>
      <w:r w:rsidR="00530586" w:rsidRPr="00530586">
        <w:rPr>
          <w:rFonts w:eastAsiaTheme="minorEastAsia" w:cs="Times New Roman"/>
          <w:i/>
        </w:rPr>
        <w:t xml:space="preserve">  </w:t>
      </w:r>
    </w:p>
    <w:p w14:paraId="30D20E1F" w14:textId="3E0E8440" w:rsidR="00B04379" w:rsidRPr="00B04379" w:rsidRDefault="00B04379" w:rsidP="0002098E">
      <w:pPr>
        <w:spacing w:after="0"/>
        <w:ind w:firstLine="709"/>
        <w:rPr>
          <w:rFonts w:eastAsiaTheme="minorEastAsia" w:cs="Times New Roman"/>
          <w:i/>
        </w:rPr>
      </w:pPr>
      <w:r>
        <w:rPr>
          <w:rFonts w:eastAsiaTheme="minorEastAsia" w:cs="Times New Roman"/>
          <w:i/>
          <w:lang w:val="en-US"/>
        </w:rPr>
        <w:t>EBIT</w:t>
      </w:r>
      <w:r w:rsidRPr="00B04379">
        <w:rPr>
          <w:rFonts w:eastAsiaTheme="minorEastAsia" w:cs="Times New Roman"/>
          <w:i/>
        </w:rPr>
        <w:t xml:space="preserve"> </w:t>
      </w:r>
      <w:r>
        <w:rPr>
          <w:rFonts w:eastAsiaTheme="minorEastAsia" w:cs="Times New Roman"/>
          <w:i/>
        </w:rPr>
        <w:t>–</w:t>
      </w:r>
      <w:r w:rsidRPr="00B04379">
        <w:rPr>
          <w:rFonts w:eastAsiaTheme="minorEastAsia" w:cs="Times New Roman"/>
          <w:i/>
        </w:rPr>
        <w:t xml:space="preserve"> </w:t>
      </w:r>
      <w:r>
        <w:rPr>
          <w:rFonts w:eastAsiaTheme="minorEastAsia" w:cs="Times New Roman"/>
          <w:i/>
        </w:rPr>
        <w:t xml:space="preserve">величина прибыли до вычета налогов и процентов, </w:t>
      </w:r>
    </w:p>
    <w:p w14:paraId="3ED15EBD" w14:textId="55ABD443" w:rsidR="0002098E" w:rsidRDefault="00B04379" w:rsidP="0002098E">
      <w:pPr>
        <w:spacing w:after="0"/>
        <w:ind w:firstLine="709"/>
        <w:rPr>
          <w:rFonts w:cs="Times New Roman"/>
          <w:i/>
        </w:rPr>
      </w:pPr>
      <w:r>
        <w:rPr>
          <w:rFonts w:eastAsiaTheme="minorEastAsia" w:cs="Times New Roman"/>
          <w:i/>
          <w:lang w:val="en-US"/>
        </w:rPr>
        <w:t>T</w:t>
      </w:r>
      <w:r w:rsidR="0002098E" w:rsidRPr="005A1586">
        <w:rPr>
          <w:rFonts w:eastAsiaTheme="minorEastAsia" w:cs="Times New Roman"/>
          <w:i/>
        </w:rPr>
        <w:t xml:space="preserve"> </w:t>
      </w:r>
      <w:r w:rsidR="0002098E" w:rsidRPr="005A1586">
        <w:rPr>
          <w:rFonts w:cs="Times New Roman"/>
          <w:i/>
          <w:szCs w:val="24"/>
        </w:rPr>
        <w:t>—</w:t>
      </w:r>
      <w:r>
        <w:rPr>
          <w:rFonts w:cs="Times New Roman"/>
          <w:i/>
        </w:rPr>
        <w:t xml:space="preserve"> ставка налога на прибыль,</w:t>
      </w:r>
    </w:p>
    <w:p w14:paraId="2CFE663A" w14:textId="1756EEA2" w:rsidR="00CE5A25" w:rsidRDefault="00B04379" w:rsidP="00CE5A25">
      <w:pPr>
        <w:spacing w:after="0"/>
        <w:ind w:firstLine="709"/>
        <w:rPr>
          <w:rFonts w:cs="Times New Roman"/>
          <w:i/>
        </w:rPr>
      </w:pPr>
      <w:r>
        <w:rPr>
          <w:rFonts w:cs="Times New Roman"/>
          <w:i/>
          <w:lang w:val="en-US"/>
        </w:rPr>
        <w:t>IC</w:t>
      </w:r>
      <w:r w:rsidRPr="0057007A">
        <w:rPr>
          <w:rFonts w:cs="Times New Roman"/>
          <w:i/>
        </w:rPr>
        <w:t xml:space="preserve"> – </w:t>
      </w:r>
      <w:r>
        <w:rPr>
          <w:rFonts w:cs="Times New Roman"/>
          <w:i/>
        </w:rPr>
        <w:t xml:space="preserve">величина инвестированного капитала. </w:t>
      </w:r>
    </w:p>
    <w:p w14:paraId="7D0D8A79" w14:textId="42F16604" w:rsidR="00E009A7" w:rsidRPr="00E009A7" w:rsidRDefault="00E009A7" w:rsidP="00D97FCF">
      <w:pPr>
        <w:pStyle w:val="aff0"/>
      </w:pPr>
      <w:r>
        <w:t xml:space="preserve">Показатель </w:t>
      </w:r>
      <w:r>
        <w:rPr>
          <w:lang w:val="en-US"/>
        </w:rPr>
        <w:t>ROIC</w:t>
      </w:r>
      <w:r w:rsidRPr="00E009A7">
        <w:t xml:space="preserve">, </w:t>
      </w:r>
      <w:r>
        <w:t xml:space="preserve">как и показатель </w:t>
      </w:r>
      <w:r>
        <w:rPr>
          <w:lang w:val="en-US"/>
        </w:rPr>
        <w:t>ROA</w:t>
      </w:r>
      <w:r>
        <w:t>,</w:t>
      </w:r>
      <w:r w:rsidRPr="00E009A7">
        <w:t xml:space="preserve"> </w:t>
      </w:r>
      <w:r>
        <w:t xml:space="preserve">демонстрирует эффективность деятельности компании с точки зрения использования привлеченного </w:t>
      </w:r>
      <w:r w:rsidR="0079257E">
        <w:t xml:space="preserve">собственного и заемного </w:t>
      </w:r>
      <w:r>
        <w:t xml:space="preserve">капитала, однако </w:t>
      </w:r>
      <w:r>
        <w:rPr>
          <w:lang w:val="en-US"/>
        </w:rPr>
        <w:t>ROIC</w:t>
      </w:r>
      <w:r w:rsidRPr="00E009A7">
        <w:t xml:space="preserve"> </w:t>
      </w:r>
      <w:r>
        <w:t xml:space="preserve">основан на прибыли до вычета процентов по кредитам, а значит отражает доходы как акционеров, так и кредиторов. Кроме того, в показатель </w:t>
      </w:r>
      <w:r>
        <w:rPr>
          <w:lang w:val="en-US"/>
        </w:rPr>
        <w:t>ROIC</w:t>
      </w:r>
      <w:r w:rsidRPr="00E009A7">
        <w:t xml:space="preserve"> </w:t>
      </w:r>
      <w:r>
        <w:t xml:space="preserve">включен только собственный и долгосрочный заемный капитал, тогда как при расчете показателя </w:t>
      </w:r>
      <w:r>
        <w:rPr>
          <w:lang w:val="en-US"/>
        </w:rPr>
        <w:t>ROA</w:t>
      </w:r>
      <w:r w:rsidRPr="00E009A7">
        <w:t xml:space="preserve"> </w:t>
      </w:r>
      <w:r>
        <w:t xml:space="preserve">учитывается и краткосрочные обязательства. </w:t>
      </w:r>
    </w:p>
    <w:p w14:paraId="09854463" w14:textId="4D4B963F" w:rsidR="003C1275" w:rsidRDefault="006B41EF" w:rsidP="00D97FCF">
      <w:pPr>
        <w:pStyle w:val="aff0"/>
      </w:pPr>
      <w:r>
        <w:t xml:space="preserve">К рыночным показателям финансовой результативности относят коэффициенты, рассчитанные на основе рыночных данных. Актуальность использования рыночных показателей обуславливается </w:t>
      </w:r>
      <w:r w:rsidR="00131135">
        <w:t>интересом</w:t>
      </w:r>
      <w:r>
        <w:t xml:space="preserve"> акционеров в росте ценности их </w:t>
      </w:r>
      <w:r w:rsidR="00131135">
        <w:t>активов</w:t>
      </w:r>
      <w:r>
        <w:t xml:space="preserve"> </w:t>
      </w:r>
      <w:r w:rsidR="003D47D5">
        <w:t xml:space="preserve">и </w:t>
      </w:r>
      <w:r w:rsidR="00131135">
        <w:t xml:space="preserve">в </w:t>
      </w:r>
      <w:r w:rsidR="003D47D5">
        <w:t>увеличени</w:t>
      </w:r>
      <w:r w:rsidR="00131135">
        <w:t>и</w:t>
      </w:r>
      <w:r w:rsidR="003D47D5">
        <w:t xml:space="preserve"> доходности </w:t>
      </w:r>
      <w:r w:rsidR="00131135">
        <w:t>капитала</w:t>
      </w:r>
      <w:r w:rsidR="003D47D5">
        <w:t xml:space="preserve">. </w:t>
      </w:r>
      <w:r w:rsidR="00D2714A">
        <w:t>К наиболее часто встречающимся показателям относят рыночную капитализацию компании (</w:t>
      </w:r>
      <w:r w:rsidR="00D2714A">
        <w:rPr>
          <w:lang w:val="en-US"/>
        </w:rPr>
        <w:t>Market</w:t>
      </w:r>
      <w:r w:rsidR="00D2714A" w:rsidRPr="00D2714A">
        <w:t xml:space="preserve"> </w:t>
      </w:r>
      <w:r w:rsidR="00D2714A">
        <w:rPr>
          <w:lang w:val="en-US"/>
        </w:rPr>
        <w:t>Capitalization</w:t>
      </w:r>
      <w:r w:rsidR="00D2714A" w:rsidRPr="00D2714A">
        <w:t>)</w:t>
      </w:r>
      <w:r w:rsidR="00D2714A">
        <w:t xml:space="preserve">, отражающую текущую общую ценность компании, и рассчитываемую как произведение цены акций на их количество в обращении. Другим </w:t>
      </w:r>
      <w:r w:rsidR="00655152">
        <w:t xml:space="preserve">распространённым показателем является коэффициент </w:t>
      </w:r>
      <w:r w:rsidR="00655152">
        <w:rPr>
          <w:lang w:val="en-US"/>
        </w:rPr>
        <w:t>M</w:t>
      </w:r>
      <w:r w:rsidR="00655152" w:rsidRPr="00655152">
        <w:t>/</w:t>
      </w:r>
      <w:r w:rsidR="00655152">
        <w:rPr>
          <w:lang w:val="en-US"/>
        </w:rPr>
        <w:t>B</w:t>
      </w:r>
      <w:r w:rsidR="00655152" w:rsidRPr="00655152">
        <w:t xml:space="preserve"> (</w:t>
      </w:r>
      <w:r w:rsidR="00655152">
        <w:rPr>
          <w:lang w:val="en-US"/>
        </w:rPr>
        <w:t>Market</w:t>
      </w:r>
      <w:r w:rsidR="00655152" w:rsidRPr="00655152">
        <w:t>-</w:t>
      </w:r>
      <w:r w:rsidR="00655152">
        <w:rPr>
          <w:lang w:val="en-US"/>
        </w:rPr>
        <w:t>to</w:t>
      </w:r>
      <w:r w:rsidR="00655152" w:rsidRPr="00655152">
        <w:t>-</w:t>
      </w:r>
      <w:r w:rsidR="00655152">
        <w:rPr>
          <w:lang w:val="en-US"/>
        </w:rPr>
        <w:t>Book</w:t>
      </w:r>
      <w:r w:rsidR="00655152" w:rsidRPr="00655152">
        <w:t xml:space="preserve"> </w:t>
      </w:r>
      <w:r w:rsidR="00655152">
        <w:rPr>
          <w:lang w:val="en-US"/>
        </w:rPr>
        <w:t>Ratio</w:t>
      </w:r>
      <w:r w:rsidR="00655152" w:rsidRPr="00655152">
        <w:t>)</w:t>
      </w:r>
      <w:r w:rsidR="00655152">
        <w:t xml:space="preserve">, отражающий </w:t>
      </w:r>
      <w:r w:rsidR="0044151D">
        <w:t xml:space="preserve">сколько </w:t>
      </w:r>
      <w:r w:rsidR="00CD3D38">
        <w:t>дополнительной ценности,</w:t>
      </w:r>
      <w:r w:rsidR="0044151D">
        <w:t xml:space="preserve"> было добавлено к вложенным в компанию средствам, и рассчитывающийся по следующей формуле: </w:t>
      </w:r>
    </w:p>
    <w:p w14:paraId="73885F64" w14:textId="1309395B" w:rsidR="0044151D" w:rsidRDefault="0044151D" w:rsidP="0044151D">
      <w:pPr>
        <w:spacing w:after="0"/>
        <w:ind w:firstLine="709"/>
        <w:jc w:val="center"/>
        <w:rPr>
          <w:rFonts w:eastAsiaTheme="minorEastAsia" w:cs="Times New Roman"/>
          <w:i/>
        </w:rPr>
      </w:pPr>
      <m:oMath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</w:rPr>
          <m:t>/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Рыночная капитализация </m:t>
            </m:r>
          </m:num>
          <m:den>
            <m:r>
              <w:rPr>
                <w:rFonts w:ascii="Cambria Math" w:hAnsi="Cambria Math" w:cs="Times New Roman"/>
              </w:rPr>
              <m:t>Бухгалтерская стоимость собственного капитала</m:t>
            </m:r>
          </m:den>
        </m:f>
      </m:oMath>
      <w:r w:rsidRPr="00156AB1">
        <w:rPr>
          <w:rFonts w:eastAsiaTheme="minorEastAsia" w:cs="Times New Roman"/>
          <w:i/>
        </w:rPr>
        <w:t xml:space="preserve"> </w:t>
      </w:r>
    </w:p>
    <w:p w14:paraId="240E60EE" w14:textId="63024091" w:rsidR="003C1275" w:rsidRDefault="004704CE" w:rsidP="00D97FCF">
      <w:pPr>
        <w:pStyle w:val="aff0"/>
      </w:pPr>
      <w:r>
        <w:t>Однако, данные показатели имеют ряд недостатков: в рыночной стоимости акций компании заложены ожидания в отношении будущих событий, а значит их трудно применять для оценки текущей ценности компании; кроме того, их невозможно применить для неторгуемых компаний или отдельных подразделений</w:t>
      </w:r>
      <w:r w:rsidR="00802763" w:rsidRPr="00802763">
        <w:t xml:space="preserve"> </w:t>
      </w:r>
      <w:r w:rsidR="00802763" w:rsidRPr="005D0EC3">
        <w:t>[</w:t>
      </w:r>
      <w:r w:rsidR="00802763">
        <w:rPr>
          <w:lang w:val="en-US"/>
        </w:rPr>
        <w:t>Brealey</w:t>
      </w:r>
      <w:r w:rsidR="00802763" w:rsidRPr="00B50D81">
        <w:t xml:space="preserve"> </w:t>
      </w:r>
      <w:r w:rsidR="00802763">
        <w:rPr>
          <w:lang w:val="en-US"/>
        </w:rPr>
        <w:t>et</w:t>
      </w:r>
      <w:r w:rsidR="00802763" w:rsidRPr="00B50D81">
        <w:t xml:space="preserve"> </w:t>
      </w:r>
      <w:r w:rsidR="00802763">
        <w:rPr>
          <w:lang w:val="en-US"/>
        </w:rPr>
        <w:t>al</w:t>
      </w:r>
      <w:r w:rsidR="00802763">
        <w:t>., 201</w:t>
      </w:r>
      <w:r w:rsidR="00802763" w:rsidRPr="00B50D81">
        <w:t>1</w:t>
      </w:r>
      <w:r w:rsidR="00802763">
        <w:t>, с. 7</w:t>
      </w:r>
      <w:r w:rsidR="00802763" w:rsidRPr="00802763">
        <w:t>09</w:t>
      </w:r>
      <w:r w:rsidR="00802763" w:rsidRPr="005D0EC3">
        <w:t>]</w:t>
      </w:r>
      <w:r>
        <w:t xml:space="preserve">. Поэтому для оценки финансовой результативности часто используют показатель </w:t>
      </w:r>
      <w:r w:rsidR="00B2409E">
        <w:lastRenderedPageBreak/>
        <w:t>экономической добавленной стоимости (</w:t>
      </w:r>
      <w:r w:rsidR="00B2409E">
        <w:rPr>
          <w:lang w:val="en-US"/>
        </w:rPr>
        <w:t>EVA</w:t>
      </w:r>
      <w:r w:rsidR="00B2409E" w:rsidRPr="00B2409E">
        <w:t>),</w:t>
      </w:r>
      <w:r w:rsidR="00B2409E">
        <w:t xml:space="preserve"> показывающий </w:t>
      </w:r>
      <w:r w:rsidR="00001213">
        <w:t xml:space="preserve">созданную дополнительную прибыль для инвесторов за вычетом затрат на привлеченный и собственный капитал. Показатель </w:t>
      </w:r>
      <w:r w:rsidR="00001213">
        <w:rPr>
          <w:lang w:val="en-US"/>
        </w:rPr>
        <w:t>EVA</w:t>
      </w:r>
      <w:r w:rsidR="00001213" w:rsidRPr="0057007A">
        <w:t xml:space="preserve"> </w:t>
      </w:r>
      <w:r w:rsidR="00001213">
        <w:t xml:space="preserve">рассчитывается по следующей формуле: </w:t>
      </w:r>
    </w:p>
    <w:p w14:paraId="24563049" w14:textId="7648EA85" w:rsidR="008B5634" w:rsidRPr="00C60AC9" w:rsidRDefault="008B5634" w:rsidP="008B5634">
      <w:pPr>
        <w:spacing w:after="0"/>
        <w:ind w:firstLine="709"/>
        <w:jc w:val="center"/>
        <w:rPr>
          <w:rFonts w:cs="Times New Roman"/>
          <w:i/>
          <w:szCs w:val="24"/>
        </w:rPr>
      </w:pPr>
      <m:oMath>
        <m:r>
          <w:rPr>
            <w:rFonts w:ascii="Cambria Math" w:hAnsi="Cambria Math" w:cs="Times New Roman"/>
            <w:szCs w:val="24"/>
          </w:rPr>
          <m:t>EVA=NOPLAT-WACC*IC</m:t>
        </m:r>
      </m:oMath>
      <w:r w:rsidRPr="001C7129">
        <w:rPr>
          <w:rFonts w:cs="Times New Roman"/>
          <w:szCs w:val="24"/>
        </w:rPr>
        <w:t xml:space="preserve">, </w:t>
      </w:r>
      <w:r w:rsidRPr="001C7129">
        <w:rPr>
          <w:rFonts w:cs="Times New Roman"/>
          <w:i/>
          <w:szCs w:val="24"/>
        </w:rPr>
        <w:t>где</w:t>
      </w:r>
    </w:p>
    <w:p w14:paraId="198727A1" w14:textId="77777777" w:rsidR="008B5634" w:rsidRPr="001C7129" w:rsidRDefault="008B5634" w:rsidP="008B5634">
      <w:pPr>
        <w:spacing w:after="0"/>
        <w:ind w:firstLine="709"/>
        <w:rPr>
          <w:rFonts w:cs="Times New Roman"/>
          <w:i/>
          <w:szCs w:val="24"/>
        </w:rPr>
      </w:pPr>
      <w:r>
        <w:rPr>
          <w:rFonts w:cs="Times New Roman"/>
          <w:i/>
          <w:szCs w:val="24"/>
          <w:lang w:val="en-US"/>
        </w:rPr>
        <w:t>NOPLAT</w:t>
      </w:r>
      <w:r w:rsidRPr="001C7129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операционная прибыль за вычетом налогов,</w:t>
      </w:r>
    </w:p>
    <w:p w14:paraId="71080D6C" w14:textId="77777777" w:rsidR="008B5634" w:rsidRPr="001C7129" w:rsidRDefault="008B5634" w:rsidP="008B5634">
      <w:pPr>
        <w:spacing w:after="0"/>
        <w:ind w:firstLine="709"/>
        <w:rPr>
          <w:rFonts w:cs="Times New Roman"/>
          <w:i/>
          <w:szCs w:val="24"/>
        </w:rPr>
      </w:pPr>
      <w:r>
        <w:rPr>
          <w:rFonts w:cs="Times New Roman"/>
          <w:i/>
          <w:szCs w:val="24"/>
          <w:lang w:val="en-US"/>
        </w:rPr>
        <w:t>WACC</w:t>
      </w:r>
      <w:r w:rsidRPr="001C7129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средневзвешенная стоимость капитала,</w:t>
      </w:r>
    </w:p>
    <w:p w14:paraId="2CB6ECC8" w14:textId="6659E487" w:rsidR="008B5634" w:rsidRDefault="008B5634" w:rsidP="008B5634">
      <w:pPr>
        <w:spacing w:after="0"/>
        <w:ind w:firstLine="709"/>
        <w:rPr>
          <w:rFonts w:cs="Times New Roman"/>
          <w:i/>
          <w:szCs w:val="24"/>
        </w:rPr>
      </w:pPr>
      <w:r>
        <w:rPr>
          <w:rFonts w:cs="Times New Roman"/>
          <w:i/>
          <w:szCs w:val="24"/>
          <w:lang w:val="en-US"/>
        </w:rPr>
        <w:t>IC</w:t>
      </w:r>
      <w:r w:rsidRPr="006E1DB3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величина инвестированного капитала.</w:t>
      </w:r>
    </w:p>
    <w:p w14:paraId="34C056A6" w14:textId="4F5C8CB5" w:rsidR="000237F4" w:rsidRPr="0036029A" w:rsidRDefault="00FB7AF7" w:rsidP="00D97FCF">
      <w:pPr>
        <w:pStyle w:val="aff0"/>
      </w:pPr>
      <w:r>
        <w:t>Наиболее распространенным рыночным показателем финансовой результативности</w:t>
      </w:r>
      <w:r w:rsidR="007D2761">
        <w:t>, используемым</w:t>
      </w:r>
      <w:r>
        <w:t xml:space="preserve"> </w:t>
      </w:r>
      <w:r w:rsidR="002A5F35">
        <w:t>автор</w:t>
      </w:r>
      <w:r w:rsidR="007D2761">
        <w:t>ами</w:t>
      </w:r>
      <w:r w:rsidR="002A5F35">
        <w:t xml:space="preserve"> исследований по проблематике взаимосвязи характеристик совета директоров и эффективности деятельности </w:t>
      </w:r>
      <w:r w:rsidR="008C09DD">
        <w:t>компаний,</w:t>
      </w:r>
      <w:r w:rsidR="002A5F35">
        <w:t xml:space="preserve"> является коэффициент Тобина (</w:t>
      </w:r>
      <w:r w:rsidR="002A5F35">
        <w:rPr>
          <w:lang w:val="en-US"/>
        </w:rPr>
        <w:t>Tobin</w:t>
      </w:r>
      <w:r w:rsidR="002A5F35" w:rsidRPr="002A5F35">
        <w:t>’</w:t>
      </w:r>
      <w:r w:rsidR="002A5F35">
        <w:rPr>
          <w:lang w:val="en-US"/>
        </w:rPr>
        <w:t>s</w:t>
      </w:r>
      <w:r w:rsidR="002A5F35" w:rsidRPr="002A5F35">
        <w:t xml:space="preserve"> </w:t>
      </w:r>
      <w:r w:rsidR="002A5F35">
        <w:rPr>
          <w:lang w:val="en-US"/>
        </w:rPr>
        <w:t>Q</w:t>
      </w:r>
      <w:r w:rsidR="002A5F35" w:rsidRPr="002A5F35">
        <w:t xml:space="preserve">). </w:t>
      </w:r>
      <w:r w:rsidR="0057007A">
        <w:t xml:space="preserve">Коэффициент рассчитывается как отношение рыночной стоимости активов к их </w:t>
      </w:r>
      <w:r w:rsidR="004337C6">
        <w:t>восстановительной</w:t>
      </w:r>
      <w:r w:rsidR="0057007A">
        <w:t xml:space="preserve"> стоимости</w:t>
      </w:r>
      <w:r w:rsidR="004C246B">
        <w:t xml:space="preserve">, с его помощью можно оценить </w:t>
      </w:r>
      <w:r w:rsidR="004337C6">
        <w:t xml:space="preserve">прибыльность компании. </w:t>
      </w:r>
      <w:r w:rsidR="00434319">
        <w:t>Значение показател</w:t>
      </w:r>
      <w:r w:rsidR="00131135">
        <w:t>я</w:t>
      </w:r>
      <w:r w:rsidR="00434319">
        <w:t xml:space="preserve"> больше 1 показывает, что рыночная стоимость активов больше их балансовой стоимости, а значит инвесторы заинтересованы в такой компании, ведь ее капитал стоит на рынке больше, чем было за него уплачено. </w:t>
      </w:r>
      <w:r w:rsidR="007D2761">
        <w:t>Некоторые а</w:t>
      </w:r>
      <w:r w:rsidR="004337C6">
        <w:t xml:space="preserve">вторы отмечают трудность </w:t>
      </w:r>
      <w:r w:rsidR="007D2761">
        <w:t xml:space="preserve">применения коэффициента в качестве инструмента анализа, ввиду использования множества источников данных для его </w:t>
      </w:r>
      <w:r w:rsidR="004337C6">
        <w:t>расчета</w:t>
      </w:r>
      <w:r w:rsidR="007D2761">
        <w:t xml:space="preserve"> </w:t>
      </w:r>
      <w:r w:rsidR="007D2761" w:rsidRPr="00496150">
        <w:t>[Березинец, Ильина, Черкасская, 2013]</w:t>
      </w:r>
      <w:r w:rsidR="007D2761">
        <w:t xml:space="preserve">. </w:t>
      </w:r>
      <w:r w:rsidR="00CB22A2">
        <w:t xml:space="preserve">Поскольку восстановительную стоимость активов не всегда можно точно рассчитать, был предложен </w:t>
      </w:r>
      <w:r w:rsidR="000237F4">
        <w:t>упрощенный</w:t>
      </w:r>
      <w:r w:rsidR="00CB22A2">
        <w:t xml:space="preserve"> подход к расчёту коэффициента Тобина</w:t>
      </w:r>
      <w:r w:rsidR="000237F4" w:rsidRPr="00C3394F">
        <w:t xml:space="preserve"> [</w:t>
      </w:r>
      <w:bookmarkStart w:id="46" w:name="_Hlk131933553"/>
      <w:proofErr w:type="spellStart"/>
      <w:r w:rsidR="000237F4" w:rsidRPr="00C3394F">
        <w:t>Chung</w:t>
      </w:r>
      <w:proofErr w:type="spellEnd"/>
      <w:r w:rsidR="000237F4" w:rsidRPr="00C3394F">
        <w:t xml:space="preserve">, </w:t>
      </w:r>
      <w:proofErr w:type="spellStart"/>
      <w:r w:rsidR="000237F4" w:rsidRPr="00C3394F">
        <w:t>Pruitt</w:t>
      </w:r>
      <w:proofErr w:type="spellEnd"/>
      <w:r w:rsidR="000237F4" w:rsidRPr="00C3394F">
        <w:t>, 1994</w:t>
      </w:r>
      <w:bookmarkEnd w:id="46"/>
      <w:r w:rsidR="000237F4" w:rsidRPr="00C3394F">
        <w:t>]:</w:t>
      </w:r>
    </w:p>
    <w:p w14:paraId="51C900FC" w14:textId="77777777" w:rsidR="000237F4" w:rsidRDefault="000237F4" w:rsidP="000237F4">
      <w:pPr>
        <w:spacing w:after="0"/>
        <w:jc w:val="center"/>
        <w:rPr>
          <w:rFonts w:eastAsiaTheme="minorEastAsia" w:cs="Times New Roman"/>
          <w:i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MVE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TA</m:t>
            </m:r>
          </m:den>
        </m:f>
      </m:oMath>
      <w:r w:rsidRPr="00496150">
        <w:rPr>
          <w:rFonts w:eastAsiaTheme="minorEastAsia" w:cs="Times New Roman"/>
          <w:i/>
          <w:szCs w:val="24"/>
        </w:rPr>
        <w:t>, где</w:t>
      </w:r>
    </w:p>
    <w:p w14:paraId="2737A5DB" w14:textId="7FBE0370" w:rsidR="000237F4" w:rsidRPr="00496150" w:rsidRDefault="000237F4" w:rsidP="000237F4">
      <w:pPr>
        <w:spacing w:after="0"/>
        <w:ind w:firstLine="709"/>
        <w:rPr>
          <w:rFonts w:cs="Times New Roman"/>
          <w:i/>
          <w:szCs w:val="24"/>
        </w:rPr>
      </w:pPr>
      <w:r w:rsidRPr="00496150">
        <w:rPr>
          <w:rFonts w:cs="Times New Roman"/>
          <w:i/>
          <w:szCs w:val="24"/>
        </w:rPr>
        <w:t xml:space="preserve">MVE — величина </w:t>
      </w:r>
      <w:r>
        <w:rPr>
          <w:rFonts w:cs="Times New Roman"/>
          <w:i/>
          <w:szCs w:val="24"/>
        </w:rPr>
        <w:t xml:space="preserve">рыночной </w:t>
      </w:r>
      <w:r w:rsidRPr="00496150">
        <w:rPr>
          <w:rFonts w:cs="Times New Roman"/>
          <w:i/>
          <w:szCs w:val="24"/>
        </w:rPr>
        <w:t xml:space="preserve">капитализации, </w:t>
      </w:r>
    </w:p>
    <w:p w14:paraId="1CE28206" w14:textId="3796D28E" w:rsidR="000237F4" w:rsidRPr="00496150" w:rsidRDefault="000237F4" w:rsidP="000237F4">
      <w:pPr>
        <w:spacing w:after="0"/>
        <w:ind w:firstLine="709"/>
        <w:rPr>
          <w:rFonts w:cs="Times New Roman"/>
          <w:i/>
          <w:szCs w:val="24"/>
        </w:rPr>
      </w:pPr>
      <w:r w:rsidRPr="00496150">
        <w:rPr>
          <w:rFonts w:cs="Times New Roman"/>
          <w:i/>
          <w:szCs w:val="24"/>
        </w:rPr>
        <w:t xml:space="preserve">DEBT — сумма долгосрочных и краткосрочных обязательств за вычетом текущих активов, </w:t>
      </w:r>
    </w:p>
    <w:p w14:paraId="139FECCA" w14:textId="77777777" w:rsidR="000237F4" w:rsidRDefault="000237F4" w:rsidP="000237F4">
      <w:pPr>
        <w:spacing w:after="0"/>
        <w:ind w:firstLine="70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TA — суммарная величина активов. </w:t>
      </w:r>
    </w:p>
    <w:p w14:paraId="6AC1D26F" w14:textId="2B1B404F" w:rsidR="000237F4" w:rsidRPr="00434319" w:rsidRDefault="00BE2B96" w:rsidP="00D97FCF">
      <w:pPr>
        <w:pStyle w:val="aff0"/>
      </w:pPr>
      <w:r>
        <w:t>Преимущество коэффициента Тобина зак</w:t>
      </w:r>
      <w:r w:rsidR="00C8667A">
        <w:t>лючается в комбинации рыночных и бухгалтерских данных</w:t>
      </w:r>
      <w:r w:rsidR="00B41AA0">
        <w:t xml:space="preserve">. Он </w:t>
      </w:r>
      <w:r w:rsidR="004A1F77">
        <w:t>позволяет нивелировать отраслевые эффекты, которым может быть подвержена компания</w:t>
      </w:r>
      <w:r w:rsidR="00B41AA0">
        <w:t>, т</w:t>
      </w:r>
      <w:r w:rsidR="004A1F77">
        <w:t xml:space="preserve">акже коэффициент больше подходит для оценки </w:t>
      </w:r>
      <w:r w:rsidR="00B41AA0">
        <w:t xml:space="preserve">доходности компании нежели бухгалтерские показатели рентабельности инвестиции </w:t>
      </w:r>
      <w:r w:rsidR="00B41AA0" w:rsidRPr="00496150">
        <w:t>[Березинец, Ильина, Черкасская, 2013]</w:t>
      </w:r>
      <w:r w:rsidR="00B41AA0">
        <w:t xml:space="preserve">. </w:t>
      </w:r>
    </w:p>
    <w:p w14:paraId="1FB6BEBF" w14:textId="1E35198C" w:rsidR="00240017" w:rsidRPr="00977EAC" w:rsidRDefault="00CB22A2" w:rsidP="00D97FCF">
      <w:pPr>
        <w:pStyle w:val="aff0"/>
      </w:pPr>
      <w:r>
        <w:t xml:space="preserve"> </w:t>
      </w:r>
      <w:r w:rsidR="00C927DF">
        <w:t>Некоторые авторы концентрировались на других финансовых показателях, так в</w:t>
      </w:r>
      <w:r w:rsidR="0032348F">
        <w:t xml:space="preserve"> исследовании </w:t>
      </w:r>
      <w:r w:rsidR="0032348F" w:rsidRPr="00E12B87">
        <w:t>[</w:t>
      </w:r>
      <w:bookmarkStart w:id="47" w:name="_Hlk131933565"/>
      <w:r w:rsidR="0032348F">
        <w:rPr>
          <w:lang w:val="en-US"/>
        </w:rPr>
        <w:t>Bond</w:t>
      </w:r>
      <w:r w:rsidR="0032348F" w:rsidRPr="00E12B87">
        <w:t>, 2009</w:t>
      </w:r>
      <w:bookmarkEnd w:id="47"/>
      <w:r w:rsidR="0032348F" w:rsidRPr="00E12B87">
        <w:t>]</w:t>
      </w:r>
      <w:r w:rsidR="00E12B87">
        <w:t xml:space="preserve">, посвященному анализу характеристик совета директоров американских компаний, в качестве финансовых показателей были взяты коэффициент текущей ликвидности, коэффициент </w:t>
      </w:r>
      <w:r w:rsidR="00E12B87">
        <w:rPr>
          <w:lang w:val="en-US"/>
        </w:rPr>
        <w:t>EBIT</w:t>
      </w:r>
      <w:r w:rsidR="00E12B87" w:rsidRPr="00E12B87">
        <w:t>/</w:t>
      </w:r>
      <w:r w:rsidR="00E12B87">
        <w:rPr>
          <w:lang w:val="en-US"/>
        </w:rPr>
        <w:t>Interest</w:t>
      </w:r>
      <w:r w:rsidR="00E12B87" w:rsidRPr="00E12B87">
        <w:t xml:space="preserve">, </w:t>
      </w:r>
      <w:r w:rsidR="00D74239">
        <w:t xml:space="preserve">показатель фондоотдачи, коэффициент </w:t>
      </w:r>
      <w:r w:rsidR="00D74239">
        <w:lastRenderedPageBreak/>
        <w:t xml:space="preserve">оборачиваемости активов и запасов. </w:t>
      </w:r>
      <w:r w:rsidR="00CE5A25" w:rsidRPr="00977EAC">
        <w:t xml:space="preserve">В данной работе в качестве индикаторов финансовой результативности компаний будут использоваться наиболее распространенные бухгалтерские показатели - </w:t>
      </w:r>
      <w:r w:rsidR="00CE5A25" w:rsidRPr="00977EAC">
        <w:rPr>
          <w:lang w:val="en-US"/>
        </w:rPr>
        <w:t>ROA</w:t>
      </w:r>
      <w:r w:rsidR="00CE5A25" w:rsidRPr="00977EAC">
        <w:t xml:space="preserve">, </w:t>
      </w:r>
      <w:r w:rsidR="00CE5A25" w:rsidRPr="00977EAC">
        <w:rPr>
          <w:lang w:val="en-US"/>
        </w:rPr>
        <w:t>ROE</w:t>
      </w:r>
      <w:r w:rsidR="00DF3A0A" w:rsidRPr="00977EAC">
        <w:t xml:space="preserve"> и</w:t>
      </w:r>
      <w:r w:rsidR="00CE5A25" w:rsidRPr="00977EAC">
        <w:t xml:space="preserve"> </w:t>
      </w:r>
      <w:r w:rsidR="00CE5A25" w:rsidRPr="00977EAC">
        <w:rPr>
          <w:lang w:val="en-US"/>
        </w:rPr>
        <w:t>ROIC</w:t>
      </w:r>
      <w:r w:rsidR="00977EAC">
        <w:t xml:space="preserve"> и рыночные показатели </w:t>
      </w:r>
      <w:r w:rsidR="00977EAC">
        <w:rPr>
          <w:lang w:val="en-US"/>
        </w:rPr>
        <w:t>Tobin</w:t>
      </w:r>
      <w:r w:rsidR="00977EAC" w:rsidRPr="00977EAC">
        <w:t>’</w:t>
      </w:r>
      <w:r w:rsidR="00977EAC">
        <w:rPr>
          <w:lang w:val="en-US"/>
        </w:rPr>
        <w:t>s</w:t>
      </w:r>
      <w:r w:rsidR="00977EAC" w:rsidRPr="00977EAC">
        <w:t xml:space="preserve"> </w:t>
      </w:r>
      <w:r w:rsidR="00977EAC">
        <w:rPr>
          <w:lang w:val="en-US"/>
        </w:rPr>
        <w:t>Q</w:t>
      </w:r>
      <w:r w:rsidR="00977EAC" w:rsidRPr="00977EAC">
        <w:t xml:space="preserve"> </w:t>
      </w:r>
      <w:r w:rsidR="00977EAC">
        <w:t xml:space="preserve">и </w:t>
      </w:r>
      <w:r w:rsidR="00977EAC">
        <w:rPr>
          <w:lang w:val="en-US"/>
        </w:rPr>
        <w:t>Market</w:t>
      </w:r>
      <w:r w:rsidR="00977EAC" w:rsidRPr="00977EAC">
        <w:t>-</w:t>
      </w:r>
      <w:r w:rsidR="00977EAC">
        <w:rPr>
          <w:lang w:val="en-US"/>
        </w:rPr>
        <w:t>to</w:t>
      </w:r>
      <w:r w:rsidR="00977EAC" w:rsidRPr="00977EAC">
        <w:t>-</w:t>
      </w:r>
      <w:r w:rsidR="00977EAC">
        <w:rPr>
          <w:lang w:val="en-US"/>
        </w:rPr>
        <w:t>Book</w:t>
      </w:r>
      <w:r w:rsidR="00977EAC" w:rsidRPr="00977EAC">
        <w:t xml:space="preserve"> </w:t>
      </w:r>
      <w:r w:rsidR="00977EAC">
        <w:rPr>
          <w:lang w:val="en-US"/>
        </w:rPr>
        <w:t>Ratio</w:t>
      </w:r>
      <w:r w:rsidR="00977EAC" w:rsidRPr="00977EAC">
        <w:t>.</w:t>
      </w:r>
    </w:p>
    <w:p w14:paraId="169D5CDD" w14:textId="0CD9E5DB" w:rsidR="00240017" w:rsidRDefault="00240017" w:rsidP="00AF571F">
      <w:pPr>
        <w:pStyle w:val="2"/>
      </w:pPr>
      <w:bookmarkStart w:id="48" w:name="_Toc136001540"/>
      <w:r w:rsidRPr="00951F77">
        <w:t>2.2 Гипотезы исследования</w:t>
      </w:r>
      <w:bookmarkEnd w:id="48"/>
      <w:r w:rsidRPr="00951F77">
        <w:t xml:space="preserve"> </w:t>
      </w:r>
    </w:p>
    <w:p w14:paraId="698359C7" w14:textId="7B6E3E47" w:rsidR="005C155B" w:rsidRPr="00126E0F" w:rsidRDefault="001D722D" w:rsidP="00D97FCF">
      <w:pPr>
        <w:pStyle w:val="aff0"/>
      </w:pPr>
      <w:r w:rsidRPr="00126E0F">
        <w:t xml:space="preserve">Совет директоров является ключевым органом управления, который представляет интересы главных стейкхолдеров, принимает стратегические решения и осуществляет мониторинг результатов работы топ-менеджмента. </w:t>
      </w:r>
      <w:r w:rsidR="00A14091" w:rsidRPr="00126E0F">
        <w:t xml:space="preserve">Вопрос о том, какие </w:t>
      </w:r>
      <w:r w:rsidR="00126E0F">
        <w:t xml:space="preserve">его </w:t>
      </w:r>
      <w:r w:rsidR="00A14091" w:rsidRPr="00126E0F">
        <w:t xml:space="preserve">характеристики </w:t>
      </w:r>
      <w:r w:rsidR="00802763">
        <w:t xml:space="preserve">и </w:t>
      </w:r>
      <w:r w:rsidR="00802763" w:rsidRPr="00126E0F">
        <w:t xml:space="preserve">в какой степени </w:t>
      </w:r>
      <w:r w:rsidR="00A14091" w:rsidRPr="00126E0F">
        <w:t xml:space="preserve">способны влиять на финансовую результативность компаний волнует множество исследователей. К основным характеристикам Совета принято относить: количественный состав совета директоров, долю независимых и исполнительных директоров, гендерное разнообразие, долю представителей государства, </w:t>
      </w:r>
      <w:r w:rsidR="00E0712C" w:rsidRPr="00126E0F">
        <w:t xml:space="preserve">множественность директорских позиций. В дополнение к широко изучаемым параметрам, в данном исследовании также будет проанализирована такая характеристика как </w:t>
      </w:r>
      <w:r w:rsidR="00802763">
        <w:t>вовлеченность</w:t>
      </w:r>
      <w:r w:rsidR="00E0712C" w:rsidRPr="00126E0F">
        <w:t xml:space="preserve"> член</w:t>
      </w:r>
      <w:r w:rsidR="00802763">
        <w:t>ов</w:t>
      </w:r>
      <w:r w:rsidR="00E0712C" w:rsidRPr="00126E0F">
        <w:t xml:space="preserve"> совета директоров</w:t>
      </w:r>
      <w:r w:rsidR="00802763">
        <w:t xml:space="preserve"> в экологическую и социальную деятельность</w:t>
      </w:r>
      <w:r w:rsidR="00E0712C" w:rsidRPr="00126E0F">
        <w:t xml:space="preserve"> и как доля </w:t>
      </w:r>
      <w:r w:rsidR="00802763">
        <w:t xml:space="preserve">этих </w:t>
      </w:r>
      <w:r w:rsidR="00126E0F" w:rsidRPr="00126E0F">
        <w:t xml:space="preserve">директоров </w:t>
      </w:r>
      <w:r w:rsidR="00E0712C" w:rsidRPr="00126E0F">
        <w:t xml:space="preserve">взаимосвязана с </w:t>
      </w:r>
      <w:r w:rsidR="00126E0F" w:rsidRPr="00126E0F">
        <w:t xml:space="preserve">финансовой результативностью. </w:t>
      </w:r>
    </w:p>
    <w:p w14:paraId="2E0052AB" w14:textId="5A174B84" w:rsidR="00240017" w:rsidRDefault="002747A3" w:rsidP="00AF571F">
      <w:pPr>
        <w:pStyle w:val="3"/>
      </w:pPr>
      <w:bookmarkStart w:id="49" w:name="_Toc136001541"/>
      <w:r>
        <w:t xml:space="preserve">2.2.1 </w:t>
      </w:r>
      <w:r w:rsidR="00BA0AB2" w:rsidRPr="00F20A9D">
        <w:t>Размер совета директоров</w:t>
      </w:r>
      <w:bookmarkEnd w:id="49"/>
    </w:p>
    <w:p w14:paraId="41FA9552" w14:textId="67B2A0E2" w:rsidR="00126E0F" w:rsidRDefault="00D82B1C" w:rsidP="00D97FCF">
      <w:pPr>
        <w:pStyle w:val="aff0"/>
        <w:rPr>
          <w:rFonts w:cs="Times New Roman"/>
          <w:szCs w:val="24"/>
        </w:rPr>
      </w:pPr>
      <w:r>
        <w:t>Количественный состав совета директоров является объектом многочисленных научных работ в сфере корпоративного управлени</w:t>
      </w:r>
      <w:r w:rsidR="00011261">
        <w:t>я,</w:t>
      </w:r>
      <w:r w:rsidR="004823FF">
        <w:t xml:space="preserve"> ведь </w:t>
      </w:r>
      <w:r>
        <w:t xml:space="preserve">размер </w:t>
      </w:r>
      <w:r w:rsidR="004823FF">
        <w:t xml:space="preserve">Совета может оказать существенное влияние </w:t>
      </w:r>
      <w:r w:rsidR="007B1A28">
        <w:t xml:space="preserve">на коммуникацию среди членов, на процесс принятия решений и, соответственно, на эффективность его деятельности. </w:t>
      </w:r>
      <w:r w:rsidR="00186877">
        <w:t>Как упоминалось ранее, в соответствии с законодательством</w:t>
      </w:r>
      <w:r w:rsidR="00011261">
        <w:t>,</w:t>
      </w:r>
      <w:r w:rsidR="00186877">
        <w:t xml:space="preserve"> количественный состав Совета должен быть достаточным для его эффективной работы</w:t>
      </w:r>
      <w:r w:rsidR="00A53CCE">
        <w:t xml:space="preserve"> и </w:t>
      </w:r>
      <w:r w:rsidR="00186877">
        <w:t>работы комитетов</w:t>
      </w:r>
      <w:r w:rsidR="00A53CCE">
        <w:t>,</w:t>
      </w:r>
      <w:r w:rsidR="00186877">
        <w:t xml:space="preserve"> </w:t>
      </w:r>
      <w:r w:rsidR="00E31061">
        <w:t xml:space="preserve">и для того, чтобы </w:t>
      </w:r>
      <w:r w:rsidR="00E31061" w:rsidRPr="00126E0F">
        <w:rPr>
          <w:rFonts w:cs="Times New Roman"/>
          <w:szCs w:val="24"/>
        </w:rPr>
        <w:t>миноритарные акционеры могли избрать своего представителя</w:t>
      </w:r>
      <w:r w:rsidR="00E31061">
        <w:rPr>
          <w:rFonts w:cs="Times New Roman"/>
          <w:szCs w:val="24"/>
        </w:rPr>
        <w:t xml:space="preserve">, но </w:t>
      </w:r>
      <w:r w:rsidR="00A53CCE">
        <w:rPr>
          <w:rFonts w:cs="Times New Roman"/>
          <w:szCs w:val="24"/>
        </w:rPr>
        <w:t xml:space="preserve">при этом </w:t>
      </w:r>
      <w:r w:rsidR="00E31061">
        <w:rPr>
          <w:rFonts w:cs="Times New Roman"/>
          <w:szCs w:val="24"/>
        </w:rPr>
        <w:t xml:space="preserve">не избыточным, чтобы не было затруднено взаимодействие между членами Совета. </w:t>
      </w:r>
    </w:p>
    <w:p w14:paraId="20AF4478" w14:textId="0AD13DB4" w:rsidR="003B2A9E" w:rsidRDefault="00C17E25" w:rsidP="00D97FCF">
      <w:pPr>
        <w:pStyle w:val="aff0"/>
        <w:rPr>
          <w:rFonts w:cs="Times New Roman"/>
          <w:szCs w:val="24"/>
        </w:rPr>
      </w:pPr>
      <w:r>
        <w:rPr>
          <w:rFonts w:cs="Times New Roman"/>
          <w:szCs w:val="24"/>
        </w:rPr>
        <w:t>С точки зрения агентской теории, наиболее важной функций совета директоров является мониторинг действий топ-менеджмента</w:t>
      </w:r>
      <w:r w:rsidR="0090195D">
        <w:rPr>
          <w:rFonts w:cs="Times New Roman"/>
          <w:szCs w:val="24"/>
        </w:rPr>
        <w:t xml:space="preserve">. С одной стороны, </w:t>
      </w:r>
      <w:r>
        <w:rPr>
          <w:rFonts w:cs="Times New Roman"/>
          <w:szCs w:val="24"/>
        </w:rPr>
        <w:t>больший по составу Совет сможет эффективнее осуществлять эту задачу ввиду количества «наблюдателей»</w:t>
      </w:r>
      <w:r w:rsidR="0090195D">
        <w:rPr>
          <w:rFonts w:cs="Times New Roman"/>
          <w:szCs w:val="24"/>
        </w:rPr>
        <w:t xml:space="preserve">, но с другой, в небольших по размеру Советах менее вероятны конфликты среди их членов. Если посмотреть на проблематику выбора оптимального Совета в соответствии </w:t>
      </w:r>
      <w:r w:rsidR="00E8791A">
        <w:rPr>
          <w:rFonts w:cs="Times New Roman"/>
          <w:szCs w:val="24"/>
        </w:rPr>
        <w:t>с ресурсной</w:t>
      </w:r>
      <w:r w:rsidR="0090195D">
        <w:rPr>
          <w:rFonts w:cs="Times New Roman"/>
          <w:szCs w:val="24"/>
        </w:rPr>
        <w:t xml:space="preserve"> теори</w:t>
      </w:r>
      <w:r w:rsidR="00E8791A">
        <w:rPr>
          <w:rFonts w:cs="Times New Roman"/>
          <w:szCs w:val="24"/>
        </w:rPr>
        <w:t>ей</w:t>
      </w:r>
      <w:r w:rsidR="0090195D">
        <w:rPr>
          <w:rFonts w:cs="Times New Roman"/>
          <w:szCs w:val="24"/>
        </w:rPr>
        <w:t>, т</w:t>
      </w:r>
      <w:r w:rsidR="00E8791A">
        <w:rPr>
          <w:rFonts w:cs="Times New Roman"/>
          <w:szCs w:val="24"/>
        </w:rPr>
        <w:t xml:space="preserve">о </w:t>
      </w:r>
      <w:r w:rsidR="00E27694">
        <w:rPr>
          <w:rFonts w:cs="Times New Roman"/>
          <w:szCs w:val="24"/>
        </w:rPr>
        <w:t xml:space="preserve">компании будут выбирать </w:t>
      </w:r>
      <w:r w:rsidR="00E8791A">
        <w:rPr>
          <w:rFonts w:cs="Times New Roman"/>
          <w:szCs w:val="24"/>
        </w:rPr>
        <w:t>многочисленн</w:t>
      </w:r>
      <w:r w:rsidR="00E27694">
        <w:rPr>
          <w:rFonts w:cs="Times New Roman"/>
          <w:szCs w:val="24"/>
        </w:rPr>
        <w:t>ый</w:t>
      </w:r>
      <w:r w:rsidR="00E8791A">
        <w:rPr>
          <w:rFonts w:cs="Times New Roman"/>
          <w:szCs w:val="24"/>
        </w:rPr>
        <w:t xml:space="preserve"> совет директоров </w:t>
      </w:r>
      <w:r w:rsidR="00E8791A" w:rsidRPr="00E8791A">
        <w:rPr>
          <w:rFonts w:cs="Times New Roman"/>
          <w:szCs w:val="24"/>
        </w:rPr>
        <w:t>[</w:t>
      </w:r>
      <w:r w:rsidR="00E8791A" w:rsidRPr="00496150">
        <w:rPr>
          <w:rFonts w:cs="Times New Roman"/>
          <w:szCs w:val="24"/>
        </w:rPr>
        <w:t>Березинец, Ильина, Черкасская, 2013</w:t>
      </w:r>
      <w:r w:rsidR="00E8791A" w:rsidRPr="00E8791A">
        <w:rPr>
          <w:rFonts w:cs="Times New Roman"/>
          <w:szCs w:val="24"/>
        </w:rPr>
        <w:t xml:space="preserve">]. </w:t>
      </w:r>
      <w:r w:rsidR="00E27694">
        <w:rPr>
          <w:rFonts w:cs="Times New Roman"/>
          <w:szCs w:val="24"/>
        </w:rPr>
        <w:t xml:space="preserve">Согласно авторам, изучавшим ресурсную теорию, чем больше компания нуждается в связях с внешней средой, </w:t>
      </w:r>
      <w:r w:rsidR="00011261">
        <w:rPr>
          <w:rFonts w:cs="Times New Roman"/>
          <w:szCs w:val="24"/>
        </w:rPr>
        <w:t>которая позволяет</w:t>
      </w:r>
      <w:r w:rsidR="00E27694">
        <w:rPr>
          <w:rFonts w:cs="Times New Roman"/>
          <w:szCs w:val="24"/>
        </w:rPr>
        <w:t xml:space="preserve"> получить востребованные ресурсы, тем больший размер совета директоров ей нужен </w:t>
      </w:r>
      <w:r w:rsidR="00E27694" w:rsidRPr="00E27694">
        <w:rPr>
          <w:rFonts w:cs="Times New Roman"/>
          <w:szCs w:val="24"/>
        </w:rPr>
        <w:t>[</w:t>
      </w:r>
      <w:r w:rsidR="00E27694">
        <w:rPr>
          <w:rFonts w:cs="Times New Roman"/>
          <w:szCs w:val="24"/>
          <w:lang w:val="en-US"/>
        </w:rPr>
        <w:t>Pfeffer</w:t>
      </w:r>
      <w:r w:rsidR="00E27694" w:rsidRPr="00E27694">
        <w:rPr>
          <w:rFonts w:cs="Times New Roman"/>
          <w:szCs w:val="24"/>
        </w:rPr>
        <w:t xml:space="preserve">, </w:t>
      </w:r>
      <w:proofErr w:type="spellStart"/>
      <w:r w:rsidR="00E27694">
        <w:rPr>
          <w:rFonts w:cs="Times New Roman"/>
          <w:szCs w:val="24"/>
          <w:lang w:val="en-US"/>
        </w:rPr>
        <w:t>Salancik</w:t>
      </w:r>
      <w:proofErr w:type="spellEnd"/>
      <w:r w:rsidR="00E27694" w:rsidRPr="00E27694">
        <w:rPr>
          <w:rFonts w:cs="Times New Roman"/>
          <w:szCs w:val="24"/>
        </w:rPr>
        <w:t>, 1978]</w:t>
      </w:r>
      <w:r w:rsidR="00E27694">
        <w:rPr>
          <w:rFonts w:cs="Times New Roman"/>
          <w:szCs w:val="24"/>
        </w:rPr>
        <w:t xml:space="preserve">. </w:t>
      </w:r>
      <w:r w:rsidR="003B2A9E">
        <w:rPr>
          <w:rFonts w:cs="Times New Roman"/>
          <w:szCs w:val="24"/>
        </w:rPr>
        <w:t xml:space="preserve">В небольшом совете директоров может ощущаться нехватка качеств и </w:t>
      </w:r>
      <w:r w:rsidR="003B2A9E">
        <w:rPr>
          <w:rFonts w:cs="Times New Roman"/>
          <w:szCs w:val="24"/>
        </w:rPr>
        <w:lastRenderedPageBreak/>
        <w:t xml:space="preserve">компетенций, однако в слишком большом Совете затруднен процесс принятия решений </w:t>
      </w:r>
      <w:r w:rsidR="003B2A9E" w:rsidRPr="003B2A9E">
        <w:rPr>
          <w:rFonts w:cs="Times New Roman"/>
          <w:szCs w:val="24"/>
        </w:rPr>
        <w:t>[</w:t>
      </w:r>
      <w:bookmarkStart w:id="50" w:name="_Hlk131933804"/>
      <w:r w:rsidR="003B2A9E">
        <w:rPr>
          <w:rFonts w:cs="Times New Roman"/>
          <w:szCs w:val="24"/>
          <w:lang w:val="en-US"/>
        </w:rPr>
        <w:t>Lipton</w:t>
      </w:r>
      <w:r w:rsidR="003B2A9E" w:rsidRPr="007C65DB">
        <w:rPr>
          <w:rFonts w:cs="Times New Roman"/>
          <w:szCs w:val="24"/>
        </w:rPr>
        <w:t xml:space="preserve">, </w:t>
      </w:r>
      <w:r w:rsidR="003B2A9E">
        <w:rPr>
          <w:rFonts w:cs="Times New Roman"/>
          <w:szCs w:val="24"/>
          <w:lang w:val="en-US"/>
        </w:rPr>
        <w:t>Lorsch</w:t>
      </w:r>
      <w:r w:rsidR="003B2A9E" w:rsidRPr="007C65DB">
        <w:rPr>
          <w:rFonts w:cs="Times New Roman"/>
          <w:szCs w:val="24"/>
        </w:rPr>
        <w:t>, 1992</w:t>
      </w:r>
      <w:bookmarkEnd w:id="50"/>
      <w:r w:rsidR="00DA7D55" w:rsidRPr="00DA7D55">
        <w:rPr>
          <w:rFonts w:cs="Times New Roman"/>
          <w:szCs w:val="24"/>
        </w:rPr>
        <w:t xml:space="preserve">]. </w:t>
      </w:r>
      <w:r w:rsidR="00DA7D55">
        <w:rPr>
          <w:rFonts w:cs="Times New Roman"/>
          <w:szCs w:val="24"/>
        </w:rPr>
        <w:t xml:space="preserve">Таким образом, нельзя говорить об однозначной взаимосвязи между размером наблюдательного совета и эффективностью его работы и компании в целом. </w:t>
      </w:r>
    </w:p>
    <w:p w14:paraId="0636F7A2" w14:textId="2266A29A" w:rsidR="00DA7D55" w:rsidRDefault="00DA7D55" w:rsidP="00D97FCF">
      <w:pPr>
        <w:pStyle w:val="aff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исследовании консалтингового агентства </w:t>
      </w:r>
      <w:r>
        <w:rPr>
          <w:rFonts w:cs="Times New Roman"/>
          <w:szCs w:val="24"/>
          <w:lang w:val="en-US"/>
        </w:rPr>
        <w:t>Stanton</w:t>
      </w:r>
      <w:r w:rsidR="005547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Chase</w:t>
      </w:r>
      <w:r w:rsidRPr="00554796">
        <w:rPr>
          <w:rFonts w:cs="Times New Roman"/>
          <w:szCs w:val="24"/>
        </w:rPr>
        <w:t xml:space="preserve"> </w:t>
      </w:r>
      <w:r w:rsidR="00554796">
        <w:rPr>
          <w:rFonts w:cs="Times New Roman"/>
          <w:szCs w:val="24"/>
        </w:rPr>
        <w:t xml:space="preserve">в 2021 году </w:t>
      </w:r>
      <w:r w:rsidR="00190D93">
        <w:rPr>
          <w:rFonts w:cs="Times New Roman"/>
          <w:szCs w:val="24"/>
        </w:rPr>
        <w:t>было выявлено, что среди крупнейших российских публичных компаний наиболее распространен Совет, состоящий из 11 членов (минимальный размер – 3 члена, максимальный – 15)</w:t>
      </w:r>
      <w:r w:rsidR="00190D93">
        <w:rPr>
          <w:rStyle w:val="ac"/>
          <w:rFonts w:cs="Times New Roman"/>
          <w:szCs w:val="24"/>
        </w:rPr>
        <w:footnoteReference w:id="30"/>
      </w:r>
      <w:r w:rsidR="00190D93">
        <w:rPr>
          <w:rFonts w:cs="Times New Roman"/>
          <w:szCs w:val="24"/>
        </w:rPr>
        <w:t xml:space="preserve">. Что касается компаний с государственным участием, в исследовании </w:t>
      </w:r>
      <w:r w:rsidR="00190D93" w:rsidRPr="00190D93">
        <w:rPr>
          <w:rFonts w:cs="Times New Roman"/>
          <w:szCs w:val="24"/>
        </w:rPr>
        <w:t>[</w:t>
      </w:r>
      <w:r w:rsidR="00190D93">
        <w:rPr>
          <w:rFonts w:cs="Times New Roman"/>
          <w:szCs w:val="24"/>
        </w:rPr>
        <w:t>Березинец, Ильина, Смирнов, 2016</w:t>
      </w:r>
      <w:r w:rsidR="00190D93" w:rsidRPr="00190D93">
        <w:rPr>
          <w:rFonts w:cs="Times New Roman"/>
          <w:szCs w:val="24"/>
        </w:rPr>
        <w:t>]</w:t>
      </w:r>
      <w:r w:rsidR="003963E4">
        <w:rPr>
          <w:rFonts w:cs="Times New Roman"/>
          <w:szCs w:val="24"/>
        </w:rPr>
        <w:t xml:space="preserve"> было выявлено, что 61% таких компаний имеет минимальный, согласно законодательству, размер Совета – 5 человек, что</w:t>
      </w:r>
      <w:r w:rsidR="00227E61">
        <w:rPr>
          <w:rFonts w:cs="Times New Roman"/>
          <w:szCs w:val="24"/>
        </w:rPr>
        <w:t>, по мнению авторов,</w:t>
      </w:r>
      <w:r w:rsidR="003963E4">
        <w:rPr>
          <w:rFonts w:cs="Times New Roman"/>
          <w:szCs w:val="24"/>
        </w:rPr>
        <w:t xml:space="preserve"> является недостаточным показателем для эффективного выполнения его функций. </w:t>
      </w:r>
      <w:r w:rsidR="00227E61">
        <w:rPr>
          <w:rFonts w:cs="Times New Roman"/>
          <w:szCs w:val="24"/>
        </w:rPr>
        <w:t xml:space="preserve">В исследовании </w:t>
      </w:r>
      <w:r w:rsidR="00227E61" w:rsidRPr="00227E61">
        <w:rPr>
          <w:rFonts w:cs="Times New Roman"/>
          <w:szCs w:val="24"/>
        </w:rPr>
        <w:t>[</w:t>
      </w:r>
      <w:r w:rsidR="00227E61" w:rsidRPr="00496150">
        <w:rPr>
          <w:rFonts w:cs="Times New Roman"/>
          <w:szCs w:val="24"/>
        </w:rPr>
        <w:t>Березинец, Ильина, Черкасская, 2013</w:t>
      </w:r>
      <w:r w:rsidR="00227E61" w:rsidRPr="00227E61">
        <w:rPr>
          <w:rFonts w:cs="Times New Roman"/>
          <w:szCs w:val="24"/>
        </w:rPr>
        <w:t>]</w:t>
      </w:r>
      <w:r w:rsidR="00227E61">
        <w:rPr>
          <w:rFonts w:cs="Times New Roman"/>
          <w:szCs w:val="24"/>
        </w:rPr>
        <w:t xml:space="preserve">, проведенном на данных более 200 российских публичных компаний, был выявлен наиболее популярный размер Совета равный 7 человек </w:t>
      </w:r>
      <w:r w:rsidR="00305D80">
        <w:rPr>
          <w:rFonts w:cs="Times New Roman"/>
          <w:szCs w:val="24"/>
        </w:rPr>
        <w:t xml:space="preserve">(35%). </w:t>
      </w:r>
    </w:p>
    <w:p w14:paraId="747BAFFC" w14:textId="0BDD9AF8" w:rsidR="0027671D" w:rsidRPr="00375CA9" w:rsidRDefault="00EC7E05" w:rsidP="00D97FCF">
      <w:pPr>
        <w:pStyle w:val="aff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Вопрос о </w:t>
      </w:r>
      <w:r w:rsidR="00CA2834">
        <w:rPr>
          <w:rFonts w:cs="Times New Roman"/>
          <w:szCs w:val="24"/>
        </w:rPr>
        <w:t>характере взаимосвязи размера Совета и результативности деятельности компании активно обсуждается и анализируется в зарубежных и отечественных исследованиях</w:t>
      </w:r>
      <w:r w:rsidR="00127D72">
        <w:rPr>
          <w:rFonts w:cs="Times New Roman"/>
          <w:szCs w:val="24"/>
        </w:rPr>
        <w:t>, однако а</w:t>
      </w:r>
      <w:r w:rsidR="00CA2834">
        <w:rPr>
          <w:rFonts w:cs="Times New Roman"/>
          <w:szCs w:val="24"/>
        </w:rPr>
        <w:t xml:space="preserve">вторы работ </w:t>
      </w:r>
      <w:r w:rsidR="00127D72">
        <w:rPr>
          <w:rFonts w:cs="Times New Roman"/>
          <w:szCs w:val="24"/>
        </w:rPr>
        <w:t xml:space="preserve">не </w:t>
      </w:r>
      <w:r w:rsidR="00CA2834">
        <w:rPr>
          <w:rFonts w:cs="Times New Roman"/>
          <w:szCs w:val="24"/>
        </w:rPr>
        <w:t xml:space="preserve">приходят к </w:t>
      </w:r>
      <w:r w:rsidR="00127D72">
        <w:rPr>
          <w:rFonts w:cs="Times New Roman"/>
          <w:szCs w:val="24"/>
        </w:rPr>
        <w:t xml:space="preserve">единым </w:t>
      </w:r>
      <w:r w:rsidR="00CA2834">
        <w:rPr>
          <w:rFonts w:cs="Times New Roman"/>
          <w:szCs w:val="24"/>
        </w:rPr>
        <w:t>выводам</w:t>
      </w:r>
      <w:r w:rsidR="00127D72">
        <w:rPr>
          <w:rFonts w:cs="Times New Roman"/>
          <w:szCs w:val="24"/>
        </w:rPr>
        <w:t>.</w:t>
      </w:r>
      <w:r w:rsidR="00CA2834">
        <w:rPr>
          <w:rFonts w:cs="Times New Roman"/>
          <w:szCs w:val="24"/>
        </w:rPr>
        <w:t xml:space="preserve"> </w:t>
      </w:r>
      <w:r w:rsidR="00127D72">
        <w:rPr>
          <w:rFonts w:cs="Times New Roman"/>
          <w:szCs w:val="24"/>
        </w:rPr>
        <w:t xml:space="preserve">Ряд исследований подтверждает наличие положительного влияния данной характеристики наблюдательного совета на финансовую результативность компаний </w:t>
      </w:r>
      <w:r w:rsidR="00953B33" w:rsidRPr="00953B33">
        <w:rPr>
          <w:rFonts w:cs="Times New Roman"/>
          <w:szCs w:val="24"/>
        </w:rPr>
        <w:t>[</w:t>
      </w:r>
      <w:bookmarkStart w:id="51" w:name="_Hlk131933872"/>
      <w:proofErr w:type="spellStart"/>
      <w:r w:rsidR="00953B33" w:rsidRPr="00953B33">
        <w:rPr>
          <w:rFonts w:cs="Times New Roman"/>
          <w:szCs w:val="24"/>
        </w:rPr>
        <w:t>Kathuria</w:t>
      </w:r>
      <w:proofErr w:type="spellEnd"/>
      <w:r w:rsidR="00953B33" w:rsidRPr="00953B33">
        <w:rPr>
          <w:rFonts w:cs="Times New Roman"/>
          <w:szCs w:val="24"/>
        </w:rPr>
        <w:t>, Das, 1999</w:t>
      </w:r>
      <w:r w:rsidR="0027671D">
        <w:rPr>
          <w:rFonts w:cs="Times New Roman"/>
          <w:szCs w:val="24"/>
        </w:rPr>
        <w:t xml:space="preserve">; </w:t>
      </w:r>
      <w:r w:rsidR="0027671D">
        <w:rPr>
          <w:rFonts w:cs="Times New Roman"/>
          <w:szCs w:val="24"/>
          <w:lang w:val="en-US"/>
        </w:rPr>
        <w:t>Dalton</w:t>
      </w:r>
      <w:r w:rsidR="0027671D" w:rsidRPr="0027671D">
        <w:rPr>
          <w:rFonts w:cs="Times New Roman"/>
          <w:szCs w:val="24"/>
        </w:rPr>
        <w:t xml:space="preserve"> </w:t>
      </w:r>
      <w:r w:rsidR="0027671D">
        <w:rPr>
          <w:rFonts w:cs="Times New Roman"/>
          <w:szCs w:val="24"/>
          <w:lang w:val="en-US"/>
        </w:rPr>
        <w:t>et</w:t>
      </w:r>
      <w:r w:rsidR="0027671D" w:rsidRPr="0027671D">
        <w:rPr>
          <w:rFonts w:cs="Times New Roman"/>
          <w:szCs w:val="24"/>
        </w:rPr>
        <w:t xml:space="preserve"> </w:t>
      </w:r>
      <w:r w:rsidR="0027671D">
        <w:rPr>
          <w:rFonts w:cs="Times New Roman"/>
          <w:szCs w:val="24"/>
          <w:lang w:val="en-US"/>
        </w:rPr>
        <w:t>al</w:t>
      </w:r>
      <w:r w:rsidR="0027671D" w:rsidRPr="0027671D">
        <w:rPr>
          <w:rFonts w:cs="Times New Roman"/>
          <w:szCs w:val="24"/>
        </w:rPr>
        <w:t>., 1999</w:t>
      </w:r>
      <w:r w:rsidR="00E53C3B" w:rsidRPr="00E53C3B">
        <w:rPr>
          <w:rFonts w:cs="Times New Roman"/>
          <w:szCs w:val="24"/>
        </w:rPr>
        <w:t xml:space="preserve">; </w:t>
      </w:r>
      <w:proofErr w:type="spellStart"/>
      <w:r w:rsidR="00E53C3B" w:rsidRPr="00E53C3B">
        <w:rPr>
          <w:rFonts w:cs="Times New Roman"/>
          <w:szCs w:val="24"/>
        </w:rPr>
        <w:t>Fratini</w:t>
      </w:r>
      <w:proofErr w:type="spellEnd"/>
      <w:r w:rsidR="00E53C3B" w:rsidRPr="00E53C3B">
        <w:rPr>
          <w:rFonts w:cs="Times New Roman"/>
          <w:szCs w:val="24"/>
        </w:rPr>
        <w:t xml:space="preserve">, </w:t>
      </w:r>
      <w:proofErr w:type="spellStart"/>
      <w:r w:rsidR="00E53C3B" w:rsidRPr="00E53C3B">
        <w:rPr>
          <w:rFonts w:cs="Times New Roman"/>
          <w:szCs w:val="24"/>
        </w:rPr>
        <w:t>Tettamanzi</w:t>
      </w:r>
      <w:proofErr w:type="spellEnd"/>
      <w:r w:rsidR="00E53C3B" w:rsidRPr="00E53C3B">
        <w:rPr>
          <w:rFonts w:cs="Times New Roman"/>
          <w:szCs w:val="24"/>
        </w:rPr>
        <w:t>, 2015</w:t>
      </w:r>
      <w:bookmarkEnd w:id="51"/>
      <w:r w:rsidR="008E12D8" w:rsidRPr="008E12D8">
        <w:rPr>
          <w:rFonts w:cs="Times New Roman"/>
          <w:szCs w:val="24"/>
        </w:rPr>
        <w:t xml:space="preserve">; </w:t>
      </w:r>
      <w:proofErr w:type="spellStart"/>
      <w:r w:rsidR="008E12D8">
        <w:t>Kwaji</w:t>
      </w:r>
      <w:proofErr w:type="spellEnd"/>
      <w:r w:rsidR="008E12D8" w:rsidRPr="008E12D8">
        <w:t xml:space="preserve"> </w:t>
      </w:r>
      <w:r w:rsidR="008E12D8">
        <w:rPr>
          <w:lang w:val="en-US"/>
        </w:rPr>
        <w:t>et</w:t>
      </w:r>
      <w:r w:rsidR="008E12D8" w:rsidRPr="008E12D8">
        <w:t xml:space="preserve"> </w:t>
      </w:r>
      <w:r w:rsidR="008E12D8">
        <w:rPr>
          <w:lang w:val="en-US"/>
        </w:rPr>
        <w:t>al</w:t>
      </w:r>
      <w:r w:rsidR="008E12D8" w:rsidRPr="008E12D8">
        <w:t>., 2017</w:t>
      </w:r>
      <w:r w:rsidR="00953B33" w:rsidRPr="00953B33">
        <w:rPr>
          <w:rFonts w:cs="Times New Roman"/>
          <w:szCs w:val="24"/>
        </w:rPr>
        <w:t xml:space="preserve">]. </w:t>
      </w:r>
      <w:r w:rsidR="00D72B8E">
        <w:rPr>
          <w:rFonts w:cs="Times New Roman"/>
          <w:szCs w:val="24"/>
        </w:rPr>
        <w:t xml:space="preserve">Вместе с тем, </w:t>
      </w:r>
      <w:r w:rsidR="00226E9D">
        <w:rPr>
          <w:rFonts w:cs="Times New Roman"/>
          <w:szCs w:val="24"/>
        </w:rPr>
        <w:t xml:space="preserve">некоторое </w:t>
      </w:r>
      <w:r w:rsidR="00D72B8E">
        <w:rPr>
          <w:rFonts w:cs="Times New Roman"/>
          <w:szCs w:val="24"/>
        </w:rPr>
        <w:t>количество авторов приходят к противоположным выводам – наличие обратной взаимосвязи между данными характеристиками</w:t>
      </w:r>
      <w:r w:rsidR="00226E9D">
        <w:rPr>
          <w:rFonts w:cs="Times New Roman"/>
          <w:szCs w:val="24"/>
        </w:rPr>
        <w:t xml:space="preserve">, связывая это с тем, что в небольших по размеру советах директоров лучше происходит коммуникация и процесс принятия решений, тем самым они являются более эффективными </w:t>
      </w:r>
      <w:r w:rsidR="00226E9D" w:rsidRPr="00226E9D">
        <w:rPr>
          <w:rFonts w:cs="Times New Roman"/>
          <w:szCs w:val="24"/>
        </w:rPr>
        <w:t>[</w:t>
      </w:r>
      <w:bookmarkStart w:id="52" w:name="_Hlk131933889"/>
      <w:proofErr w:type="spellStart"/>
      <w:r w:rsidR="00E53C3B" w:rsidRPr="00E53C3B">
        <w:rPr>
          <w:rFonts w:cs="Times New Roman"/>
          <w:szCs w:val="24"/>
        </w:rPr>
        <w:t>Kramarić</w:t>
      </w:r>
      <w:proofErr w:type="spellEnd"/>
      <w:r w:rsidR="00E53C3B" w:rsidRPr="00E53C3B">
        <w:rPr>
          <w:rFonts w:cs="Times New Roman"/>
          <w:szCs w:val="24"/>
        </w:rPr>
        <w:t xml:space="preserve">, </w:t>
      </w:r>
      <w:proofErr w:type="spellStart"/>
      <w:r w:rsidR="00E53C3B" w:rsidRPr="00E53C3B">
        <w:rPr>
          <w:rFonts w:cs="Times New Roman"/>
          <w:szCs w:val="24"/>
        </w:rPr>
        <w:t>Aleksic</w:t>
      </w:r>
      <w:proofErr w:type="spellEnd"/>
      <w:r w:rsidR="00E53C3B" w:rsidRPr="00E53C3B">
        <w:rPr>
          <w:rFonts w:cs="Times New Roman"/>
          <w:szCs w:val="24"/>
        </w:rPr>
        <w:t xml:space="preserve">, </w:t>
      </w:r>
      <w:proofErr w:type="spellStart"/>
      <w:r w:rsidR="00E53C3B" w:rsidRPr="00E53C3B">
        <w:rPr>
          <w:rFonts w:cs="Times New Roman"/>
          <w:szCs w:val="24"/>
        </w:rPr>
        <w:t>Bach</w:t>
      </w:r>
      <w:proofErr w:type="spellEnd"/>
      <w:r w:rsidR="00E53C3B" w:rsidRPr="00E53C3B">
        <w:rPr>
          <w:rFonts w:cs="Times New Roman"/>
          <w:szCs w:val="24"/>
        </w:rPr>
        <w:t>, 2018</w:t>
      </w:r>
      <w:bookmarkEnd w:id="52"/>
      <w:r w:rsidR="00E53C3B" w:rsidRPr="00E53C3B">
        <w:rPr>
          <w:rFonts w:cs="Times New Roman"/>
          <w:szCs w:val="24"/>
        </w:rPr>
        <w:t>;</w:t>
      </w:r>
      <w:r w:rsidR="00E53C3B" w:rsidRPr="00E53C3B">
        <w:rPr>
          <w:color w:val="000000"/>
        </w:rPr>
        <w:t xml:space="preserve"> </w:t>
      </w:r>
      <w:bookmarkStart w:id="53" w:name="_Hlk131933905"/>
      <w:proofErr w:type="spellStart"/>
      <w:r w:rsidR="00333563" w:rsidRPr="00333563">
        <w:rPr>
          <w:color w:val="000000"/>
        </w:rPr>
        <w:t>Orozco</w:t>
      </w:r>
      <w:proofErr w:type="spellEnd"/>
      <w:r w:rsidR="00333563" w:rsidRPr="00333563">
        <w:rPr>
          <w:color w:val="000000"/>
        </w:rPr>
        <w:t xml:space="preserve">, </w:t>
      </w:r>
      <w:proofErr w:type="spellStart"/>
      <w:r w:rsidR="00333563" w:rsidRPr="00333563">
        <w:rPr>
          <w:color w:val="000000"/>
        </w:rPr>
        <w:t>Vargas</w:t>
      </w:r>
      <w:proofErr w:type="spellEnd"/>
      <w:r w:rsidR="00333563" w:rsidRPr="00333563">
        <w:rPr>
          <w:color w:val="000000"/>
        </w:rPr>
        <w:t xml:space="preserve">, </w:t>
      </w:r>
      <w:proofErr w:type="spellStart"/>
      <w:r w:rsidR="00333563" w:rsidRPr="00333563">
        <w:rPr>
          <w:color w:val="000000"/>
        </w:rPr>
        <w:t>Galindo-Dorado</w:t>
      </w:r>
      <w:proofErr w:type="spellEnd"/>
      <w:r w:rsidR="00333563" w:rsidRPr="00FB3E59">
        <w:rPr>
          <w:color w:val="000000"/>
        </w:rPr>
        <w:t>, 2018</w:t>
      </w:r>
      <w:bookmarkEnd w:id="53"/>
      <w:r w:rsidR="00EC05D7" w:rsidRPr="00FB3E59">
        <w:rPr>
          <w:color w:val="000000"/>
        </w:rPr>
        <w:t xml:space="preserve">; </w:t>
      </w:r>
      <w:bookmarkStart w:id="54" w:name="_Hlk131933915"/>
      <w:r w:rsidR="00EC05D7">
        <w:rPr>
          <w:color w:val="000000"/>
          <w:lang w:val="en-US"/>
        </w:rPr>
        <w:t>Cheng</w:t>
      </w:r>
      <w:r w:rsidR="00EC05D7" w:rsidRPr="00FB3E59">
        <w:rPr>
          <w:color w:val="000000"/>
        </w:rPr>
        <w:t>, 2008</w:t>
      </w:r>
      <w:bookmarkEnd w:id="54"/>
      <w:r w:rsidR="008F4AC3">
        <w:rPr>
          <w:color w:val="000000"/>
        </w:rPr>
        <w:t xml:space="preserve">; </w:t>
      </w:r>
      <w:bookmarkStart w:id="55" w:name="_Hlk131535107"/>
      <w:proofErr w:type="spellStart"/>
      <w:r w:rsidR="008F4AC3" w:rsidRPr="008F4AC3">
        <w:rPr>
          <w:color w:val="000000"/>
        </w:rPr>
        <w:t>Muhammad</w:t>
      </w:r>
      <w:proofErr w:type="spellEnd"/>
      <w:r w:rsidR="008F4AC3">
        <w:rPr>
          <w:color w:val="000000"/>
        </w:rPr>
        <w:t xml:space="preserve"> </w:t>
      </w:r>
      <w:r w:rsidR="008F4AC3">
        <w:rPr>
          <w:color w:val="000000"/>
          <w:lang w:val="en-US"/>
        </w:rPr>
        <w:t>et</w:t>
      </w:r>
      <w:r w:rsidR="008F4AC3" w:rsidRPr="008F4AC3">
        <w:rPr>
          <w:color w:val="000000"/>
        </w:rPr>
        <w:t xml:space="preserve"> </w:t>
      </w:r>
      <w:r w:rsidR="008F4AC3">
        <w:rPr>
          <w:color w:val="000000"/>
          <w:lang w:val="en-US"/>
        </w:rPr>
        <w:t>al</w:t>
      </w:r>
      <w:r w:rsidR="008F4AC3" w:rsidRPr="008F4AC3">
        <w:rPr>
          <w:color w:val="000000"/>
        </w:rPr>
        <w:t>., 2021</w:t>
      </w:r>
      <w:bookmarkEnd w:id="55"/>
      <w:r w:rsidR="00881B82" w:rsidRPr="00881B82">
        <w:rPr>
          <w:color w:val="000000"/>
        </w:rPr>
        <w:t xml:space="preserve">; </w:t>
      </w:r>
      <w:proofErr w:type="spellStart"/>
      <w:r w:rsidR="00881B82" w:rsidRPr="00881B82">
        <w:rPr>
          <w:color w:val="000000"/>
          <w:lang w:val="en-US"/>
        </w:rPr>
        <w:t>Eyenubo</w:t>
      </w:r>
      <w:proofErr w:type="spellEnd"/>
      <w:r w:rsidR="00881B82" w:rsidRPr="00881B82">
        <w:rPr>
          <w:color w:val="000000"/>
        </w:rPr>
        <w:t xml:space="preserve">, </w:t>
      </w:r>
      <w:r w:rsidR="00B971AA" w:rsidRPr="00B971AA">
        <w:rPr>
          <w:color w:val="000000"/>
        </w:rPr>
        <w:t>2013</w:t>
      </w:r>
      <w:r w:rsidR="00375CA9" w:rsidRPr="00375CA9">
        <w:rPr>
          <w:rFonts w:cs="Times New Roman"/>
          <w:szCs w:val="24"/>
        </w:rPr>
        <w:t xml:space="preserve">; </w:t>
      </w:r>
      <w:proofErr w:type="spellStart"/>
      <w:r w:rsidR="00375CA9" w:rsidRPr="00375CA9">
        <w:rPr>
          <w:rFonts w:cs="Times New Roman"/>
          <w:szCs w:val="24"/>
        </w:rPr>
        <w:t>Kajola</w:t>
      </w:r>
      <w:proofErr w:type="spellEnd"/>
      <w:r w:rsidR="00375CA9" w:rsidRPr="00375CA9">
        <w:rPr>
          <w:rFonts w:cs="Times New Roman"/>
          <w:szCs w:val="24"/>
        </w:rPr>
        <w:t xml:space="preserve"> </w:t>
      </w:r>
      <w:r w:rsidR="00375CA9">
        <w:rPr>
          <w:rFonts w:cs="Times New Roman"/>
          <w:szCs w:val="24"/>
          <w:lang w:val="en-US"/>
        </w:rPr>
        <w:t>et</w:t>
      </w:r>
      <w:r w:rsidR="00375CA9" w:rsidRPr="00375CA9">
        <w:rPr>
          <w:rFonts w:cs="Times New Roman"/>
          <w:szCs w:val="24"/>
        </w:rPr>
        <w:t xml:space="preserve"> </w:t>
      </w:r>
      <w:r w:rsidR="00375CA9">
        <w:rPr>
          <w:rFonts w:cs="Times New Roman"/>
          <w:szCs w:val="24"/>
          <w:lang w:val="en-US"/>
        </w:rPr>
        <w:t>al</w:t>
      </w:r>
      <w:r w:rsidR="00375CA9" w:rsidRPr="00375CA9">
        <w:rPr>
          <w:rFonts w:cs="Times New Roman"/>
          <w:szCs w:val="24"/>
        </w:rPr>
        <w:t xml:space="preserve">., 2017]. </w:t>
      </w:r>
      <w:r w:rsidR="00375CA9">
        <w:rPr>
          <w:rFonts w:cs="Times New Roman"/>
          <w:szCs w:val="24"/>
        </w:rPr>
        <w:t xml:space="preserve">Некоторым авторы выявляют значимую </w:t>
      </w:r>
      <w:r w:rsidR="004E1A07">
        <w:rPr>
          <w:rFonts w:cs="Times New Roman"/>
          <w:szCs w:val="24"/>
        </w:rPr>
        <w:t xml:space="preserve">обратную </w:t>
      </w:r>
      <w:r w:rsidR="00375CA9">
        <w:rPr>
          <w:rFonts w:cs="Times New Roman"/>
          <w:szCs w:val="24"/>
        </w:rPr>
        <w:t>взаимосвязь между размером Совета и рыночными показателями эффективности, тогда как между количественным составом Совета и бухгалтерскими показателями взаимосвязи выявить не удается</w:t>
      </w:r>
      <w:r w:rsidR="004E1A07">
        <w:rPr>
          <w:rFonts w:cs="Times New Roman"/>
          <w:szCs w:val="24"/>
        </w:rPr>
        <w:t xml:space="preserve"> </w:t>
      </w:r>
      <w:r w:rsidR="004E1A07" w:rsidRPr="004E1A07">
        <w:rPr>
          <w:rFonts w:cs="Times New Roman"/>
          <w:szCs w:val="24"/>
        </w:rPr>
        <w:t>[</w:t>
      </w:r>
      <w:bookmarkStart w:id="56" w:name="_Hlk135142164"/>
      <w:proofErr w:type="spellStart"/>
      <w:r w:rsidR="004E1A07" w:rsidRPr="004E1A07">
        <w:rPr>
          <w:rFonts w:cs="Times New Roman"/>
          <w:szCs w:val="24"/>
        </w:rPr>
        <w:t>Goel</w:t>
      </w:r>
      <w:proofErr w:type="spellEnd"/>
      <w:r w:rsidR="004E1A07" w:rsidRPr="004E1A07">
        <w:rPr>
          <w:rFonts w:cs="Times New Roman"/>
          <w:szCs w:val="24"/>
        </w:rPr>
        <w:t xml:space="preserve">, </w:t>
      </w:r>
      <w:r w:rsidR="004E1A07">
        <w:rPr>
          <w:rFonts w:cs="Times New Roman"/>
          <w:szCs w:val="24"/>
          <w:lang w:val="en-US"/>
        </w:rPr>
        <w:t>Sharma</w:t>
      </w:r>
      <w:r w:rsidR="004E1A07" w:rsidRPr="004E1A07">
        <w:rPr>
          <w:rFonts w:cs="Times New Roman"/>
          <w:szCs w:val="24"/>
        </w:rPr>
        <w:t>, 2020</w:t>
      </w:r>
      <w:bookmarkEnd w:id="56"/>
      <w:r w:rsidR="004E1A07" w:rsidRPr="004E1A07">
        <w:rPr>
          <w:rFonts w:cs="Times New Roman"/>
          <w:szCs w:val="24"/>
        </w:rPr>
        <w:t>]</w:t>
      </w:r>
      <w:r w:rsidR="00375CA9">
        <w:rPr>
          <w:rFonts w:cs="Times New Roman"/>
          <w:szCs w:val="24"/>
        </w:rPr>
        <w:t xml:space="preserve">. </w:t>
      </w:r>
    </w:p>
    <w:p w14:paraId="2B0765F3" w14:textId="7B5F48B9" w:rsidR="00305D80" w:rsidRDefault="00FB3E59" w:rsidP="00D97FCF">
      <w:pPr>
        <w:pStyle w:val="aff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Кроме того, другим авторам удалось выявить нелинейную (квадратичную) взаимосвязь между размером Совета и финансовыми показателями компаний. Так, </w:t>
      </w:r>
      <w:r w:rsidRPr="00192B65">
        <w:rPr>
          <w:rFonts w:cs="Times New Roman"/>
          <w:szCs w:val="24"/>
        </w:rPr>
        <w:t>[</w:t>
      </w:r>
      <w:bookmarkStart w:id="57" w:name="_Hlk131933932"/>
      <w:proofErr w:type="spellStart"/>
      <w:r w:rsidRPr="00F73D7A">
        <w:rPr>
          <w:rFonts w:cs="Times New Roman"/>
          <w:szCs w:val="24"/>
        </w:rPr>
        <w:t>Coles</w:t>
      </w:r>
      <w:proofErr w:type="spellEnd"/>
      <w:r w:rsidRPr="00F73D7A">
        <w:rPr>
          <w:rFonts w:cs="Times New Roman"/>
          <w:szCs w:val="24"/>
        </w:rPr>
        <w:t xml:space="preserve">, Daniel, </w:t>
      </w:r>
      <w:proofErr w:type="spellStart"/>
      <w:r w:rsidRPr="00F73D7A">
        <w:rPr>
          <w:rFonts w:cs="Times New Roman"/>
          <w:szCs w:val="24"/>
        </w:rPr>
        <w:t>Naveen</w:t>
      </w:r>
      <w:proofErr w:type="spellEnd"/>
      <w:r w:rsidRPr="00F73D7A">
        <w:rPr>
          <w:rFonts w:cs="Times New Roman"/>
          <w:szCs w:val="24"/>
        </w:rPr>
        <w:t>, 2008</w:t>
      </w:r>
      <w:bookmarkEnd w:id="57"/>
      <w:r w:rsidRPr="00192B65">
        <w:rPr>
          <w:rFonts w:cs="Times New Roman"/>
          <w:szCs w:val="24"/>
        </w:rPr>
        <w:t xml:space="preserve">] </w:t>
      </w:r>
      <w:r>
        <w:rPr>
          <w:rFonts w:cs="Times New Roman"/>
          <w:szCs w:val="24"/>
        </w:rPr>
        <w:t>обнаружили квадратичную взаимосвязь</w:t>
      </w:r>
      <w:r w:rsidR="00192B65">
        <w:rPr>
          <w:rFonts w:cs="Times New Roman"/>
          <w:szCs w:val="24"/>
        </w:rPr>
        <w:t xml:space="preserve"> между рассматриваем</w:t>
      </w:r>
      <w:r w:rsidR="0094622E">
        <w:rPr>
          <w:rFonts w:cs="Times New Roman"/>
          <w:szCs w:val="24"/>
        </w:rPr>
        <w:t>ой характеристикой и коэффициентом Тобина</w:t>
      </w:r>
      <w:r w:rsidR="00192B65">
        <w:rPr>
          <w:rFonts w:cs="Times New Roman"/>
          <w:szCs w:val="24"/>
        </w:rPr>
        <w:t>, анализируя американские компании в период с 1992 по 2001</w:t>
      </w:r>
      <w:r w:rsidR="0094622E">
        <w:rPr>
          <w:rFonts w:cs="Times New Roman"/>
          <w:szCs w:val="24"/>
        </w:rPr>
        <w:t xml:space="preserve">, и пришли к выводу, что большие или малые советы директоров работают более эффективно нежели Советы средних размеров. В работе отечественных </w:t>
      </w:r>
      <w:r w:rsidR="0094622E">
        <w:rPr>
          <w:rFonts w:cs="Times New Roman"/>
          <w:szCs w:val="24"/>
        </w:rPr>
        <w:lastRenderedPageBreak/>
        <w:t xml:space="preserve">исследователей была также обнаружена </w:t>
      </w:r>
      <w:r w:rsidR="00200A3A">
        <w:rPr>
          <w:rFonts w:cs="Times New Roman"/>
          <w:szCs w:val="24"/>
        </w:rPr>
        <w:t xml:space="preserve">нелинейная </w:t>
      </w:r>
      <w:r w:rsidR="0094622E">
        <w:rPr>
          <w:rFonts w:cs="Times New Roman"/>
          <w:szCs w:val="24"/>
        </w:rPr>
        <w:t xml:space="preserve">взаимосвязь </w:t>
      </w:r>
      <w:r w:rsidR="00200A3A">
        <w:rPr>
          <w:rFonts w:cs="Times New Roman"/>
          <w:szCs w:val="24"/>
        </w:rPr>
        <w:t xml:space="preserve">между данными переменными, что дает основания полагать, что средний размер совета директоров не является оптимальным для российского рынка. Более того, удалось выявить, что коэффициент Тобина достигает своего минимума при размере </w:t>
      </w:r>
      <w:r w:rsidR="00C11D30">
        <w:rPr>
          <w:rFonts w:cs="Times New Roman"/>
          <w:szCs w:val="24"/>
        </w:rPr>
        <w:t>Совета 11 человек</w:t>
      </w:r>
      <w:r w:rsidR="00A53CCE">
        <w:rPr>
          <w:rFonts w:cs="Times New Roman"/>
          <w:szCs w:val="24"/>
        </w:rPr>
        <w:t xml:space="preserve"> </w:t>
      </w:r>
      <w:r w:rsidR="00A53CCE" w:rsidRPr="00227E61">
        <w:rPr>
          <w:rFonts w:cs="Times New Roman"/>
          <w:szCs w:val="24"/>
        </w:rPr>
        <w:t>[</w:t>
      </w:r>
      <w:r w:rsidR="00A53CCE" w:rsidRPr="00496150">
        <w:rPr>
          <w:rFonts w:cs="Times New Roman"/>
          <w:szCs w:val="24"/>
        </w:rPr>
        <w:t>Березинец, Ильина, Черкасская, 2013</w:t>
      </w:r>
      <w:r w:rsidR="00A53CCE" w:rsidRPr="00227E61">
        <w:rPr>
          <w:rFonts w:cs="Times New Roman"/>
          <w:szCs w:val="24"/>
        </w:rPr>
        <w:t>]</w:t>
      </w:r>
      <w:r w:rsidR="00C11D30">
        <w:rPr>
          <w:rFonts w:cs="Times New Roman"/>
          <w:szCs w:val="24"/>
        </w:rPr>
        <w:t xml:space="preserve">. </w:t>
      </w:r>
      <w:r w:rsidR="00A53CCE">
        <w:rPr>
          <w:rFonts w:cs="Times New Roman"/>
          <w:szCs w:val="24"/>
        </w:rPr>
        <w:t xml:space="preserve">Авторы </w:t>
      </w:r>
      <w:r w:rsidR="00C11D30">
        <w:rPr>
          <w:rFonts w:cs="Times New Roman"/>
          <w:szCs w:val="24"/>
        </w:rPr>
        <w:t>объясняют эту взаимосвязь тем, что небольшие советы директоров рынок воспринимает положительно, так как они лучше осуществляют мониторинг топ-менеджмента и избегают «проблему безбилетника»</w:t>
      </w:r>
      <w:r w:rsidR="00F34838">
        <w:rPr>
          <w:rFonts w:cs="Times New Roman"/>
          <w:szCs w:val="24"/>
        </w:rPr>
        <w:t xml:space="preserve">, тогда как большие размера совета директоров являются более эффективными с точки зрения ресурсной теории. </w:t>
      </w:r>
      <w:r w:rsidR="00305D80">
        <w:rPr>
          <w:rFonts w:cs="Times New Roman"/>
          <w:szCs w:val="24"/>
        </w:rPr>
        <w:t xml:space="preserve">Тем не менее, есть исследования, которые не подтверждают наличие какой-либо взаимосвязи между размером наблюдательного совета и финансовыми показателями компании </w:t>
      </w:r>
      <w:r w:rsidR="0084060B" w:rsidRPr="0084060B">
        <w:rPr>
          <w:rFonts w:cs="Times New Roman"/>
          <w:szCs w:val="24"/>
        </w:rPr>
        <w:t>[</w:t>
      </w:r>
      <w:r w:rsidR="0084060B">
        <w:rPr>
          <w:rFonts w:cs="Times New Roman"/>
          <w:szCs w:val="24"/>
        </w:rPr>
        <w:t>Завертяева, Попова, 2021</w:t>
      </w:r>
      <w:r w:rsidR="00E011AB">
        <w:rPr>
          <w:rFonts w:cs="Times New Roman"/>
          <w:szCs w:val="24"/>
        </w:rPr>
        <w:t xml:space="preserve">; </w:t>
      </w:r>
      <w:proofErr w:type="spellStart"/>
      <w:r w:rsidR="00E011AB">
        <w:rPr>
          <w:rFonts w:cs="Times New Roman"/>
          <w:szCs w:val="24"/>
        </w:rPr>
        <w:t>Дуляк</w:t>
      </w:r>
      <w:proofErr w:type="spellEnd"/>
      <w:r w:rsidR="00E011AB">
        <w:rPr>
          <w:rFonts w:cs="Times New Roman"/>
          <w:szCs w:val="24"/>
        </w:rPr>
        <w:t>, 2015</w:t>
      </w:r>
      <w:r w:rsidR="00881B82" w:rsidRPr="00881B82">
        <w:rPr>
          <w:rFonts w:cs="Times New Roman"/>
          <w:szCs w:val="24"/>
        </w:rPr>
        <w:t xml:space="preserve">; </w:t>
      </w:r>
      <w:proofErr w:type="spellStart"/>
      <w:r w:rsidR="00881B82">
        <w:t>Purushottam</w:t>
      </w:r>
      <w:proofErr w:type="spellEnd"/>
      <w:r w:rsidR="00881B82" w:rsidRPr="00881B82">
        <w:t>, 2019</w:t>
      </w:r>
      <w:r w:rsidR="00375CA9" w:rsidRPr="00375CA9">
        <w:t xml:space="preserve">; </w:t>
      </w:r>
      <w:proofErr w:type="spellStart"/>
      <w:r w:rsidR="00375CA9" w:rsidRPr="00375CA9">
        <w:t>Agrawal</w:t>
      </w:r>
      <w:proofErr w:type="spellEnd"/>
      <w:r w:rsidR="00375CA9" w:rsidRPr="00375CA9">
        <w:t xml:space="preserve">, </w:t>
      </w:r>
      <w:proofErr w:type="spellStart"/>
      <w:r w:rsidR="00375CA9" w:rsidRPr="00375CA9">
        <w:t>Lakshmi</w:t>
      </w:r>
      <w:proofErr w:type="spellEnd"/>
      <w:r w:rsidR="00375CA9" w:rsidRPr="00375CA9">
        <w:t>, 2020</w:t>
      </w:r>
      <w:r w:rsidR="0084060B" w:rsidRPr="0084060B">
        <w:rPr>
          <w:rFonts w:cs="Times New Roman"/>
          <w:szCs w:val="24"/>
        </w:rPr>
        <w:t>]</w:t>
      </w:r>
      <w:r w:rsidR="00C11D30">
        <w:rPr>
          <w:rFonts w:cs="Times New Roman"/>
          <w:szCs w:val="24"/>
        </w:rPr>
        <w:t xml:space="preserve">. </w:t>
      </w:r>
    </w:p>
    <w:p w14:paraId="40559591" w14:textId="379B259C" w:rsidR="00E27694" w:rsidRPr="000D3E57" w:rsidRDefault="00F34838" w:rsidP="00D97FCF">
      <w:pPr>
        <w:pStyle w:val="aff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Несмотря на отсутствие единых результатов среди исследований, посвященных проблематике размера совета директоров, в данной работе выдвинута следующая гипотеза: </w:t>
      </w:r>
    </w:p>
    <w:p w14:paraId="5D702F6E" w14:textId="379198C1" w:rsidR="00240017" w:rsidRPr="00CD3D38" w:rsidRDefault="00240017" w:rsidP="00F41A4A">
      <w:pPr>
        <w:pStyle w:val="a0"/>
      </w:pPr>
      <w:bookmarkStart w:id="58" w:name="_Ref131877953"/>
      <w:r w:rsidRPr="00CD3D38">
        <w:t>Существует нелинейная взаимосвязь между размером совета директоров и финансовой результативностью публичных компаний с государственным участием</w:t>
      </w:r>
      <w:bookmarkEnd w:id="58"/>
    </w:p>
    <w:p w14:paraId="6BAAA47E" w14:textId="4F382716" w:rsidR="00F20A9D" w:rsidRDefault="002747A3" w:rsidP="001A6446">
      <w:pPr>
        <w:pStyle w:val="3"/>
      </w:pPr>
      <w:bookmarkStart w:id="59" w:name="_Toc136001542"/>
      <w:r>
        <w:t xml:space="preserve">2.2.2 </w:t>
      </w:r>
      <w:r w:rsidR="001A6446">
        <w:t>Независимые директора</w:t>
      </w:r>
      <w:bookmarkEnd w:id="59"/>
      <w:r w:rsidR="001A6446">
        <w:t xml:space="preserve"> </w:t>
      </w:r>
    </w:p>
    <w:p w14:paraId="53056782" w14:textId="701505BD" w:rsidR="00CE5ED0" w:rsidRDefault="00CE5ED0" w:rsidP="00D97FCF">
      <w:pPr>
        <w:pStyle w:val="aff0"/>
      </w:pPr>
      <w:r w:rsidRPr="000613F0">
        <w:t>Кодекс корпоративного управления характеризует независимого директора как «лицо, которое обладает достаточными профессионализмом, опытом и самостоятельностью для формирования собственной позиции, способно выносить объективные и добросовестные суждения, независимые от влияния исполнительных органов общества, отдельных групп акционеров или иных заинтересованных сторон» [</w:t>
      </w:r>
      <w:bookmarkStart w:id="60" w:name="_Hlk131933954"/>
      <w:r w:rsidR="00FD42CE">
        <w:t xml:space="preserve">п. 2.4.1., </w:t>
      </w:r>
      <w:r w:rsidRPr="0064267C">
        <w:t>Кодекс корпоративного управления</w:t>
      </w:r>
      <w:r w:rsidRPr="00CE5ED0">
        <w:t>, 2014</w:t>
      </w:r>
      <w:bookmarkEnd w:id="60"/>
      <w:r w:rsidRPr="00CE5ED0">
        <w:t xml:space="preserve">]. </w:t>
      </w:r>
      <w:r w:rsidR="000613F0">
        <w:t xml:space="preserve">Согласно </w:t>
      </w:r>
      <w:r w:rsidR="00193A61">
        <w:t>Кодексу</w:t>
      </w:r>
      <w:r w:rsidR="000613F0">
        <w:t xml:space="preserve">, в совете директоров акционерного общества должно быть достаточно независимых членов: они должны составляли не менее одной трети от всех членов совета директоров, чтобы они смогли влиять на принимаемые решения. </w:t>
      </w:r>
      <w:r w:rsidR="00AE4525">
        <w:t xml:space="preserve">Исследование, проведенное </w:t>
      </w:r>
      <w:r w:rsidR="00AE4525">
        <w:rPr>
          <w:lang w:val="en-US"/>
        </w:rPr>
        <w:t>Spenser</w:t>
      </w:r>
      <w:r w:rsidR="00AE4525" w:rsidRPr="00CE49DD">
        <w:t xml:space="preserve"> </w:t>
      </w:r>
      <w:r w:rsidR="00AE4525">
        <w:rPr>
          <w:lang w:val="en-US"/>
        </w:rPr>
        <w:t>Stuart</w:t>
      </w:r>
      <w:r w:rsidR="00AE4525">
        <w:t xml:space="preserve"> на выборке из российских публичных компаний за 2020 год, выявило рост доли таких директоров в общем совете директоров – с 36,7% до 42,2%, тогда как 6 лет назад эта доля была равна 39%. Эксперты также отметили, что сократилась доля компаний, которые не следуют рекомендациям Кодекса о доли независимых директоров</w:t>
      </w:r>
      <w:r w:rsidR="000D3E57">
        <w:rPr>
          <w:rStyle w:val="ac"/>
          <w:rFonts w:cs="Times New Roman"/>
          <w:szCs w:val="24"/>
        </w:rPr>
        <w:footnoteReference w:id="31"/>
      </w:r>
      <w:r w:rsidR="00AE4525">
        <w:t>.</w:t>
      </w:r>
      <w:r w:rsidR="003B3838">
        <w:t xml:space="preserve"> В работе </w:t>
      </w:r>
      <w:r w:rsidR="003B3838" w:rsidRPr="00190D93">
        <w:t>[</w:t>
      </w:r>
      <w:r w:rsidR="003B3838">
        <w:t>Березинец, Ильина, Смирнов, 2016</w:t>
      </w:r>
      <w:r w:rsidR="003B3838" w:rsidRPr="00190D93">
        <w:t>]</w:t>
      </w:r>
      <w:r w:rsidR="003B3838">
        <w:t>, посвященной исследованию советов директоров компаний с госучастием, было выявлено, что доля независимых директоров в 2012 году составила всего лишь 3%</w:t>
      </w:r>
      <w:r w:rsidR="000C1367">
        <w:t xml:space="preserve">, этот показатель медленно рос с 2009 года. </w:t>
      </w:r>
    </w:p>
    <w:p w14:paraId="1B89E4DE" w14:textId="4D3CC1B2" w:rsidR="00AE4525" w:rsidRDefault="00AE4525" w:rsidP="00D97FCF">
      <w:pPr>
        <w:pStyle w:val="aff0"/>
      </w:pPr>
      <w:r>
        <w:lastRenderedPageBreak/>
        <w:t xml:space="preserve"> С точки зрения агентской и ресурсной теории, увеличение количества независимых директоров положительно </w:t>
      </w:r>
      <w:r w:rsidR="00FC103F">
        <w:t xml:space="preserve">влияет на эффективность работы совета директоров: независимые директора лучше осуществляют функцию мониторинга, и они являются источником внешних ресурсов, необходимых для компании. Однако, если рассматривать независимых директоров с позиции теории управляющих </w:t>
      </w:r>
      <w:r w:rsidR="00FC103F" w:rsidRPr="006E6CAF">
        <w:t>(</w:t>
      </w:r>
      <w:r w:rsidR="00FC103F">
        <w:rPr>
          <w:lang w:val="en-US"/>
        </w:rPr>
        <w:t>stewardship</w:t>
      </w:r>
      <w:r w:rsidR="00FC103F" w:rsidRPr="006E6CAF">
        <w:t xml:space="preserve"> </w:t>
      </w:r>
      <w:r w:rsidR="00FC103F">
        <w:rPr>
          <w:lang w:val="en-US"/>
        </w:rPr>
        <w:t>theory</w:t>
      </w:r>
      <w:r w:rsidR="00FC103F">
        <w:t>), то у компании нет потребности в большом количестве таких директоров, так как исполнительные директора лучше управляют компанией, так как знаю бизнес изнутри</w:t>
      </w:r>
      <w:r w:rsidR="00FC103F" w:rsidRPr="00FC103F">
        <w:t xml:space="preserve"> </w:t>
      </w:r>
      <w:r w:rsidR="00FC103F" w:rsidRPr="00227E61">
        <w:t>[</w:t>
      </w:r>
      <w:r w:rsidR="00FC103F" w:rsidRPr="00496150">
        <w:t>Березинец, Ильина, Черкасская, 2013</w:t>
      </w:r>
      <w:r w:rsidR="00FC103F" w:rsidRPr="00227E61">
        <w:t>]</w:t>
      </w:r>
      <w:r w:rsidR="00A53CCE">
        <w:t>.</w:t>
      </w:r>
    </w:p>
    <w:p w14:paraId="05193DAE" w14:textId="072C71DB" w:rsidR="003B3838" w:rsidRPr="002C57C7" w:rsidRDefault="00FC103F" w:rsidP="00D97FCF">
      <w:pPr>
        <w:pStyle w:val="aff0"/>
      </w:pPr>
      <w:r>
        <w:t xml:space="preserve">Множество исследований посвящено анализу взаимосвязи между долей независимых директоров и финансовой результативностью компаний. </w:t>
      </w:r>
      <w:r w:rsidR="008D7306">
        <w:t xml:space="preserve">В </w:t>
      </w:r>
      <w:r w:rsidR="00C47CAA">
        <w:t>большинстве</w:t>
      </w:r>
      <w:r w:rsidR="00DA0490">
        <w:t xml:space="preserve"> </w:t>
      </w:r>
      <w:r w:rsidR="008D7306">
        <w:t xml:space="preserve">научных работ была выявлена положительная взаимосвязь </w:t>
      </w:r>
      <w:bookmarkStart w:id="61" w:name="_Hlk131934012"/>
      <w:r w:rsidR="002C57C7" w:rsidRPr="002C57C7">
        <w:t>[</w:t>
      </w:r>
      <w:r w:rsidR="002C57C7">
        <w:rPr>
          <w:lang w:val="en-US"/>
        </w:rPr>
        <w:t>A</w:t>
      </w:r>
      <w:r w:rsidR="007A4AC7">
        <w:rPr>
          <w:lang w:val="en-US"/>
        </w:rPr>
        <w:t>lonso</w:t>
      </w:r>
      <w:r w:rsidR="002C57C7" w:rsidRPr="002C57C7">
        <w:t xml:space="preserve">, </w:t>
      </w:r>
      <w:proofErr w:type="spellStart"/>
      <w:r w:rsidR="002C57C7">
        <w:rPr>
          <w:lang w:val="en-US"/>
        </w:rPr>
        <w:t>V</w:t>
      </w:r>
      <w:r w:rsidR="002C57C7" w:rsidRPr="002C57C7">
        <w:rPr>
          <w:lang w:val="en-US"/>
        </w:rPr>
        <w:t>allelado</w:t>
      </w:r>
      <w:proofErr w:type="spellEnd"/>
      <w:r w:rsidR="002C57C7" w:rsidRPr="002C57C7">
        <w:t xml:space="preserve"> 2008</w:t>
      </w:r>
      <w:bookmarkEnd w:id="61"/>
      <w:r w:rsidR="006A5653" w:rsidRPr="006A5653">
        <w:t xml:space="preserve">; </w:t>
      </w:r>
      <w:bookmarkStart w:id="62" w:name="_Hlk131934027"/>
      <w:r w:rsidR="006A5653" w:rsidRPr="006A5653">
        <w:t>Масленникова, Степанова, 2010</w:t>
      </w:r>
      <w:bookmarkEnd w:id="62"/>
      <w:r w:rsidR="00394291" w:rsidRPr="00394291">
        <w:t xml:space="preserve">; </w:t>
      </w:r>
      <w:proofErr w:type="spellStart"/>
      <w:r w:rsidR="00394291">
        <w:t>Reguera-Alvarado</w:t>
      </w:r>
      <w:proofErr w:type="spellEnd"/>
      <w:r w:rsidR="00394291">
        <w:rPr>
          <w:rFonts w:ascii="Arial" w:hAnsi="Arial" w:cs="Arial"/>
          <w:color w:val="2E2E2E"/>
        </w:rPr>
        <w:t>,</w:t>
      </w:r>
      <w:r w:rsidR="00394291">
        <w:t> Bravo</w:t>
      </w:r>
      <w:r w:rsidR="00394291" w:rsidRPr="00394291">
        <w:t xml:space="preserve">, 2017; </w:t>
      </w:r>
      <w:proofErr w:type="spellStart"/>
      <w:r w:rsidR="00394291">
        <w:t>Mihail</w:t>
      </w:r>
      <w:proofErr w:type="spellEnd"/>
      <w:r w:rsidR="00394291">
        <w:t xml:space="preserve">, </w:t>
      </w:r>
      <w:r w:rsidR="00394291">
        <w:rPr>
          <w:lang w:val="en-US"/>
        </w:rPr>
        <w:t>M</w:t>
      </w:r>
      <w:proofErr w:type="spellStart"/>
      <w:r w:rsidR="00394291">
        <w:t>icu</w:t>
      </w:r>
      <w:proofErr w:type="spellEnd"/>
      <w:r w:rsidR="00394291" w:rsidRPr="00394291">
        <w:t>, 2021</w:t>
      </w:r>
      <w:r w:rsidR="00DA0490" w:rsidRPr="00DA0490">
        <w:t xml:space="preserve">; </w:t>
      </w:r>
      <w:proofErr w:type="spellStart"/>
      <w:r w:rsidR="00DA0490" w:rsidRPr="00DA0490">
        <w:t>Agarwal</w:t>
      </w:r>
      <w:proofErr w:type="spellEnd"/>
      <w:r w:rsidR="00DA0490" w:rsidRPr="00DA0490">
        <w:t>, 2021</w:t>
      </w:r>
      <w:r w:rsidR="00863E01">
        <w:t xml:space="preserve">; </w:t>
      </w:r>
      <w:r w:rsidR="00863E01">
        <w:rPr>
          <w:lang w:val="en-US"/>
        </w:rPr>
        <w:t>K</w:t>
      </w:r>
      <w:proofErr w:type="spellStart"/>
      <w:r w:rsidR="00863E01" w:rsidRPr="00863E01">
        <w:t>anakriyah</w:t>
      </w:r>
      <w:proofErr w:type="spellEnd"/>
      <w:r w:rsidR="00863E01" w:rsidRPr="00863E01">
        <w:t>, 2021</w:t>
      </w:r>
      <w:r w:rsidR="002C57C7" w:rsidRPr="002C57C7">
        <w:t>],</w:t>
      </w:r>
      <w:r w:rsidR="00B41E76">
        <w:t xml:space="preserve"> тем не менее, существует ряд статей, где была обнаружена</w:t>
      </w:r>
      <w:r w:rsidR="008D7306">
        <w:t xml:space="preserve"> отрицательная </w:t>
      </w:r>
      <w:r w:rsidR="00B41E76">
        <w:t xml:space="preserve">взаимосвязь </w:t>
      </w:r>
      <w:r w:rsidR="008D7306" w:rsidRPr="008D7306">
        <w:t>[</w:t>
      </w:r>
      <w:bookmarkStart w:id="63" w:name="_Hlk131934034"/>
      <w:proofErr w:type="spellStart"/>
      <w:r w:rsidR="002C57C7">
        <w:rPr>
          <w:lang w:val="en-US"/>
        </w:rPr>
        <w:t>Bozec</w:t>
      </w:r>
      <w:proofErr w:type="spellEnd"/>
      <w:r w:rsidR="002C57C7" w:rsidRPr="002C57C7">
        <w:t>, 2005</w:t>
      </w:r>
      <w:bookmarkEnd w:id="63"/>
      <w:r w:rsidR="002C57C7" w:rsidRPr="002C57C7">
        <w:t xml:space="preserve">; </w:t>
      </w:r>
      <w:bookmarkStart w:id="64" w:name="_Hlk131934040"/>
      <w:r w:rsidR="008D7306">
        <w:rPr>
          <w:lang w:val="en-US"/>
        </w:rPr>
        <w:t>Mishra</w:t>
      </w:r>
      <w:r w:rsidR="008D7306" w:rsidRPr="008D7306">
        <w:t>, 2020</w:t>
      </w:r>
      <w:bookmarkEnd w:id="64"/>
      <w:r w:rsidR="000D5BBE">
        <w:t xml:space="preserve">; </w:t>
      </w:r>
      <w:r w:rsidR="000D5BBE" w:rsidRPr="000D5BBE">
        <w:t>Al-</w:t>
      </w:r>
      <w:proofErr w:type="spellStart"/>
      <w:r w:rsidR="000D5BBE" w:rsidRPr="000D5BBE">
        <w:t>Saidi</w:t>
      </w:r>
      <w:proofErr w:type="spellEnd"/>
      <w:r w:rsidR="000D5BBE">
        <w:t>, 2020</w:t>
      </w:r>
      <w:r w:rsidR="00B82058">
        <w:t xml:space="preserve">; </w:t>
      </w:r>
      <w:proofErr w:type="spellStart"/>
      <w:r w:rsidR="00B82058" w:rsidRPr="00B82058">
        <w:t>Arosa</w:t>
      </w:r>
      <w:proofErr w:type="spellEnd"/>
      <w:r w:rsidR="00B82058">
        <w:t xml:space="preserve"> </w:t>
      </w:r>
      <w:r w:rsidR="00B82058">
        <w:rPr>
          <w:lang w:val="en-US"/>
        </w:rPr>
        <w:t>et</w:t>
      </w:r>
      <w:r w:rsidR="00B82058" w:rsidRPr="00B82058">
        <w:t xml:space="preserve"> </w:t>
      </w:r>
      <w:r w:rsidR="00B82058">
        <w:rPr>
          <w:lang w:val="en-US"/>
        </w:rPr>
        <w:t>al</w:t>
      </w:r>
      <w:r w:rsidR="00B82058" w:rsidRPr="00B82058">
        <w:t xml:space="preserve">., </w:t>
      </w:r>
      <w:r w:rsidR="00B82058" w:rsidRPr="00471F06">
        <w:t>2013</w:t>
      </w:r>
      <w:r w:rsidR="008D7306" w:rsidRPr="008D7306">
        <w:t>]</w:t>
      </w:r>
      <w:r w:rsidR="002C57C7">
        <w:t xml:space="preserve">. Исследование </w:t>
      </w:r>
      <w:r w:rsidR="002C57C7" w:rsidRPr="002C57C7">
        <w:t>[</w:t>
      </w:r>
      <w:bookmarkStart w:id="65" w:name="_Hlk131934046"/>
      <w:proofErr w:type="spellStart"/>
      <w:r w:rsidR="002C57C7" w:rsidRPr="002C57C7">
        <w:rPr>
          <w:lang w:val="en-US"/>
        </w:rPr>
        <w:t>K</w:t>
      </w:r>
      <w:r w:rsidR="002C57C7">
        <w:rPr>
          <w:lang w:val="en-US"/>
        </w:rPr>
        <w:t>allamu</w:t>
      </w:r>
      <w:proofErr w:type="spellEnd"/>
      <w:r w:rsidR="002C57C7" w:rsidRPr="002C57C7">
        <w:t>, 2016</w:t>
      </w:r>
      <w:bookmarkEnd w:id="65"/>
      <w:r w:rsidR="002C57C7" w:rsidRPr="002C57C7">
        <w:t>]</w:t>
      </w:r>
      <w:r w:rsidR="002C57C7">
        <w:t xml:space="preserve">, проведенное на выборке торгующихся на </w:t>
      </w:r>
      <w:r w:rsidR="002C57C7" w:rsidRPr="002C57C7">
        <w:t>Малайзийск</w:t>
      </w:r>
      <w:r w:rsidR="002C57C7">
        <w:t>ой</w:t>
      </w:r>
      <w:r w:rsidR="002C57C7" w:rsidRPr="002C57C7">
        <w:t xml:space="preserve"> бирж</w:t>
      </w:r>
      <w:r w:rsidR="002C57C7">
        <w:t xml:space="preserve">е компаний, выявило, с одной стороны, положительную взаимосвязь между долей независимых директоров и показателем </w:t>
      </w:r>
      <w:r w:rsidR="002C57C7">
        <w:rPr>
          <w:lang w:val="en-US"/>
        </w:rPr>
        <w:t>ROA</w:t>
      </w:r>
      <w:r w:rsidR="002C57C7">
        <w:t xml:space="preserve">, а с другой, обратную взаимосвязь с коэффициентом Тобина. </w:t>
      </w:r>
    </w:p>
    <w:p w14:paraId="441725A4" w14:textId="7EA77D04" w:rsidR="003B3838" w:rsidRDefault="008D7306" w:rsidP="00D97FCF">
      <w:pPr>
        <w:pStyle w:val="aff0"/>
      </w:pPr>
      <w:r>
        <w:t>В некоторых работах была выявлена нелинейная взаимосвязь</w:t>
      </w:r>
      <w:r w:rsidR="00107D7E">
        <w:t>: при увеличении количества независимых директоров финансовые показатели фирмы растут, однако при доминировании независимых директоров финансовая результативность компании падает</w:t>
      </w:r>
      <w:r>
        <w:t xml:space="preserve"> </w:t>
      </w:r>
      <w:r w:rsidRPr="008D7306">
        <w:t>[</w:t>
      </w:r>
      <w:bookmarkStart w:id="66" w:name="_Hlk131934054"/>
      <w:proofErr w:type="spellStart"/>
      <w:r w:rsidRPr="008D7306">
        <w:t>Merendino</w:t>
      </w:r>
      <w:proofErr w:type="spellEnd"/>
      <w:r w:rsidRPr="008D7306">
        <w:t xml:space="preserve">, </w:t>
      </w:r>
      <w:proofErr w:type="spellStart"/>
      <w:r w:rsidRPr="008D7306">
        <w:t>Melville</w:t>
      </w:r>
      <w:proofErr w:type="spellEnd"/>
      <w:r w:rsidRPr="008D7306">
        <w:t>, 2019</w:t>
      </w:r>
      <w:bookmarkEnd w:id="66"/>
      <w:r w:rsidRPr="008D7306">
        <w:t xml:space="preserve">].  </w:t>
      </w:r>
      <w:r w:rsidR="003B3838">
        <w:t xml:space="preserve">Тем не менее, в ряде исследований не было выявлено значимой взаимосвязи между рассматриваемыми переменными </w:t>
      </w:r>
      <w:r w:rsidR="003B3838" w:rsidRPr="00227E61">
        <w:t>[</w:t>
      </w:r>
      <w:r w:rsidR="003B3838" w:rsidRPr="00496150">
        <w:t>Березинец, Ильина, Черкасская, 2013</w:t>
      </w:r>
      <w:r w:rsidR="003B3838" w:rsidRPr="00227E61">
        <w:t>]</w:t>
      </w:r>
      <w:r w:rsidR="006A5653" w:rsidRPr="006A5653">
        <w:t xml:space="preserve">. </w:t>
      </w:r>
    </w:p>
    <w:p w14:paraId="2E62702D" w14:textId="57E3AC7F" w:rsidR="006C5750" w:rsidRDefault="006C5750" w:rsidP="00D97FCF">
      <w:pPr>
        <w:pStyle w:val="aff0"/>
      </w:pPr>
      <w:r>
        <w:t>Рассмотренные исследования по независимости членов совета директоров не приходят к сопоставимым результатам, в данном исследовании выдвинута следующая гипотеза, соответствующая результатам бол</w:t>
      </w:r>
      <w:r w:rsidR="007410AD">
        <w:t>ьшего</w:t>
      </w:r>
      <w:r>
        <w:t xml:space="preserve"> числа работ: </w:t>
      </w:r>
    </w:p>
    <w:p w14:paraId="33D8697A" w14:textId="6FF8959F" w:rsidR="00240017" w:rsidRPr="00CD3D38" w:rsidRDefault="00240017" w:rsidP="00F41A4A">
      <w:pPr>
        <w:pStyle w:val="a0"/>
      </w:pPr>
      <w:r w:rsidRPr="00CD3D38">
        <w:t xml:space="preserve">Существует положительная взаимосвязь между долей независимых директоров и финансовой результативностью публичных компаний с </w:t>
      </w:r>
      <w:r w:rsidR="003D793B" w:rsidRPr="00CD3D38">
        <w:t>государственным</w:t>
      </w:r>
      <w:r w:rsidRPr="00CD3D38">
        <w:t xml:space="preserve"> участием</w:t>
      </w:r>
    </w:p>
    <w:p w14:paraId="7C64DA24" w14:textId="0AC7DEA8" w:rsidR="003B3838" w:rsidRDefault="002747A3" w:rsidP="00AA79FC">
      <w:pPr>
        <w:pStyle w:val="3"/>
      </w:pPr>
      <w:bookmarkStart w:id="67" w:name="_Toc136001543"/>
      <w:r>
        <w:t xml:space="preserve">2.2.3 </w:t>
      </w:r>
      <w:r w:rsidR="003B3838">
        <w:t>Исполнительные директора</w:t>
      </w:r>
      <w:bookmarkEnd w:id="67"/>
      <w:r w:rsidR="003B3838">
        <w:t xml:space="preserve"> </w:t>
      </w:r>
    </w:p>
    <w:p w14:paraId="148C81D9" w14:textId="0211FD2C" w:rsidR="00FC20DC" w:rsidRPr="002103E1" w:rsidRDefault="0049057A" w:rsidP="00D97FCF">
      <w:pPr>
        <w:pStyle w:val="aff0"/>
      </w:pPr>
      <w:r w:rsidRPr="0049057A">
        <w:t>Исполнительные директора являются внутренними директорами, которые имеют более широкое представление о результатах деятельности компании, знаю</w:t>
      </w:r>
      <w:r>
        <w:t>т</w:t>
      </w:r>
      <w:r w:rsidRPr="0049057A">
        <w:t xml:space="preserve"> ее специфику и осведомлены о существующих рисках. </w:t>
      </w:r>
      <w:r>
        <w:t xml:space="preserve">С точки зрения теории управляющих </w:t>
      </w:r>
      <w:r w:rsidRPr="006E6CAF">
        <w:t>(</w:t>
      </w:r>
      <w:r>
        <w:rPr>
          <w:lang w:val="en-US"/>
        </w:rPr>
        <w:t>stewardship</w:t>
      </w:r>
      <w:r w:rsidRPr="006E6CAF">
        <w:t xml:space="preserve"> </w:t>
      </w:r>
      <w:r>
        <w:rPr>
          <w:lang w:val="en-US"/>
        </w:rPr>
        <w:t>theory</w:t>
      </w:r>
      <w:r>
        <w:t xml:space="preserve">) исполнительные директора наиболее эффективно управляют компанией, так как они </w:t>
      </w:r>
      <w:r>
        <w:lastRenderedPageBreak/>
        <w:t xml:space="preserve">имеют более глубокие знаний о компании, тогда как независимые могут дать оценку со стороны. Интересы исполнительных </w:t>
      </w:r>
      <w:r w:rsidR="00A82502">
        <w:t xml:space="preserve">директоров </w:t>
      </w:r>
      <w:r>
        <w:t xml:space="preserve">совпадают с интересами акционеров, а значит собственники могут доверять таким директорам </w:t>
      </w:r>
      <w:r w:rsidRPr="003204F7">
        <w:t>[</w:t>
      </w:r>
      <w:proofErr w:type="spellStart"/>
      <w:r>
        <w:t>Davis</w:t>
      </w:r>
      <w:proofErr w:type="spellEnd"/>
      <w:r>
        <w:t xml:space="preserve">, </w:t>
      </w:r>
      <w:proofErr w:type="spellStart"/>
      <w:r>
        <w:t>Schoorman</w:t>
      </w:r>
      <w:proofErr w:type="spellEnd"/>
      <w:r>
        <w:t xml:space="preserve">, </w:t>
      </w:r>
      <w:proofErr w:type="spellStart"/>
      <w:r w:rsidRPr="003204F7">
        <w:t>Donaldson</w:t>
      </w:r>
      <w:proofErr w:type="spellEnd"/>
      <w:r w:rsidRPr="003204F7">
        <w:t>, 1997</w:t>
      </w:r>
      <w:r>
        <w:t xml:space="preserve">]. </w:t>
      </w:r>
    </w:p>
    <w:p w14:paraId="58D95414" w14:textId="5F9BCDDC" w:rsidR="00D758C2" w:rsidRDefault="00D758C2" w:rsidP="00D97FCF">
      <w:pPr>
        <w:pStyle w:val="aff0"/>
      </w:pPr>
      <w:r>
        <w:t xml:space="preserve">В соответствии с законодательством, члены исполнительного органа не могут составлять более одной четвертой от общего размера совета директоров. </w:t>
      </w:r>
      <w:r w:rsidR="00A82502">
        <w:t>Согласно недавн</w:t>
      </w:r>
      <w:r w:rsidR="00A53CCE">
        <w:t>ему</w:t>
      </w:r>
      <w:r w:rsidR="00A82502">
        <w:t xml:space="preserve"> исследовани</w:t>
      </w:r>
      <w:r w:rsidR="00A53CCE">
        <w:t>ю</w:t>
      </w:r>
      <w:r w:rsidR="00373437">
        <w:t xml:space="preserve"> от агентства</w:t>
      </w:r>
      <w:r w:rsidR="00A82502">
        <w:t xml:space="preserve"> </w:t>
      </w:r>
      <w:r w:rsidR="00A82502">
        <w:rPr>
          <w:lang w:val="en-US"/>
        </w:rPr>
        <w:t>Stanton</w:t>
      </w:r>
      <w:r w:rsidR="00A82502" w:rsidRPr="00FC49C4">
        <w:t xml:space="preserve"> </w:t>
      </w:r>
      <w:r w:rsidR="00A82502">
        <w:rPr>
          <w:lang w:val="en-US"/>
        </w:rPr>
        <w:t>Chase</w:t>
      </w:r>
      <w:r w:rsidR="00A82502">
        <w:t>, доля исполнительных директоров равна 15% в 2019 году и 2020 год</w:t>
      </w:r>
      <w:r>
        <w:t xml:space="preserve">у. </w:t>
      </w:r>
      <w:r>
        <w:rPr>
          <w:lang w:val="en-US"/>
        </w:rPr>
        <w:t>Spenser</w:t>
      </w:r>
      <w:r w:rsidRPr="00CE49DD">
        <w:t xml:space="preserve"> </w:t>
      </w:r>
      <w:r>
        <w:rPr>
          <w:lang w:val="en-US"/>
        </w:rPr>
        <w:t>Stuart</w:t>
      </w:r>
      <w:r w:rsidRPr="00CE49DD">
        <w:t xml:space="preserve"> </w:t>
      </w:r>
      <w:r>
        <w:t xml:space="preserve">в ежегодном исследовании «Российский индекс советов директоров 2020» говорят о доли исполнительных директоров равной 13,8%, что больше на 0,5 </w:t>
      </w:r>
      <w:proofErr w:type="spellStart"/>
      <w:r>
        <w:t>п.п</w:t>
      </w:r>
      <w:proofErr w:type="spellEnd"/>
      <w:r>
        <w:t xml:space="preserve">. прошлого года. Для российских компаний характерен один исполнительный директор в совете директоров в лице генерального директора. </w:t>
      </w:r>
      <w:r w:rsidR="0068154A">
        <w:t>Для компании с государственным участием также характерна средняя доля в 13%</w:t>
      </w:r>
      <w:r w:rsidR="0068154A" w:rsidRPr="0068154A">
        <w:t xml:space="preserve">, </w:t>
      </w:r>
      <w:r w:rsidR="0068154A">
        <w:t xml:space="preserve">однако эта доля постепенно снижалась с 2009 по 2012 год </w:t>
      </w:r>
      <w:r w:rsidR="0068154A" w:rsidRPr="0068154A">
        <w:t>[</w:t>
      </w:r>
      <w:r w:rsidR="0068154A">
        <w:t>Березинец, Ильина, Смирнов, 2016</w:t>
      </w:r>
      <w:r w:rsidR="0068154A" w:rsidRPr="0068154A">
        <w:t xml:space="preserve">; </w:t>
      </w:r>
      <w:proofErr w:type="spellStart"/>
      <w:r w:rsidR="0068154A" w:rsidRPr="0068154A">
        <w:t>Амбарднишвили</w:t>
      </w:r>
      <w:proofErr w:type="spellEnd"/>
      <w:r w:rsidR="00077E16">
        <w:t xml:space="preserve"> и др., </w:t>
      </w:r>
      <w:r w:rsidR="0068154A" w:rsidRPr="0068154A">
        <w:t>2017]</w:t>
      </w:r>
      <w:r w:rsidR="0068154A">
        <w:t xml:space="preserve">. </w:t>
      </w:r>
    </w:p>
    <w:p w14:paraId="56E0EE90" w14:textId="35A47908" w:rsidR="00F84E82" w:rsidRPr="00683EE0" w:rsidRDefault="0068154A" w:rsidP="00D97FCF">
      <w:pPr>
        <w:pStyle w:val="aff0"/>
      </w:pPr>
      <w:r>
        <w:t>Существует немного научных работ, посвященных анализу взаимосвязи между долей исполнительных директоров и финансовой результативность.</w:t>
      </w:r>
      <w:r w:rsidR="00373437">
        <w:t xml:space="preserve"> Авторы работы</w:t>
      </w:r>
      <w:r>
        <w:t xml:space="preserve"> </w:t>
      </w:r>
      <w:bookmarkStart w:id="68" w:name="_Hlk131934089"/>
      <w:r w:rsidR="00816A50" w:rsidRPr="00816A50">
        <w:t>[</w:t>
      </w:r>
      <w:proofErr w:type="spellStart"/>
      <w:r w:rsidR="00816A50" w:rsidRPr="00816A50">
        <w:t>Finegold</w:t>
      </w:r>
      <w:proofErr w:type="spellEnd"/>
      <w:r w:rsidR="008E12D8" w:rsidRPr="008E12D8">
        <w:t xml:space="preserve"> </w:t>
      </w:r>
      <w:r w:rsidR="000C1EC0">
        <w:rPr>
          <w:lang w:val="en-US"/>
        </w:rPr>
        <w:t>et</w:t>
      </w:r>
      <w:r w:rsidR="000C1EC0" w:rsidRPr="008E12D8">
        <w:t xml:space="preserve"> </w:t>
      </w:r>
      <w:r w:rsidR="000C1EC0">
        <w:rPr>
          <w:lang w:val="en-US"/>
        </w:rPr>
        <w:t>al</w:t>
      </w:r>
      <w:r w:rsidR="000C1EC0" w:rsidRPr="008E12D8">
        <w:t>.,</w:t>
      </w:r>
      <w:r w:rsidR="00816A50" w:rsidRPr="00816A50">
        <w:t xml:space="preserve"> 2007</w:t>
      </w:r>
      <w:bookmarkEnd w:id="68"/>
      <w:r w:rsidR="00816A50" w:rsidRPr="00816A50">
        <w:t>]</w:t>
      </w:r>
      <w:r w:rsidR="00816A50">
        <w:t xml:space="preserve"> утверждают, что </w:t>
      </w:r>
      <w:r w:rsidR="00816A50" w:rsidRPr="00816A50">
        <w:t xml:space="preserve">сокращение числа </w:t>
      </w:r>
      <w:r w:rsidR="00816A50">
        <w:t xml:space="preserve">исполнительных директоров </w:t>
      </w:r>
      <w:r w:rsidR="00816A50" w:rsidRPr="00816A50">
        <w:t xml:space="preserve">может </w:t>
      </w:r>
      <w:r w:rsidR="00816A50">
        <w:t xml:space="preserve">негативно отразиться на </w:t>
      </w:r>
      <w:r w:rsidR="00816A50" w:rsidRPr="00816A50">
        <w:t>эффективности фирмы, лишив советы директоров ценных знаний о фирме и отрасли.</w:t>
      </w:r>
      <w:r w:rsidR="00816A50">
        <w:t xml:space="preserve"> </w:t>
      </w:r>
      <w:r w:rsidR="00C50CF3">
        <w:t>Исполнительные директора входят в состав компании и лучше понимают специфику бизнеса, чем независимые директора, поэтому лучше принимают решения</w:t>
      </w:r>
      <w:r w:rsidR="00C50CF3" w:rsidRPr="00F84E82">
        <w:t xml:space="preserve"> [</w:t>
      </w:r>
      <w:bookmarkStart w:id="69" w:name="_Hlk131934098"/>
      <w:proofErr w:type="spellStart"/>
      <w:r w:rsidR="00C50CF3">
        <w:rPr>
          <w:lang w:val="en-US"/>
        </w:rPr>
        <w:t>Sanda</w:t>
      </w:r>
      <w:proofErr w:type="spellEnd"/>
      <w:r w:rsidR="00C50CF3" w:rsidRPr="008E12D8">
        <w:t xml:space="preserve"> </w:t>
      </w:r>
      <w:r w:rsidR="00C50CF3">
        <w:rPr>
          <w:lang w:val="en-US"/>
        </w:rPr>
        <w:t>et</w:t>
      </w:r>
      <w:r w:rsidR="00C50CF3" w:rsidRPr="008E12D8">
        <w:t xml:space="preserve"> </w:t>
      </w:r>
      <w:r w:rsidR="00C50CF3">
        <w:rPr>
          <w:lang w:val="en-US"/>
        </w:rPr>
        <w:t>al</w:t>
      </w:r>
      <w:r w:rsidR="00C50CF3" w:rsidRPr="008E12D8">
        <w:t>.</w:t>
      </w:r>
      <w:r w:rsidR="00C50CF3" w:rsidRPr="00683EE0">
        <w:t>,</w:t>
      </w:r>
      <w:r w:rsidR="00C50CF3" w:rsidRPr="00F84E82">
        <w:t xml:space="preserve"> 201</w:t>
      </w:r>
      <w:bookmarkEnd w:id="69"/>
      <w:r w:rsidR="000067D5" w:rsidRPr="000067D5">
        <w:t>0]</w:t>
      </w:r>
      <w:r w:rsidR="00C50CF3">
        <w:t xml:space="preserve">. </w:t>
      </w:r>
      <w:r w:rsidR="005B508E">
        <w:t xml:space="preserve">Тогда как другие </w:t>
      </w:r>
      <w:r w:rsidR="00F84E82">
        <w:t xml:space="preserve">считают, </w:t>
      </w:r>
      <w:r w:rsidR="00373437">
        <w:t xml:space="preserve">что </w:t>
      </w:r>
      <w:r w:rsidR="00F84E82">
        <w:t>советы директоров с доминирующей долей внешних директоров более эффективны, поскольку они независимы от менеджмента компании, что позволяет им лучше осуществлять функцию контроля</w:t>
      </w:r>
      <w:r w:rsidR="008E12D8" w:rsidRPr="008E12D8">
        <w:t xml:space="preserve"> [</w:t>
      </w:r>
      <w:proofErr w:type="spellStart"/>
      <w:r w:rsidR="008E12D8">
        <w:t>Kwaji</w:t>
      </w:r>
      <w:proofErr w:type="spellEnd"/>
      <w:r w:rsidR="008E12D8" w:rsidRPr="008E12D8">
        <w:t xml:space="preserve"> </w:t>
      </w:r>
      <w:r w:rsidR="008E12D8">
        <w:rPr>
          <w:lang w:val="en-US"/>
        </w:rPr>
        <w:t>et</w:t>
      </w:r>
      <w:r w:rsidR="008E12D8" w:rsidRPr="008E12D8">
        <w:t xml:space="preserve"> </w:t>
      </w:r>
      <w:r w:rsidR="008E12D8">
        <w:rPr>
          <w:lang w:val="en-US"/>
        </w:rPr>
        <w:t>al</w:t>
      </w:r>
      <w:r w:rsidR="008E12D8" w:rsidRPr="008E12D8">
        <w:t>., 2017]</w:t>
      </w:r>
      <w:r w:rsidR="00F84E82">
        <w:t>.</w:t>
      </w:r>
      <w:r w:rsidR="00284F47">
        <w:t xml:space="preserve"> </w:t>
      </w:r>
      <w:r w:rsidR="00683EE0">
        <w:t xml:space="preserve">Авторы научной работы </w:t>
      </w:r>
      <w:r w:rsidR="00683EE0" w:rsidRPr="00683EE0">
        <w:t>[</w:t>
      </w:r>
      <w:r w:rsidR="00683EE0" w:rsidRPr="00683EE0">
        <w:rPr>
          <w:lang w:val="en-US"/>
        </w:rPr>
        <w:t>Upadhyay</w:t>
      </w:r>
      <w:r w:rsidR="00683EE0" w:rsidRPr="00683EE0">
        <w:t xml:space="preserve"> </w:t>
      </w:r>
      <w:r w:rsidR="00683EE0">
        <w:rPr>
          <w:lang w:val="en-US"/>
        </w:rPr>
        <w:t>et</w:t>
      </w:r>
      <w:r w:rsidR="00683EE0" w:rsidRPr="00683EE0">
        <w:t xml:space="preserve"> </w:t>
      </w:r>
      <w:r w:rsidR="00683EE0">
        <w:rPr>
          <w:lang w:val="en-US"/>
        </w:rPr>
        <w:t>al</w:t>
      </w:r>
      <w:r w:rsidR="00683EE0" w:rsidRPr="00683EE0">
        <w:t xml:space="preserve">., 2017] </w:t>
      </w:r>
      <w:r w:rsidR="00683EE0">
        <w:t xml:space="preserve">приходят к выводу, что советы директоров с большей концентрацией исполнительных директоров принимают решения в пользу инвестирования в материальные активы </w:t>
      </w:r>
      <w:r w:rsidR="00B82058">
        <w:t>такие как здания и оборудования</w:t>
      </w:r>
      <w:r w:rsidR="005C425B">
        <w:t>, нежели в нематериальные.</w:t>
      </w:r>
      <w:r w:rsidR="00B82058">
        <w:t xml:space="preserve"> Такая консервативная политика позволяет компаниям работать более эффективно в условиях высокой нестабильности. </w:t>
      </w:r>
    </w:p>
    <w:p w14:paraId="07D225E4" w14:textId="53E52D79" w:rsidR="003B3838" w:rsidRDefault="00C478B7" w:rsidP="00D97FCF">
      <w:pPr>
        <w:pStyle w:val="aff0"/>
      </w:pPr>
      <w:r>
        <w:t xml:space="preserve">Если обратиться к отечественным авторам, то можно выделить </w:t>
      </w:r>
      <w:r w:rsidR="0068154A">
        <w:t xml:space="preserve">Ю. </w:t>
      </w:r>
      <w:proofErr w:type="spellStart"/>
      <w:r w:rsidR="0068154A">
        <w:t>Дуляк</w:t>
      </w:r>
      <w:proofErr w:type="spellEnd"/>
      <w:r>
        <w:t xml:space="preserve">, которая </w:t>
      </w:r>
      <w:r w:rsidR="0068154A">
        <w:t>в своей работе, проведенной по выборке нефинансовых российских компаний в период с 2007 по 2011 год, подтвердила наличие положительной взаимосвязи между</w:t>
      </w:r>
      <w:r w:rsidR="00844631">
        <w:t xml:space="preserve"> долей исполнительных директоров и показател</w:t>
      </w:r>
      <w:r w:rsidR="00373437">
        <w:t>ем</w:t>
      </w:r>
      <w:r w:rsidR="00844631">
        <w:t xml:space="preserve"> экономической добавленной стоимости (</w:t>
      </w:r>
      <w:r w:rsidR="00844631">
        <w:rPr>
          <w:lang w:val="en-US"/>
        </w:rPr>
        <w:t>EVA</w:t>
      </w:r>
      <w:r w:rsidR="00844631" w:rsidRPr="00B2409E">
        <w:t>)</w:t>
      </w:r>
      <w:r w:rsidR="0068154A">
        <w:t>, объясняя полученный результат теорией управляющих, согласно которой исполнительные директора эффективнее управляют компанией</w:t>
      </w:r>
      <w:r w:rsidR="00844631">
        <w:t xml:space="preserve">. Автор также полагает, что такие директора </w:t>
      </w:r>
      <w:r w:rsidR="00844631">
        <w:lastRenderedPageBreak/>
        <w:t>обладают ценными «связями» и «знакомствами», что позволяет им принимать эффективные управленческие решения</w:t>
      </w:r>
      <w:r w:rsidR="0068154A">
        <w:t xml:space="preserve"> </w:t>
      </w:r>
      <w:r w:rsidR="0068154A" w:rsidRPr="0068154A">
        <w:t>[</w:t>
      </w:r>
      <w:proofErr w:type="spellStart"/>
      <w:r w:rsidR="0068154A">
        <w:t>Дуляк</w:t>
      </w:r>
      <w:proofErr w:type="spellEnd"/>
      <w:r w:rsidR="0068154A">
        <w:t>, 2015</w:t>
      </w:r>
      <w:r w:rsidR="0068154A" w:rsidRPr="0068154A">
        <w:t>]</w:t>
      </w:r>
      <w:r w:rsidR="00844631">
        <w:t>.</w:t>
      </w:r>
    </w:p>
    <w:p w14:paraId="5AC9894F" w14:textId="12395946" w:rsidR="00844631" w:rsidRPr="00844631" w:rsidRDefault="00844631" w:rsidP="00D97FCF">
      <w:pPr>
        <w:pStyle w:val="aff0"/>
      </w:pPr>
      <w:r>
        <w:t xml:space="preserve">Ввиду того, что в академическом сообществе данной проблематике уделено мало внимания, в данном исследовании автор будет опираться на теорию управляющих и результаты, полученные в работе Ю. </w:t>
      </w:r>
      <w:proofErr w:type="spellStart"/>
      <w:r>
        <w:t>Дуляк</w:t>
      </w:r>
      <w:proofErr w:type="spellEnd"/>
      <w:r>
        <w:t xml:space="preserve">. Таким образом, была выдвинута следующая гипотеза: </w:t>
      </w:r>
    </w:p>
    <w:p w14:paraId="105330FC" w14:textId="3FD9516E" w:rsidR="00240017" w:rsidRPr="00CD3D38" w:rsidRDefault="003D793B" w:rsidP="00F41A4A">
      <w:pPr>
        <w:pStyle w:val="a0"/>
      </w:pPr>
      <w:r w:rsidRPr="00CD3D38">
        <w:t>Существует</w:t>
      </w:r>
      <w:r w:rsidR="00844631" w:rsidRPr="00CD3D38">
        <w:t xml:space="preserve"> </w:t>
      </w:r>
      <w:r w:rsidR="00844631" w:rsidRPr="00F41A4A">
        <w:t>прямая</w:t>
      </w:r>
      <w:r w:rsidR="00844631" w:rsidRPr="00CD3D38">
        <w:t xml:space="preserve"> </w:t>
      </w:r>
      <w:r w:rsidRPr="00CD3D38">
        <w:t>взаимосвязь между д</w:t>
      </w:r>
      <w:r w:rsidR="00240017" w:rsidRPr="00CD3D38">
        <w:t>ол</w:t>
      </w:r>
      <w:r w:rsidRPr="00CD3D38">
        <w:t>ей</w:t>
      </w:r>
      <w:r w:rsidR="00240017" w:rsidRPr="00CD3D38">
        <w:t xml:space="preserve"> исполнительных директоров </w:t>
      </w:r>
      <w:r w:rsidRPr="00CD3D38">
        <w:t xml:space="preserve">и </w:t>
      </w:r>
      <w:r w:rsidR="00240017" w:rsidRPr="00CD3D38">
        <w:t>финансовыми показателя</w:t>
      </w:r>
      <w:r w:rsidRPr="00CD3D38">
        <w:t xml:space="preserve"> публичных</w:t>
      </w:r>
      <w:r w:rsidR="00240017" w:rsidRPr="00CD3D38">
        <w:t xml:space="preserve"> компаний </w:t>
      </w:r>
      <w:r w:rsidRPr="00CD3D38">
        <w:rPr>
          <w:color w:val="000000" w:themeColor="text1"/>
        </w:rPr>
        <w:t>с государственным участием</w:t>
      </w:r>
    </w:p>
    <w:p w14:paraId="53F8D9CB" w14:textId="741AE77F" w:rsidR="003B3838" w:rsidRDefault="002747A3" w:rsidP="00844631">
      <w:pPr>
        <w:pStyle w:val="3"/>
      </w:pPr>
      <w:bookmarkStart w:id="70" w:name="_Toc136001544"/>
      <w:r>
        <w:t xml:space="preserve">2.2.4 </w:t>
      </w:r>
      <w:r w:rsidR="003B3838">
        <w:t>Гендерное разнообразие</w:t>
      </w:r>
      <w:bookmarkEnd w:id="70"/>
      <w:r w:rsidR="003B3838">
        <w:t xml:space="preserve"> </w:t>
      </w:r>
    </w:p>
    <w:p w14:paraId="2DC5DC1E" w14:textId="3C10C5D0" w:rsidR="00844631" w:rsidRDefault="007222D8" w:rsidP="00D97FCF">
      <w:pPr>
        <w:pStyle w:val="aff0"/>
      </w:pPr>
      <w:r w:rsidRPr="007222D8">
        <w:t>Проблематика гендерного разнообразия в советах директоров заслужила особое место в академической среде</w:t>
      </w:r>
      <w:r w:rsidR="00F10862">
        <w:t xml:space="preserve">. Согласно исследованию консалтингового агентства </w:t>
      </w:r>
      <w:r w:rsidR="00F10862">
        <w:rPr>
          <w:lang w:val="en-US"/>
        </w:rPr>
        <w:t>Spenser</w:t>
      </w:r>
      <w:r w:rsidR="00F10862" w:rsidRPr="00CE49DD">
        <w:t xml:space="preserve"> </w:t>
      </w:r>
      <w:r w:rsidR="00F10862">
        <w:rPr>
          <w:lang w:val="en-US"/>
        </w:rPr>
        <w:t>Stuart</w:t>
      </w:r>
      <w:r w:rsidR="00F10862" w:rsidRPr="00CE49DD">
        <w:t xml:space="preserve"> </w:t>
      </w:r>
      <w:r w:rsidR="00F10862">
        <w:t xml:space="preserve">представленность женщин в составах советов директоров российских компаний является одной из самых низких по сравнению с международной практикой. Тем не менее, </w:t>
      </w:r>
      <w:r w:rsidR="0093090C">
        <w:t xml:space="preserve">в 2020 году </w:t>
      </w:r>
      <w:r w:rsidR="00F10862">
        <w:t>произошли значительные изменения в гендерном разнообразии в советах</w:t>
      </w:r>
      <w:r w:rsidR="0093090C">
        <w:t xml:space="preserve"> директоров исследуемых компаний</w:t>
      </w:r>
      <w:r w:rsidR="00F10862">
        <w:t>: доля женщин – директоров выросла с 8,4% до 10,5%, также в 1,6 раза уменьшился процент компаний, которые не имеют женщин в своих советах директоров (с 37% до 23%).</w:t>
      </w:r>
      <w:r w:rsidR="0093090C">
        <w:t xml:space="preserve"> Более того, выросла в 1,5 раза доля новых директоров-женщин от всех новых назначений в советы директоров в 2020 году по сравнению с предыдущим годом</w:t>
      </w:r>
      <w:r w:rsidR="000D3E57">
        <w:rPr>
          <w:rStyle w:val="ac"/>
        </w:rPr>
        <w:footnoteReference w:id="32"/>
      </w:r>
      <w:r w:rsidR="0093090C">
        <w:t xml:space="preserve">. </w:t>
      </w:r>
    </w:p>
    <w:p w14:paraId="279B9139" w14:textId="198E5291" w:rsidR="007222D8" w:rsidRPr="00A1663B" w:rsidRDefault="00F10862" w:rsidP="00D97FCF">
      <w:pPr>
        <w:pStyle w:val="aff0"/>
      </w:pPr>
      <w:r w:rsidRPr="00F10862">
        <w:t>Несмотря на то, что агентская теория и теория зависимости от ресурсов не дают оснований полагать, что гендерное разнообразие способно влиять на эффективность деятельности совета директоров, существует множество исследований, подтверждающих наличие положительной взаимосвязи между долей женщин в совете директоров и финансовой результативностью компаний.</w:t>
      </w:r>
      <w:r w:rsidR="00172665">
        <w:t xml:space="preserve"> </w:t>
      </w:r>
      <w:r w:rsidR="00DF376D">
        <w:t xml:space="preserve">Авторы отмечают исключительную роль женщин в советах директоров: женщины-директора лучше принимают стратегические решения, способны мыслить шире и оценивать несколько альтернатив, что повышает эффективность работы совета директоров </w:t>
      </w:r>
      <w:r w:rsidR="00DF376D" w:rsidRPr="00DF376D">
        <w:t>[</w:t>
      </w:r>
      <w:bookmarkStart w:id="71" w:name="_Hlk131934143"/>
      <w:r w:rsidR="00DF376D">
        <w:rPr>
          <w:lang w:val="en-US"/>
        </w:rPr>
        <w:t>Bilimoria</w:t>
      </w:r>
      <w:r w:rsidR="00DF376D" w:rsidRPr="00DF376D">
        <w:t>, 2000</w:t>
      </w:r>
      <w:bookmarkEnd w:id="71"/>
      <w:r w:rsidR="00DF376D" w:rsidRPr="00DF376D">
        <w:t>]</w:t>
      </w:r>
      <w:r w:rsidR="00DF376D">
        <w:t xml:space="preserve">; женщины-директора уделяют больше внимания вопросам экологии и корпоративной социальной ответственности </w:t>
      </w:r>
      <w:r w:rsidR="00DF376D" w:rsidRPr="00DF376D">
        <w:t>[</w:t>
      </w:r>
      <w:bookmarkStart w:id="72" w:name="_Hlk131934149"/>
      <w:r w:rsidR="00DF376D" w:rsidRPr="0069307D">
        <w:t xml:space="preserve">Nielsen, </w:t>
      </w:r>
      <w:proofErr w:type="spellStart"/>
      <w:r w:rsidR="00DF376D" w:rsidRPr="0069307D">
        <w:t>Huse</w:t>
      </w:r>
      <w:proofErr w:type="spellEnd"/>
      <w:r w:rsidR="00DF376D" w:rsidRPr="0069307D">
        <w:t>, 2010</w:t>
      </w:r>
      <w:bookmarkEnd w:id="72"/>
      <w:r w:rsidR="00DF376D" w:rsidRPr="00DF376D">
        <w:t>]</w:t>
      </w:r>
      <w:r w:rsidR="00172665">
        <w:t>.</w:t>
      </w:r>
      <w:r w:rsidR="000B00EB" w:rsidRPr="000B00EB">
        <w:t xml:space="preserve"> </w:t>
      </w:r>
      <w:r w:rsidR="000B00EB">
        <w:t xml:space="preserve">Многие зарубежные авторы выявляют значимую положительную взаимосвязь между рассматриваемыми переменными </w:t>
      </w:r>
      <w:r w:rsidR="000B00EB" w:rsidRPr="00A1663B">
        <w:t>[</w:t>
      </w:r>
      <w:proofErr w:type="spellStart"/>
      <w:r w:rsidR="000B00EB" w:rsidRPr="00A1663B">
        <w:rPr>
          <w:lang w:val="en-US"/>
        </w:rPr>
        <w:t>Vafaie</w:t>
      </w:r>
      <w:proofErr w:type="spellEnd"/>
      <w:r w:rsidR="000B00EB" w:rsidRPr="00A1663B">
        <w:t xml:space="preserve"> </w:t>
      </w:r>
      <w:r w:rsidR="000B00EB" w:rsidRPr="00A1663B">
        <w:rPr>
          <w:lang w:val="en-US"/>
        </w:rPr>
        <w:t>et</w:t>
      </w:r>
      <w:r w:rsidR="000B00EB" w:rsidRPr="00A1663B">
        <w:t xml:space="preserve"> </w:t>
      </w:r>
      <w:r w:rsidR="000B00EB" w:rsidRPr="00A1663B">
        <w:rPr>
          <w:lang w:val="en-US"/>
        </w:rPr>
        <w:t>al</w:t>
      </w:r>
      <w:r w:rsidR="000B00EB" w:rsidRPr="00A1663B">
        <w:t>., 2015</w:t>
      </w:r>
      <w:r w:rsidR="00332927" w:rsidRPr="00A1663B">
        <w:t xml:space="preserve">; </w:t>
      </w:r>
      <w:proofErr w:type="spellStart"/>
      <w:r w:rsidR="00332927" w:rsidRPr="00A1663B">
        <w:rPr>
          <w:rFonts w:cs="Times New Roman"/>
          <w:szCs w:val="24"/>
        </w:rPr>
        <w:t>Ararat</w:t>
      </w:r>
      <w:proofErr w:type="spellEnd"/>
      <w:r w:rsidR="00332927" w:rsidRPr="00A1663B">
        <w:rPr>
          <w:color w:val="2E2E2E"/>
        </w:rPr>
        <w:t xml:space="preserve">, </w:t>
      </w:r>
      <w:proofErr w:type="spellStart"/>
      <w:r w:rsidR="00332927" w:rsidRPr="00A1663B">
        <w:rPr>
          <w:rFonts w:cs="Times New Roman"/>
          <w:szCs w:val="24"/>
        </w:rPr>
        <w:t>Yurtoglu</w:t>
      </w:r>
      <w:proofErr w:type="spellEnd"/>
      <w:r w:rsidR="00332927" w:rsidRPr="00A1663B">
        <w:rPr>
          <w:rFonts w:cs="Times New Roman"/>
          <w:szCs w:val="24"/>
        </w:rPr>
        <w:t xml:space="preserve">, 2021; </w:t>
      </w:r>
      <w:r w:rsidR="00332927" w:rsidRPr="00A1663B">
        <w:rPr>
          <w:rFonts w:cs="Times New Roman"/>
          <w:szCs w:val="24"/>
          <w:lang w:val="en-US"/>
        </w:rPr>
        <w:t>Dang</w:t>
      </w:r>
      <w:r w:rsidR="00332927" w:rsidRPr="00A1663B">
        <w:rPr>
          <w:rFonts w:cs="Times New Roman"/>
          <w:szCs w:val="24"/>
        </w:rPr>
        <w:t xml:space="preserve"> </w:t>
      </w:r>
      <w:r w:rsidR="00332927" w:rsidRPr="00A1663B">
        <w:rPr>
          <w:rFonts w:cs="Times New Roman"/>
          <w:szCs w:val="24"/>
          <w:lang w:val="en-US"/>
        </w:rPr>
        <w:t>et</w:t>
      </w:r>
      <w:r w:rsidR="00332927" w:rsidRPr="00A1663B">
        <w:rPr>
          <w:rFonts w:cs="Times New Roman"/>
          <w:szCs w:val="24"/>
        </w:rPr>
        <w:t xml:space="preserve"> </w:t>
      </w:r>
      <w:r w:rsidR="00332927" w:rsidRPr="00A1663B">
        <w:rPr>
          <w:rFonts w:cs="Times New Roman"/>
          <w:szCs w:val="24"/>
          <w:lang w:val="en-US"/>
        </w:rPr>
        <w:t>al</w:t>
      </w:r>
      <w:r w:rsidR="00332927" w:rsidRPr="00A1663B">
        <w:rPr>
          <w:rFonts w:cs="Times New Roman"/>
          <w:szCs w:val="24"/>
        </w:rPr>
        <w:t xml:space="preserve">., 2020; </w:t>
      </w:r>
      <w:proofErr w:type="spellStart"/>
      <w:r w:rsidR="00332927" w:rsidRPr="00A1663B">
        <w:rPr>
          <w:rFonts w:cs="Times New Roman"/>
          <w:szCs w:val="24"/>
          <w:lang w:val="en-US"/>
        </w:rPr>
        <w:t>Alabede</w:t>
      </w:r>
      <w:proofErr w:type="spellEnd"/>
      <w:r w:rsidR="00332927" w:rsidRPr="00A1663B">
        <w:rPr>
          <w:rFonts w:cs="Times New Roman"/>
          <w:szCs w:val="24"/>
        </w:rPr>
        <w:t xml:space="preserve">, 2016; </w:t>
      </w:r>
      <w:proofErr w:type="spellStart"/>
      <w:r w:rsidR="00332927" w:rsidRPr="00A1663B">
        <w:rPr>
          <w:rFonts w:cs="Times New Roman"/>
          <w:szCs w:val="24"/>
        </w:rPr>
        <w:t>Brahma</w:t>
      </w:r>
      <w:proofErr w:type="spellEnd"/>
      <w:r w:rsidR="00332927" w:rsidRPr="00A1663B">
        <w:rPr>
          <w:rFonts w:cs="Times New Roman"/>
          <w:szCs w:val="24"/>
        </w:rPr>
        <w:t xml:space="preserve"> </w:t>
      </w:r>
      <w:r w:rsidR="00332927" w:rsidRPr="00A1663B">
        <w:rPr>
          <w:rFonts w:cs="Times New Roman"/>
          <w:szCs w:val="24"/>
          <w:lang w:val="en-US"/>
        </w:rPr>
        <w:t>et</w:t>
      </w:r>
      <w:r w:rsidR="00332927" w:rsidRPr="00A1663B">
        <w:rPr>
          <w:rFonts w:cs="Times New Roman"/>
          <w:szCs w:val="24"/>
        </w:rPr>
        <w:t xml:space="preserve"> </w:t>
      </w:r>
      <w:r w:rsidR="00332927" w:rsidRPr="00A1663B">
        <w:rPr>
          <w:rFonts w:cs="Times New Roman"/>
          <w:szCs w:val="24"/>
          <w:lang w:val="en-US"/>
        </w:rPr>
        <w:t>al</w:t>
      </w:r>
      <w:r w:rsidR="00332927" w:rsidRPr="00A1663B">
        <w:rPr>
          <w:rFonts w:cs="Times New Roman"/>
          <w:szCs w:val="24"/>
        </w:rPr>
        <w:t>., 2020</w:t>
      </w:r>
      <w:r w:rsidR="000B00EB" w:rsidRPr="00A1663B">
        <w:t>]</w:t>
      </w:r>
      <w:r w:rsidR="005C425B" w:rsidRPr="00A1663B">
        <w:t>. Так, в работе [</w:t>
      </w:r>
      <w:proofErr w:type="spellStart"/>
      <w:r w:rsidR="005C425B" w:rsidRPr="00A1663B">
        <w:rPr>
          <w:lang w:val="en-US"/>
        </w:rPr>
        <w:t>Simionescu</w:t>
      </w:r>
      <w:proofErr w:type="spellEnd"/>
      <w:r w:rsidR="005C425B" w:rsidRPr="00A1663B">
        <w:t xml:space="preserve"> </w:t>
      </w:r>
      <w:r w:rsidR="005C425B" w:rsidRPr="00A1663B">
        <w:rPr>
          <w:lang w:val="en-US"/>
        </w:rPr>
        <w:t>et</w:t>
      </w:r>
      <w:r w:rsidR="005C425B" w:rsidRPr="00A1663B">
        <w:t xml:space="preserve"> </w:t>
      </w:r>
      <w:r w:rsidR="005C425B" w:rsidRPr="00A1663B">
        <w:rPr>
          <w:lang w:val="en-US"/>
        </w:rPr>
        <w:t>al</w:t>
      </w:r>
      <w:r w:rsidR="005C425B" w:rsidRPr="00A1663B">
        <w:t xml:space="preserve">., 2020] не было выявлено статистически значимой взаимосвязи между долей женщин в </w:t>
      </w:r>
      <w:r w:rsidR="005C425B" w:rsidRPr="00A1663B">
        <w:lastRenderedPageBreak/>
        <w:t xml:space="preserve">совете директоров компании из индекса </w:t>
      </w:r>
      <w:r w:rsidR="005C425B" w:rsidRPr="00A1663B">
        <w:rPr>
          <w:lang w:val="en-US"/>
        </w:rPr>
        <w:t>S</w:t>
      </w:r>
      <w:r w:rsidR="005C425B" w:rsidRPr="00A1663B">
        <w:t>&amp;</w:t>
      </w:r>
      <w:r w:rsidR="005C425B" w:rsidRPr="00A1663B">
        <w:rPr>
          <w:lang w:val="en-US"/>
        </w:rPr>
        <w:t>P</w:t>
      </w:r>
      <w:r w:rsidR="005C425B" w:rsidRPr="00A1663B">
        <w:t xml:space="preserve"> 500 и бухгалтерским показателем </w:t>
      </w:r>
      <w:r w:rsidR="005C425B" w:rsidRPr="00A1663B">
        <w:rPr>
          <w:lang w:val="en-US"/>
        </w:rPr>
        <w:t>ROA</w:t>
      </w:r>
      <w:r w:rsidR="005C425B" w:rsidRPr="00A1663B">
        <w:t xml:space="preserve">, однако была обнаружена положительная взаимосвязь с рыночным показателем </w:t>
      </w:r>
      <w:r w:rsidR="005C425B" w:rsidRPr="00A1663B">
        <w:rPr>
          <w:lang w:val="en-US"/>
        </w:rPr>
        <w:t>P</w:t>
      </w:r>
      <w:r w:rsidR="005C425B" w:rsidRPr="00A1663B">
        <w:t>/</w:t>
      </w:r>
      <w:r w:rsidR="005C425B" w:rsidRPr="00A1663B">
        <w:rPr>
          <w:lang w:val="en-US"/>
        </w:rPr>
        <w:t>E</w:t>
      </w:r>
      <w:r w:rsidR="005C425B" w:rsidRPr="00A1663B">
        <w:t xml:space="preserve">. </w:t>
      </w:r>
    </w:p>
    <w:p w14:paraId="313D4B2A" w14:textId="49CDD756" w:rsidR="00172665" w:rsidRPr="00922142" w:rsidRDefault="00172665" w:rsidP="00D97FCF">
      <w:pPr>
        <w:pStyle w:val="aff0"/>
      </w:pPr>
      <w:r>
        <w:t xml:space="preserve">Отечественные авторы выявляют значимую положительную взаимосвязь между гендерным разнообразием и коэффициентом Тобина </w:t>
      </w:r>
      <w:r w:rsidRPr="00227E61">
        <w:t>[</w:t>
      </w:r>
      <w:r w:rsidRPr="00496150">
        <w:t>Березинец, Ильина, Черкасская, 2013</w:t>
      </w:r>
      <w:r w:rsidRPr="00227E61">
        <w:t>]</w:t>
      </w:r>
      <w:r w:rsidRPr="006A5653">
        <w:t>.</w:t>
      </w:r>
      <w:r w:rsidR="00922142">
        <w:t xml:space="preserve"> В работе, посвященной анализу интеллектуального капитала женщин-директоров, не было выявлено значимой взаимосвязи между общей долей женщин в общей численности советов директоров и показателем </w:t>
      </w:r>
      <w:r w:rsidR="00922142">
        <w:rPr>
          <w:lang w:val="en-US"/>
        </w:rPr>
        <w:t>ROA</w:t>
      </w:r>
      <w:r w:rsidR="00922142">
        <w:t xml:space="preserve">, что объясняется их низкой долей и небольшой изменчивостью.  Однако, была обнаружена значимая положительная взаимосвязь между долей женщин – исполнительных директоров и финансовой результативностью компаний </w:t>
      </w:r>
      <w:r w:rsidR="00922142" w:rsidRPr="0069307D">
        <w:t>[Березинец, Гаранина, Ильина, 2017].</w:t>
      </w:r>
    </w:p>
    <w:p w14:paraId="56ED94A4" w14:textId="1BB69CD9" w:rsidR="00172665" w:rsidRPr="004843A9" w:rsidRDefault="00172665" w:rsidP="00D97FCF">
      <w:pPr>
        <w:pStyle w:val="aff0"/>
      </w:pPr>
      <w:r>
        <w:t xml:space="preserve">Тем не менее, существует ряд исследователей, которым не удалось выявить значимой взаимосвязи между рассматриваемой характеристикой совета директоров и финансовыми показателями компаний </w:t>
      </w:r>
      <w:r w:rsidRPr="00172665">
        <w:t>[</w:t>
      </w:r>
      <w:bookmarkStart w:id="73" w:name="_Hlk131934160"/>
      <w:r w:rsidR="004843A9">
        <w:t>Разумова, Иванова, 2020</w:t>
      </w:r>
      <w:bookmarkEnd w:id="73"/>
      <w:r w:rsidR="000B00EB" w:rsidRPr="000B00EB">
        <w:t xml:space="preserve">; </w:t>
      </w:r>
      <w:r w:rsidR="000B00EB">
        <w:rPr>
          <w:lang w:val="en-US"/>
        </w:rPr>
        <w:t>Carter</w:t>
      </w:r>
      <w:r w:rsidR="000B00EB" w:rsidRPr="000B00EB">
        <w:t xml:space="preserve"> </w:t>
      </w:r>
      <w:r w:rsidR="000B00EB">
        <w:rPr>
          <w:lang w:val="en-US"/>
        </w:rPr>
        <w:t>et</w:t>
      </w:r>
      <w:r w:rsidR="000B00EB" w:rsidRPr="000B00EB">
        <w:t xml:space="preserve"> </w:t>
      </w:r>
      <w:r w:rsidR="000B00EB">
        <w:rPr>
          <w:lang w:val="en-US"/>
        </w:rPr>
        <w:t>al</w:t>
      </w:r>
      <w:r w:rsidR="000B00EB" w:rsidRPr="000B00EB">
        <w:t>., 2010</w:t>
      </w:r>
      <w:r w:rsidR="004843A9" w:rsidRPr="004843A9">
        <w:t xml:space="preserve">]. </w:t>
      </w:r>
      <w:r w:rsidR="004843A9">
        <w:t xml:space="preserve">Некоторым научным деятелям удалось обнаружить обратную взаимосвязь </w:t>
      </w:r>
      <w:r w:rsidR="004843A9" w:rsidRPr="004843A9">
        <w:t>[</w:t>
      </w:r>
      <w:bookmarkStart w:id="74" w:name="_Hlk131934171"/>
      <w:proofErr w:type="spellStart"/>
      <w:r w:rsidR="004843A9" w:rsidRPr="004843A9">
        <w:t>Naseem</w:t>
      </w:r>
      <w:proofErr w:type="spellEnd"/>
      <w:r w:rsidR="00FF0409">
        <w:t xml:space="preserve"> </w:t>
      </w:r>
      <w:r w:rsidR="00FF0409">
        <w:rPr>
          <w:lang w:val="en-US"/>
        </w:rPr>
        <w:t>et</w:t>
      </w:r>
      <w:r w:rsidR="00FF0409" w:rsidRPr="00FF0409">
        <w:t xml:space="preserve"> </w:t>
      </w:r>
      <w:r w:rsidR="00FF0409">
        <w:rPr>
          <w:lang w:val="en-US"/>
        </w:rPr>
        <w:t>al</w:t>
      </w:r>
      <w:r w:rsidR="00FF0409" w:rsidRPr="00FF0409">
        <w:t xml:space="preserve">., </w:t>
      </w:r>
      <w:r w:rsidR="004843A9" w:rsidRPr="004843A9">
        <w:t>2017</w:t>
      </w:r>
      <w:bookmarkEnd w:id="74"/>
      <w:r w:rsidR="004843A9" w:rsidRPr="004843A9">
        <w:t>]</w:t>
      </w:r>
      <w:r w:rsidR="00FC502E">
        <w:t xml:space="preserve">. </w:t>
      </w:r>
    </w:p>
    <w:p w14:paraId="7412A307" w14:textId="13B08C4A" w:rsidR="00D201A1" w:rsidRPr="00D201A1" w:rsidRDefault="00FC502E" w:rsidP="00D97FCF">
      <w:pPr>
        <w:pStyle w:val="aff0"/>
      </w:pPr>
      <w:r>
        <w:t xml:space="preserve">В данной работе </w:t>
      </w:r>
      <w:r w:rsidR="006C5750">
        <w:t xml:space="preserve">выдвинута </w:t>
      </w:r>
      <w:r>
        <w:t xml:space="preserve">следующая гипотеза: </w:t>
      </w:r>
    </w:p>
    <w:p w14:paraId="65E40A1C" w14:textId="5D28C725" w:rsidR="003B3838" w:rsidRPr="00CD3D38" w:rsidRDefault="003D793B" w:rsidP="00F41A4A">
      <w:pPr>
        <w:pStyle w:val="a0"/>
      </w:pPr>
      <w:r w:rsidRPr="00CD3D38">
        <w:rPr>
          <w:color w:val="000000" w:themeColor="text1"/>
        </w:rPr>
        <w:t>Существует</w:t>
      </w:r>
      <w:r w:rsidRPr="00CD3D38">
        <w:rPr>
          <w:color w:val="FF0000"/>
        </w:rPr>
        <w:t xml:space="preserve"> </w:t>
      </w:r>
      <w:r w:rsidR="00240017" w:rsidRPr="00CD3D38">
        <w:t xml:space="preserve">положительная взаимосвязь между долей женщин-директоров в </w:t>
      </w:r>
      <w:r w:rsidRPr="00CD3D38">
        <w:t>С</w:t>
      </w:r>
      <w:r w:rsidR="00240017" w:rsidRPr="00CD3D38">
        <w:t>овета</w:t>
      </w:r>
      <w:r w:rsidRPr="00CD3D38">
        <w:t>х</w:t>
      </w:r>
      <w:r w:rsidR="00240017" w:rsidRPr="00CD3D38">
        <w:t xml:space="preserve"> и финансовой результативностью </w:t>
      </w:r>
      <w:r w:rsidRPr="00CD3D38">
        <w:t xml:space="preserve">публичных компаний </w:t>
      </w:r>
      <w:r w:rsidRPr="00CD3D38">
        <w:rPr>
          <w:color w:val="000000" w:themeColor="text1"/>
        </w:rPr>
        <w:t>с государственным участием</w:t>
      </w:r>
    </w:p>
    <w:p w14:paraId="30223C9C" w14:textId="7C035028" w:rsidR="003B3838" w:rsidRDefault="002747A3" w:rsidP="00FC502E">
      <w:pPr>
        <w:pStyle w:val="3"/>
      </w:pPr>
      <w:bookmarkStart w:id="75" w:name="_Toc136001545"/>
      <w:r>
        <w:t xml:space="preserve">2.2.5 </w:t>
      </w:r>
      <w:r w:rsidR="00FC502E">
        <w:t>Государственные</w:t>
      </w:r>
      <w:r w:rsidR="003B3838">
        <w:t xml:space="preserve"> служащие</w:t>
      </w:r>
      <w:bookmarkEnd w:id="75"/>
      <w:r w:rsidR="003B3838">
        <w:t xml:space="preserve"> </w:t>
      </w:r>
    </w:p>
    <w:p w14:paraId="32E8D3CC" w14:textId="78D05C55" w:rsidR="0031187A" w:rsidRPr="007972E4" w:rsidRDefault="00BC7728" w:rsidP="00D97FCF">
      <w:pPr>
        <w:pStyle w:val="aff0"/>
      </w:pPr>
      <w:r>
        <w:t xml:space="preserve">Взаимосвязь доли директоров </w:t>
      </w:r>
      <w:r w:rsidR="006C5750">
        <w:t xml:space="preserve">с опытом работы </w:t>
      </w:r>
      <w:r w:rsidR="006C5750" w:rsidRPr="002E248A">
        <w:rPr>
          <w:color w:val="000000" w:themeColor="text1"/>
        </w:rPr>
        <w:t>в органах госвласти</w:t>
      </w:r>
      <w:r w:rsidR="006C5750">
        <w:t xml:space="preserve"> </w:t>
      </w:r>
      <w:r>
        <w:t xml:space="preserve">и финансовой результативности компаний является еще одним часто анализируемым показателем в академической среде.  </w:t>
      </w:r>
      <w:r w:rsidR="00A336EB" w:rsidRPr="00A336EB">
        <w:t xml:space="preserve">С точки зрения ресурсной концепции, директора с опытом работы в органах государственной власти </w:t>
      </w:r>
      <w:r w:rsidR="00A336EB">
        <w:t>могут привносить в компанию дополнительные конкурентные преимущества, так как такие директора имею прямые связи с государством и в большей степени осведомлены о функционировании национальной экономики [</w:t>
      </w:r>
      <w:bookmarkStart w:id="76" w:name="_Hlk131934180"/>
      <w:proofErr w:type="spellStart"/>
      <w:r w:rsidR="00A336EB" w:rsidRPr="003A10F7">
        <w:t>Zhang</w:t>
      </w:r>
      <w:proofErr w:type="spellEnd"/>
      <w:r w:rsidR="00A336EB" w:rsidRPr="003A10F7">
        <w:t xml:space="preserve">, </w:t>
      </w:r>
      <w:proofErr w:type="spellStart"/>
      <w:r w:rsidR="00A336EB" w:rsidRPr="003A10F7">
        <w:t>Truong</w:t>
      </w:r>
      <w:proofErr w:type="spellEnd"/>
      <w:r w:rsidR="00A336EB" w:rsidRPr="003A10F7">
        <w:t>, 2019</w:t>
      </w:r>
      <w:bookmarkEnd w:id="76"/>
      <w:r w:rsidR="00A336EB" w:rsidRPr="003A10F7">
        <w:t>]</w:t>
      </w:r>
      <w:r w:rsidR="00A336EB">
        <w:t>.</w:t>
      </w:r>
      <w:r w:rsidR="007972E4" w:rsidRPr="007972E4">
        <w:t xml:space="preserve"> </w:t>
      </w:r>
      <w:r w:rsidR="007972E4">
        <w:t xml:space="preserve">Так, автор научной работы </w:t>
      </w:r>
      <w:r w:rsidR="007972E4" w:rsidRPr="007972E4">
        <w:t>[</w:t>
      </w:r>
      <w:proofErr w:type="spellStart"/>
      <w:r w:rsidR="007972E4" w:rsidRPr="007972E4">
        <w:t>Hillman</w:t>
      </w:r>
      <w:proofErr w:type="spellEnd"/>
      <w:r w:rsidR="007972E4" w:rsidRPr="007972E4">
        <w:t xml:space="preserve">, 2005] </w:t>
      </w:r>
      <w:r w:rsidR="007972E4">
        <w:t>отмечает, что одним из способ</w:t>
      </w:r>
      <w:r w:rsidR="00FF0409">
        <w:t xml:space="preserve">ов </w:t>
      </w:r>
      <w:r w:rsidR="007972E4">
        <w:t xml:space="preserve">связать компанию с государством, которое является источником неопределенности для компании, является назначение бывших государственных служителей членами совета директоров.  Кроме того, </w:t>
      </w:r>
      <w:r w:rsidR="00163982">
        <w:t xml:space="preserve">автору </w:t>
      </w:r>
      <w:r w:rsidR="007972E4">
        <w:t xml:space="preserve">удается выявить положительную взаимосвязь между долей государственных служителей в Советах и финансовой результативностью </w:t>
      </w:r>
      <w:r w:rsidR="00163982">
        <w:t>компаний,</w:t>
      </w:r>
      <w:r w:rsidR="007972E4">
        <w:t xml:space="preserve"> и эта связь наиболее выражена в отраслях</w:t>
      </w:r>
      <w:r w:rsidR="00163982">
        <w:t xml:space="preserve"> в большей степени</w:t>
      </w:r>
      <w:r w:rsidR="007972E4">
        <w:t xml:space="preserve"> регулирующихся государством. </w:t>
      </w:r>
    </w:p>
    <w:p w14:paraId="26F3435C" w14:textId="7BC8592D" w:rsidR="003A10F7" w:rsidRPr="003A10F7" w:rsidRDefault="00163982" w:rsidP="00D97FCF">
      <w:pPr>
        <w:pStyle w:val="aff0"/>
      </w:pPr>
      <w:r>
        <w:t>Тем не менее, и</w:t>
      </w:r>
      <w:r w:rsidR="003A10F7" w:rsidRPr="003A10F7">
        <w:t xml:space="preserve">сследование, проведенное на выборке из китайских компаний, показало, что рынок не видит особых преимуществ в найме в совет директоров членов с опытом службы в государственных органах власти. По мнению авторов, это связано с тем, </w:t>
      </w:r>
      <w:r w:rsidR="003A10F7" w:rsidRPr="003A10F7">
        <w:lastRenderedPageBreak/>
        <w:t xml:space="preserve">что директора с </w:t>
      </w:r>
      <w:r w:rsidR="002E248A">
        <w:t xml:space="preserve">подобным опытом </w:t>
      </w:r>
      <w:r w:rsidR="003A10F7" w:rsidRPr="003A10F7">
        <w:t xml:space="preserve">часто уклоняются от своих обязанностей как членов советов директоров, о чем свидетельствует их низкая посещаемость заседаний. Однако если компания тесно связана с государством, то привлечение </w:t>
      </w:r>
      <w:r w:rsidR="002E248A">
        <w:t xml:space="preserve">таких </w:t>
      </w:r>
      <w:r w:rsidR="003A10F7" w:rsidRPr="003A10F7">
        <w:t>директоров</w:t>
      </w:r>
      <w:r w:rsidR="002E2993">
        <w:t xml:space="preserve"> </w:t>
      </w:r>
      <w:r w:rsidR="003A10F7" w:rsidRPr="003A10F7">
        <w:t>положительно отразиться на ее положении на рынке</w:t>
      </w:r>
      <w:r w:rsidR="00A336EB">
        <w:t xml:space="preserve"> </w:t>
      </w:r>
      <w:r w:rsidR="00C52653">
        <w:t>[</w:t>
      </w:r>
      <w:proofErr w:type="spellStart"/>
      <w:r w:rsidR="003A10F7" w:rsidRPr="003A10F7">
        <w:t>Zhang</w:t>
      </w:r>
      <w:proofErr w:type="spellEnd"/>
      <w:r w:rsidR="003A10F7" w:rsidRPr="003A10F7">
        <w:t xml:space="preserve">, </w:t>
      </w:r>
      <w:proofErr w:type="spellStart"/>
      <w:r w:rsidR="003A10F7" w:rsidRPr="003A10F7">
        <w:t>Truong</w:t>
      </w:r>
      <w:proofErr w:type="spellEnd"/>
      <w:r w:rsidR="003A10F7" w:rsidRPr="003A10F7">
        <w:t>, 2019]</w:t>
      </w:r>
      <w:r w:rsidR="00F8510E">
        <w:t>.</w:t>
      </w:r>
    </w:p>
    <w:p w14:paraId="3A97BE5F" w14:textId="4DDB6E63" w:rsidR="00165798" w:rsidRDefault="0031187A" w:rsidP="00D97FCF">
      <w:pPr>
        <w:pStyle w:val="aff0"/>
      </w:pPr>
      <w:r>
        <w:t xml:space="preserve">В работе </w:t>
      </w:r>
      <w:r w:rsidRPr="00190D93">
        <w:t>[</w:t>
      </w:r>
      <w:r>
        <w:t>Березинец, Ильина, Смирнов, 2016</w:t>
      </w:r>
      <w:r w:rsidRPr="00190D93">
        <w:t>]</w:t>
      </w:r>
      <w:r>
        <w:t xml:space="preserve">, посвященной исследованию советов директоров компаний с госучастием, было отмечено, что доля </w:t>
      </w:r>
      <w:r w:rsidR="00080173">
        <w:t>государственных</w:t>
      </w:r>
      <w:r>
        <w:t xml:space="preserve"> служащих на конец 2009 года </w:t>
      </w:r>
      <w:r w:rsidR="00080173">
        <w:t xml:space="preserve">составляла 55% и этот показатель снижался в течение 4 лет и в 2012 году достиг 40%. </w:t>
      </w:r>
      <w:r w:rsidR="00373437">
        <w:t>Авторы другой статьи</w:t>
      </w:r>
      <w:r w:rsidR="00373437" w:rsidRPr="00165798">
        <w:t xml:space="preserve"> [</w:t>
      </w:r>
      <w:proofErr w:type="spellStart"/>
      <w:r w:rsidR="00165798" w:rsidRPr="0068154A">
        <w:t>Амбарднишвили</w:t>
      </w:r>
      <w:proofErr w:type="spellEnd"/>
      <w:r w:rsidR="00165798" w:rsidRPr="0068154A">
        <w:t xml:space="preserve">, </w:t>
      </w:r>
      <w:r w:rsidR="00165798">
        <w:t>Березинец, Ильина, Смирнов</w:t>
      </w:r>
      <w:r w:rsidR="00165798" w:rsidRPr="0068154A">
        <w:t>, 2017</w:t>
      </w:r>
      <w:r w:rsidR="00165798" w:rsidRPr="00165798">
        <w:t xml:space="preserve">] </w:t>
      </w:r>
      <w:r w:rsidR="00165798">
        <w:t>проводя описательную статистику данных, выявили, что средняя доля государственных служащих в советах директоров российских компаний находится на уровне 49%.  Причем для компаний с долей участия государства более 50% эта соотношение составляет около 60%, а для фирм с меньшей долей участия государства доля таких директоров не превышает 25%. В динамике доля директоров с</w:t>
      </w:r>
      <w:r w:rsidR="002E2993">
        <w:t xml:space="preserve"> опытом работы в органах госвласти сокращалась</w:t>
      </w:r>
      <w:r w:rsidR="004A5580">
        <w:t>.</w:t>
      </w:r>
      <w:r w:rsidR="00165798">
        <w:t xml:space="preserve"> </w:t>
      </w:r>
    </w:p>
    <w:p w14:paraId="490A13E1" w14:textId="1A00005E" w:rsidR="0031187A" w:rsidRPr="00DD52B9" w:rsidRDefault="00373437" w:rsidP="00D97FCF">
      <w:pPr>
        <w:pStyle w:val="aff0"/>
        <w:rPr>
          <w:color w:val="000000" w:themeColor="text1"/>
        </w:rPr>
      </w:pPr>
      <w:r w:rsidRPr="00DD52B9">
        <w:rPr>
          <w:color w:val="000000" w:themeColor="text1"/>
          <w:lang w:val="en-US"/>
        </w:rPr>
        <w:t>M</w:t>
      </w:r>
      <w:r w:rsidRPr="00DD52B9">
        <w:rPr>
          <w:color w:val="000000" w:themeColor="text1"/>
        </w:rPr>
        <w:t>. З</w:t>
      </w:r>
      <w:r w:rsidR="00471F06">
        <w:rPr>
          <w:color w:val="000000" w:themeColor="text1"/>
        </w:rPr>
        <w:t>а</w:t>
      </w:r>
      <w:r w:rsidRPr="00DD52B9">
        <w:rPr>
          <w:color w:val="000000" w:themeColor="text1"/>
        </w:rPr>
        <w:t xml:space="preserve">вертяева и П. Попова </w:t>
      </w:r>
      <w:r w:rsidR="00F8510E" w:rsidRPr="00DD52B9">
        <w:rPr>
          <w:color w:val="000000" w:themeColor="text1"/>
        </w:rPr>
        <w:t>в своей статье</w:t>
      </w:r>
      <w:r w:rsidRPr="00DD52B9">
        <w:rPr>
          <w:color w:val="000000" w:themeColor="text1"/>
        </w:rPr>
        <w:t xml:space="preserve"> [</w:t>
      </w:r>
      <w:bookmarkStart w:id="77" w:name="_Hlk131934200"/>
      <w:r w:rsidRPr="00DD52B9">
        <w:rPr>
          <w:color w:val="000000" w:themeColor="text1"/>
        </w:rPr>
        <w:t>З</w:t>
      </w:r>
      <w:r w:rsidR="00471F06">
        <w:rPr>
          <w:color w:val="000000" w:themeColor="text1"/>
        </w:rPr>
        <w:t>а</w:t>
      </w:r>
      <w:r w:rsidRPr="00DD52B9">
        <w:rPr>
          <w:color w:val="000000" w:themeColor="text1"/>
        </w:rPr>
        <w:t>вертяева, Попова, 2021</w:t>
      </w:r>
      <w:bookmarkEnd w:id="77"/>
      <w:r w:rsidRPr="00DD52B9">
        <w:rPr>
          <w:color w:val="000000" w:themeColor="text1"/>
        </w:rPr>
        <w:t>]</w:t>
      </w:r>
      <w:r w:rsidR="00474B2F">
        <w:rPr>
          <w:color w:val="000000" w:themeColor="text1"/>
        </w:rPr>
        <w:t xml:space="preserve"> </w:t>
      </w:r>
      <w:r w:rsidR="00F8510E" w:rsidRPr="00DD52B9">
        <w:rPr>
          <w:color w:val="000000" w:themeColor="text1"/>
        </w:rPr>
        <w:t>примен</w:t>
      </w:r>
      <w:r w:rsidR="00474B2F">
        <w:rPr>
          <w:color w:val="000000" w:themeColor="text1"/>
        </w:rPr>
        <w:t>или</w:t>
      </w:r>
      <w:r w:rsidR="00F8510E" w:rsidRPr="00DD52B9">
        <w:rPr>
          <w:color w:val="000000" w:themeColor="text1"/>
        </w:rPr>
        <w:t xml:space="preserve"> инструментарий сетевого анализа</w:t>
      </w:r>
      <w:r w:rsidR="00DD52B9" w:rsidRPr="00DD52B9">
        <w:rPr>
          <w:color w:val="000000" w:themeColor="text1"/>
        </w:rPr>
        <w:t xml:space="preserve"> для изучения положения </w:t>
      </w:r>
      <w:r w:rsidR="00DD52B9">
        <w:rPr>
          <w:color w:val="000000" w:themeColor="text1"/>
        </w:rPr>
        <w:t xml:space="preserve">компании </w:t>
      </w:r>
      <w:r w:rsidR="00DD52B9" w:rsidRPr="00DD52B9">
        <w:rPr>
          <w:color w:val="000000" w:themeColor="text1"/>
        </w:rPr>
        <w:t>в сети, сформированной за счет формальных связей между членами советов директоров.</w:t>
      </w:r>
      <w:r w:rsidR="00DD52B9">
        <w:rPr>
          <w:color w:val="000000" w:themeColor="text1"/>
        </w:rPr>
        <w:t xml:space="preserve"> Кроме выявленных результатов по связанности членов Советов, а</w:t>
      </w:r>
      <w:r w:rsidR="00DD52B9" w:rsidRPr="00DD52B9">
        <w:rPr>
          <w:color w:val="000000" w:themeColor="text1"/>
        </w:rPr>
        <w:t xml:space="preserve">вторы </w:t>
      </w:r>
      <w:r w:rsidR="00DD52B9">
        <w:rPr>
          <w:color w:val="000000" w:themeColor="text1"/>
        </w:rPr>
        <w:t xml:space="preserve">работы </w:t>
      </w:r>
      <w:r w:rsidR="00F8510E" w:rsidRPr="00DD52B9">
        <w:rPr>
          <w:color w:val="000000" w:themeColor="text1"/>
        </w:rPr>
        <w:t xml:space="preserve">обнаружили обратную взаимосвязь между долей директоров, имеющих опыт в органах государственной власти, и коэффициентом Тобина. </w:t>
      </w:r>
    </w:p>
    <w:p w14:paraId="6F219930" w14:textId="3D3F9E3D" w:rsidR="00C52653" w:rsidRPr="000200FD" w:rsidRDefault="00373437" w:rsidP="00D97FCF">
      <w:pPr>
        <w:pStyle w:val="aff0"/>
      </w:pPr>
      <w:r>
        <w:t xml:space="preserve">Ю. </w:t>
      </w:r>
      <w:proofErr w:type="spellStart"/>
      <w:r>
        <w:t>Дуляк</w:t>
      </w:r>
      <w:proofErr w:type="spellEnd"/>
      <w:r>
        <w:t xml:space="preserve"> </w:t>
      </w:r>
      <w:r w:rsidR="00C52653" w:rsidRPr="00C52653">
        <w:t>[</w:t>
      </w:r>
      <w:proofErr w:type="spellStart"/>
      <w:r w:rsidR="00C52653">
        <w:t>Дуляк</w:t>
      </w:r>
      <w:proofErr w:type="spellEnd"/>
      <w:r w:rsidR="00C52653">
        <w:t>, 2015</w:t>
      </w:r>
      <w:r w:rsidR="00C52653" w:rsidRPr="00C52653">
        <w:t xml:space="preserve">] </w:t>
      </w:r>
      <w:r w:rsidR="00C52653">
        <w:t xml:space="preserve">исследует наличие взаимосвязи между долей директоров, имеющий опыт работы в федеральных/местных органах власти и показателем экономической добавленной стоимости. Несмотря на то, что автор отмечает преимущество политических связей у членов советов директоров в странах с развивающейся экономикой, так как это позволяет компаниям получать доступ к уникальным ресурсам в первую очередь, значимой взаимосвязи не удалось выявить. </w:t>
      </w:r>
      <w:r w:rsidR="000200FD">
        <w:t xml:space="preserve">Отсутствие влияния может быть связано с тем, что присутствие таких директоров в большей степени формирует негативный образ компании, ввиду более консервативного взгляда у директоров с политическими связями, а также ассоциацией с бюрократией и коррупцией. Кроме того, польза, которую они приносят с точки зрения ресурсной теории, нивелируется за счет высокой платы за доступ к необходимым ресурсам. </w:t>
      </w:r>
    </w:p>
    <w:p w14:paraId="5E322E07" w14:textId="7702B976" w:rsidR="002103E1" w:rsidRDefault="00BC7728" w:rsidP="00D97FCF">
      <w:pPr>
        <w:pStyle w:val="aff0"/>
      </w:pPr>
      <w:r>
        <w:t xml:space="preserve">На основе изученной литературы, в данной работе будет выдвинута следующая гипотеза: </w:t>
      </w:r>
    </w:p>
    <w:p w14:paraId="05ED416F" w14:textId="1FAA37D9" w:rsidR="00240017" w:rsidRPr="00CD3D38" w:rsidRDefault="00240017" w:rsidP="00F41A4A">
      <w:pPr>
        <w:pStyle w:val="a0"/>
        <w:rPr>
          <w:i w:val="0"/>
          <w:iCs w:val="0"/>
        </w:rPr>
      </w:pPr>
      <w:bookmarkStart w:id="78" w:name="_Ref131877969"/>
      <w:r w:rsidRPr="00CD3D38">
        <w:t xml:space="preserve">Существует </w:t>
      </w:r>
      <w:r w:rsidR="00163982">
        <w:t>прямая</w:t>
      </w:r>
      <w:r w:rsidR="00BC7728" w:rsidRPr="00CD3D38">
        <w:t xml:space="preserve"> </w:t>
      </w:r>
      <w:r w:rsidRPr="00CD3D38">
        <w:t>взаимосвязь между долей директоров, имеющих опыт службы в гос</w:t>
      </w:r>
      <w:r w:rsidR="003D793B" w:rsidRPr="00CD3D38">
        <w:t>ударственных органах</w:t>
      </w:r>
      <w:r w:rsidRPr="00CD3D38">
        <w:t xml:space="preserve"> власти, и финансовой результативностью </w:t>
      </w:r>
      <w:r w:rsidR="003D793B" w:rsidRPr="00CD3D38">
        <w:t>публичных компаний с государственным участием</w:t>
      </w:r>
      <w:bookmarkEnd w:id="78"/>
    </w:p>
    <w:p w14:paraId="2CEAE3D3" w14:textId="182E9AD0" w:rsidR="00BC7728" w:rsidRDefault="002747A3" w:rsidP="00BC7728">
      <w:pPr>
        <w:pStyle w:val="3"/>
      </w:pPr>
      <w:bookmarkStart w:id="79" w:name="_Toc136001546"/>
      <w:r>
        <w:lastRenderedPageBreak/>
        <w:t xml:space="preserve">2.2.6 </w:t>
      </w:r>
      <w:r w:rsidR="00BC7728">
        <w:t>Множественность директорский позиций</w:t>
      </w:r>
      <w:bookmarkEnd w:id="79"/>
      <w:r w:rsidR="00BC7728">
        <w:t xml:space="preserve"> </w:t>
      </w:r>
    </w:p>
    <w:p w14:paraId="73B12422" w14:textId="5ADE2530" w:rsidR="00BC7728" w:rsidRDefault="004518A1" w:rsidP="00D97FCF">
      <w:pPr>
        <w:pStyle w:val="aff0"/>
      </w:pPr>
      <w:r w:rsidRPr="004518A1">
        <w:t>Проблематике «занятости» директоров, означающ</w:t>
      </w:r>
      <w:r w:rsidR="000B6DB4">
        <w:t>ей</w:t>
      </w:r>
      <w:r w:rsidRPr="004518A1">
        <w:t xml:space="preserve"> совмещение директорских позиций в разных организациях, посвящено множество научных исследований. </w:t>
      </w:r>
      <w:r>
        <w:t xml:space="preserve">Некоторые исследователи приходят к негативному влиянию «занятости» директоров на благосостояние акционеров, поэтому в ряде компаний могут вноситься ограничения на занятие </w:t>
      </w:r>
      <w:r w:rsidR="000036E8">
        <w:t xml:space="preserve">членами совета директоров директорских позиций в других компаниях </w:t>
      </w:r>
      <w:r w:rsidR="000036E8" w:rsidRPr="000036E8">
        <w:t>[</w:t>
      </w:r>
      <w:bookmarkStart w:id="80" w:name="_Hlk131934215"/>
      <w:proofErr w:type="spellStart"/>
      <w:r w:rsidR="000036E8">
        <w:rPr>
          <w:lang w:val="en-US"/>
        </w:rPr>
        <w:t>Falato</w:t>
      </w:r>
      <w:proofErr w:type="spellEnd"/>
      <w:r w:rsidR="000036E8" w:rsidRPr="000036E8">
        <w:t xml:space="preserve">, </w:t>
      </w:r>
      <w:proofErr w:type="spellStart"/>
      <w:r w:rsidR="000036E8">
        <w:rPr>
          <w:lang w:val="en-US"/>
        </w:rPr>
        <w:t>Kadyrzhanova</w:t>
      </w:r>
      <w:proofErr w:type="spellEnd"/>
      <w:r w:rsidR="000036E8" w:rsidRPr="000036E8">
        <w:t xml:space="preserve">, </w:t>
      </w:r>
      <w:proofErr w:type="spellStart"/>
      <w:r w:rsidR="000036E8">
        <w:rPr>
          <w:lang w:val="en-US"/>
        </w:rPr>
        <w:t>Lel</w:t>
      </w:r>
      <w:proofErr w:type="spellEnd"/>
      <w:r w:rsidR="000036E8" w:rsidRPr="000036E8">
        <w:t>, 2014</w:t>
      </w:r>
      <w:bookmarkEnd w:id="80"/>
      <w:r w:rsidR="000036E8" w:rsidRPr="000036E8">
        <w:t xml:space="preserve">]. </w:t>
      </w:r>
      <w:r w:rsidR="000036E8">
        <w:t xml:space="preserve">Кодекс корпоративного управления не имеет конкретных регламентов о допускаемом количестве занимаемых директорских позиций, однако члены совета директоров обязаны иметь достаточно времени для выполнения своих обязанностей. </w:t>
      </w:r>
    </w:p>
    <w:p w14:paraId="547A3189" w14:textId="085AE49F" w:rsidR="006138CF" w:rsidRDefault="00A37B9D" w:rsidP="00D97FCF">
      <w:pPr>
        <w:pStyle w:val="aff0"/>
      </w:pPr>
      <w:r>
        <w:t xml:space="preserve">С проблематикой множественности директорских позиций связано две ключевых гипотезы: гипотеза репутации и гипотеза занятости. </w:t>
      </w:r>
      <w:r w:rsidR="000036E8">
        <w:t xml:space="preserve">С точки зрения гипотезы репутации, директора, которые более эффективно осуществляют первостепенную функцию с позиции агентской теории – мониторинг менеджеров, имеют </w:t>
      </w:r>
      <w:r w:rsidR="00AD77DE">
        <w:t>высокую репутацию на рынке и их приглашают в другие советы директоров</w:t>
      </w:r>
      <w:r w:rsidR="00AD77DE" w:rsidRPr="00AD77DE">
        <w:t xml:space="preserve"> [</w:t>
      </w:r>
      <w:proofErr w:type="spellStart"/>
      <w:r w:rsidR="00AD77DE">
        <w:rPr>
          <w:lang w:val="en-US"/>
        </w:rPr>
        <w:t>Fama</w:t>
      </w:r>
      <w:proofErr w:type="spellEnd"/>
      <w:r w:rsidR="00AD77DE" w:rsidRPr="00AD77DE">
        <w:t xml:space="preserve">, </w:t>
      </w:r>
      <w:r w:rsidR="00AD77DE">
        <w:rPr>
          <w:lang w:val="en-US"/>
        </w:rPr>
        <w:t>Jensen</w:t>
      </w:r>
      <w:r w:rsidR="00AD77DE" w:rsidRPr="00AD77DE">
        <w:t xml:space="preserve">, 1983]. </w:t>
      </w:r>
      <w:r w:rsidR="000036E8">
        <w:t xml:space="preserve"> </w:t>
      </w:r>
      <w:r w:rsidR="00AD77DE">
        <w:t xml:space="preserve">Совмещение позиций может означать, что компания, в которой ранее работал директоров, показала высокие финансовые результаты и это повлияло на </w:t>
      </w:r>
      <w:r w:rsidR="000B6DB4">
        <w:t xml:space="preserve">его </w:t>
      </w:r>
      <w:r w:rsidR="00AD77DE">
        <w:t xml:space="preserve">репутацию </w:t>
      </w:r>
      <w:r w:rsidR="00AD77DE" w:rsidRPr="00AD77DE">
        <w:t>[</w:t>
      </w:r>
      <w:r w:rsidR="000B6DB4">
        <w:t>Березинец, Ильина, 2016</w:t>
      </w:r>
      <w:r w:rsidR="00AD77DE" w:rsidRPr="00AD77DE">
        <w:t xml:space="preserve">]. </w:t>
      </w:r>
      <w:r w:rsidR="00370202">
        <w:t xml:space="preserve">Кроме того, если рассматривать проблематику с позиции теории зависимости от ресурсов, то можно отметить, что совмещающие позиции директора могут привносить необходимые для компании ресурсы </w:t>
      </w:r>
      <w:r w:rsidR="006138CF">
        <w:t xml:space="preserve">и, соответственно, давать ей дополнительное преимущество </w:t>
      </w:r>
      <w:r w:rsidR="006138CF" w:rsidRPr="006138CF">
        <w:t>[</w:t>
      </w:r>
      <w:r w:rsidR="006138CF">
        <w:rPr>
          <w:lang w:val="en-US"/>
        </w:rPr>
        <w:t>Pfeffer</w:t>
      </w:r>
      <w:r w:rsidR="006138CF" w:rsidRPr="006138CF">
        <w:t xml:space="preserve">, </w:t>
      </w:r>
      <w:proofErr w:type="spellStart"/>
      <w:r w:rsidR="006138CF">
        <w:rPr>
          <w:lang w:val="en-US"/>
        </w:rPr>
        <w:t>Salancik</w:t>
      </w:r>
      <w:proofErr w:type="spellEnd"/>
      <w:r w:rsidR="006138CF" w:rsidRPr="006138CF">
        <w:t>, 1978]</w:t>
      </w:r>
      <w:r w:rsidR="006138CF">
        <w:t xml:space="preserve">.  С другой стороны, ряд исследований подтверждают гипотезу занятости, согласно которой совмещение директорский позиций негативно влияет на эффективность выполнения работы директором </w:t>
      </w:r>
      <w:r w:rsidR="006138CF" w:rsidRPr="006138CF">
        <w:t>[</w:t>
      </w:r>
      <w:bookmarkStart w:id="81" w:name="_Hlk131934227"/>
      <w:proofErr w:type="spellStart"/>
      <w:r w:rsidR="006B60DA">
        <w:t>Fich</w:t>
      </w:r>
      <w:proofErr w:type="spellEnd"/>
      <w:r w:rsidR="006B60DA">
        <w:t xml:space="preserve">, </w:t>
      </w:r>
      <w:proofErr w:type="spellStart"/>
      <w:r w:rsidR="006B60DA">
        <w:t>Shivdasani</w:t>
      </w:r>
      <w:proofErr w:type="spellEnd"/>
      <w:r w:rsidR="006B60DA">
        <w:t xml:space="preserve">, 2006; </w:t>
      </w:r>
      <w:proofErr w:type="spellStart"/>
      <w:r w:rsidR="006B60DA">
        <w:t>Patton</w:t>
      </w:r>
      <w:proofErr w:type="spellEnd"/>
      <w:r w:rsidR="006B60DA">
        <w:t>, Baker, 1987</w:t>
      </w:r>
      <w:bookmarkEnd w:id="81"/>
      <w:r w:rsidR="00913AD9" w:rsidRPr="00913AD9">
        <w:t xml:space="preserve">; </w:t>
      </w:r>
      <w:proofErr w:type="spellStart"/>
      <w:r w:rsidR="00913AD9" w:rsidRPr="00913AD9">
        <w:t>Alhaddad</w:t>
      </w:r>
      <w:proofErr w:type="spellEnd"/>
      <w:r w:rsidR="00913AD9" w:rsidRPr="00913AD9">
        <w:t xml:space="preserve"> </w:t>
      </w:r>
      <w:r w:rsidR="00913AD9">
        <w:rPr>
          <w:lang w:val="en-US"/>
        </w:rPr>
        <w:t>et</w:t>
      </w:r>
      <w:r w:rsidR="00913AD9" w:rsidRPr="00913AD9">
        <w:t xml:space="preserve"> </w:t>
      </w:r>
      <w:r w:rsidR="00913AD9">
        <w:rPr>
          <w:lang w:val="en-US"/>
        </w:rPr>
        <w:t>al</w:t>
      </w:r>
      <w:r w:rsidR="00913AD9" w:rsidRPr="00913AD9">
        <w:t xml:space="preserve">., 2022; </w:t>
      </w:r>
      <w:proofErr w:type="spellStart"/>
      <w:r w:rsidR="00913AD9" w:rsidRPr="00913AD9">
        <w:rPr>
          <w:lang w:val="en-US"/>
        </w:rPr>
        <w:t>Hundal</w:t>
      </w:r>
      <w:proofErr w:type="spellEnd"/>
      <w:r w:rsidR="00913AD9" w:rsidRPr="00913AD9">
        <w:t xml:space="preserve">, 2017; </w:t>
      </w:r>
      <w:proofErr w:type="spellStart"/>
      <w:r w:rsidR="00913AD9">
        <w:rPr>
          <w:lang w:val="en-US"/>
        </w:rPr>
        <w:t>A</w:t>
      </w:r>
      <w:r w:rsidR="00913AD9" w:rsidRPr="00913AD9">
        <w:rPr>
          <w:lang w:val="en-US"/>
        </w:rPr>
        <w:t>ljaaidi</w:t>
      </w:r>
      <w:proofErr w:type="spellEnd"/>
      <w:r w:rsidR="00913AD9" w:rsidRPr="00AF0059">
        <w:t>, 2022</w:t>
      </w:r>
      <w:r w:rsidR="006138CF" w:rsidRPr="006138CF">
        <w:t xml:space="preserve">]. </w:t>
      </w:r>
    </w:p>
    <w:p w14:paraId="7FE15829" w14:textId="5F1AC814" w:rsidR="00604522" w:rsidRPr="00604522" w:rsidRDefault="00193B8C" w:rsidP="00D97FCF">
      <w:pPr>
        <w:pStyle w:val="aff0"/>
      </w:pPr>
      <w:r>
        <w:t>Среди исследователей и практиков нет единого мнения о том, какая существует взаимосвязь между «занятостью» директоров и финансовой результативностью компаний</w:t>
      </w:r>
      <w:r w:rsidR="00ED119A">
        <w:t xml:space="preserve">: ряд авторов обнаруживают обратную взаимосвязь между рассматриваемыми переменными </w:t>
      </w:r>
      <w:r w:rsidR="00ED119A" w:rsidRPr="00ED119A">
        <w:t>[</w:t>
      </w:r>
      <w:proofErr w:type="spellStart"/>
      <w:r w:rsidR="00ED119A">
        <w:t>Fich</w:t>
      </w:r>
      <w:proofErr w:type="spellEnd"/>
      <w:r w:rsidR="00ED119A" w:rsidRPr="00ED119A">
        <w:t xml:space="preserve">, </w:t>
      </w:r>
      <w:proofErr w:type="spellStart"/>
      <w:r w:rsidR="00ED119A">
        <w:rPr>
          <w:lang w:val="en-US"/>
        </w:rPr>
        <w:t>Shivdasani</w:t>
      </w:r>
      <w:proofErr w:type="spellEnd"/>
      <w:r w:rsidR="00ED119A">
        <w:t>, 2006</w:t>
      </w:r>
      <w:r w:rsidR="00ED119A" w:rsidRPr="00ED119A">
        <w:t>]</w:t>
      </w:r>
      <w:r w:rsidR="00ED119A" w:rsidRPr="00ED119A">
        <w:rPr>
          <w:noProof/>
        </w:rPr>
        <w:t xml:space="preserve">, </w:t>
      </w:r>
      <w:r w:rsidR="00ED119A">
        <w:rPr>
          <w:noProof/>
        </w:rPr>
        <w:t xml:space="preserve">тогда как другие выявляют положительную </w:t>
      </w:r>
      <w:r w:rsidR="00ED119A" w:rsidRPr="004024D4">
        <w:rPr>
          <w:noProof/>
        </w:rPr>
        <w:t>[</w:t>
      </w:r>
      <w:bookmarkStart w:id="82" w:name="_Hlk131934240"/>
      <w:r w:rsidR="004024D4" w:rsidRPr="004024D4">
        <w:rPr>
          <w:lang w:val="en-US"/>
        </w:rPr>
        <w:t>Omer</w:t>
      </w:r>
      <w:r w:rsidR="004024D4" w:rsidRPr="004024D4">
        <w:t xml:space="preserve">, </w:t>
      </w:r>
      <w:r w:rsidR="004024D4" w:rsidRPr="004024D4">
        <w:rPr>
          <w:lang w:val="en-US"/>
        </w:rPr>
        <w:t>Shelley</w:t>
      </w:r>
      <w:r w:rsidR="004024D4" w:rsidRPr="004024D4">
        <w:t xml:space="preserve">, </w:t>
      </w:r>
      <w:r w:rsidR="004024D4" w:rsidRPr="004024D4">
        <w:rPr>
          <w:lang w:val="en-US"/>
        </w:rPr>
        <w:t>Tice</w:t>
      </w:r>
      <w:r w:rsidR="004024D4" w:rsidRPr="004024D4">
        <w:t>, 2014</w:t>
      </w:r>
      <w:bookmarkEnd w:id="82"/>
      <w:r w:rsidR="00ED119A" w:rsidRPr="004024D4">
        <w:rPr>
          <w:noProof/>
        </w:rPr>
        <w:t>]</w:t>
      </w:r>
      <w:r w:rsidR="004024D4" w:rsidRPr="004024D4">
        <w:rPr>
          <w:noProof/>
        </w:rPr>
        <w:t xml:space="preserve">. </w:t>
      </w:r>
      <w:r w:rsidR="00604522">
        <w:t xml:space="preserve">Что касается российской практики, то в работе </w:t>
      </w:r>
      <w:bookmarkStart w:id="83" w:name="_Hlk131934250"/>
      <w:r w:rsidR="00604522" w:rsidRPr="00604522">
        <w:t>[</w:t>
      </w:r>
      <w:proofErr w:type="spellStart"/>
      <w:r w:rsidR="00EA6047" w:rsidRPr="00283AD4">
        <w:rPr>
          <w:lang w:val="en-US"/>
        </w:rPr>
        <w:t>Berezinets</w:t>
      </w:r>
      <w:proofErr w:type="spellEnd"/>
      <w:r w:rsidR="00EA6047" w:rsidRPr="00283AD4">
        <w:t xml:space="preserve">, </w:t>
      </w:r>
      <w:proofErr w:type="spellStart"/>
      <w:r w:rsidR="00EA6047" w:rsidRPr="00283AD4">
        <w:rPr>
          <w:lang w:val="en-US"/>
        </w:rPr>
        <w:t>Ilina</w:t>
      </w:r>
      <w:proofErr w:type="spellEnd"/>
      <w:r w:rsidR="00EA6047" w:rsidRPr="00283AD4">
        <w:t xml:space="preserve">, </w:t>
      </w:r>
      <w:r w:rsidR="00EA6047" w:rsidRPr="00283AD4">
        <w:rPr>
          <w:lang w:val="en-US"/>
        </w:rPr>
        <w:t>Loginova</w:t>
      </w:r>
      <w:r w:rsidR="00604522">
        <w:t>, 2019</w:t>
      </w:r>
      <w:bookmarkEnd w:id="83"/>
      <w:r w:rsidR="00604522" w:rsidRPr="00604522">
        <w:t>]</w:t>
      </w:r>
      <w:r w:rsidR="00604522">
        <w:t xml:space="preserve">, посвященной исследованию публичных российских компаний, торгующихся на бирже в период с 2010 по 2014 год, была выявлена обратная взаимосвязь между средним количеством директорских позиций, занимаемых в других компаниях членами совета директоров, и показателем </w:t>
      </w:r>
      <w:r w:rsidR="00604522">
        <w:rPr>
          <w:lang w:val="en-US"/>
        </w:rPr>
        <w:t>ROA</w:t>
      </w:r>
      <w:r w:rsidR="00604522" w:rsidRPr="00604522">
        <w:t xml:space="preserve"> </w:t>
      </w:r>
      <w:r w:rsidR="00604522">
        <w:t xml:space="preserve">и коэффициентом Тобина. </w:t>
      </w:r>
    </w:p>
    <w:p w14:paraId="633F18F6" w14:textId="5C950E4B" w:rsidR="0012051E" w:rsidRDefault="006B60DA" w:rsidP="00D97FCF">
      <w:pPr>
        <w:pStyle w:val="aff0"/>
      </w:pPr>
      <w:r>
        <w:t xml:space="preserve">Ю. </w:t>
      </w:r>
      <w:proofErr w:type="spellStart"/>
      <w:r>
        <w:t>Дуляк</w:t>
      </w:r>
      <w:proofErr w:type="spellEnd"/>
      <w:r>
        <w:t xml:space="preserve"> отдельно анализирует </w:t>
      </w:r>
      <w:r w:rsidR="0012051E">
        <w:t xml:space="preserve">влияние </w:t>
      </w:r>
      <w:r>
        <w:t>дол</w:t>
      </w:r>
      <w:r w:rsidR="0012051E">
        <w:t>и</w:t>
      </w:r>
      <w:r>
        <w:t xml:space="preserve"> директоров, занимающих директорские позиции в западных компаниях, </w:t>
      </w:r>
      <w:r w:rsidR="0012051E">
        <w:t xml:space="preserve">на финансовую результативность, </w:t>
      </w:r>
      <w:r>
        <w:t xml:space="preserve">утверждая, что подобный опыт крайне необходим, так как </w:t>
      </w:r>
      <w:r w:rsidR="0012051E">
        <w:t xml:space="preserve">такие директора вносят в </w:t>
      </w:r>
      <w:r w:rsidR="0012051E">
        <w:lastRenderedPageBreak/>
        <w:t>компанию «нужную бизнес-культуру и философию». Тем не менее, автор не находит подтверждения данной гипотезе, связывая полученные результаты с тем, что компании давно стали международными, их члены советов директора постоянно общаются с иностранными коллегами</w:t>
      </w:r>
      <w:r w:rsidR="00A37B9D">
        <w:t xml:space="preserve"> и </w:t>
      </w:r>
      <w:r w:rsidR="0012051E">
        <w:t xml:space="preserve">повышают квалификацию </w:t>
      </w:r>
      <w:r w:rsidR="0012051E" w:rsidRPr="0012051E">
        <w:t>[</w:t>
      </w:r>
      <w:proofErr w:type="spellStart"/>
      <w:r w:rsidR="0012051E">
        <w:t>Дуляк</w:t>
      </w:r>
      <w:proofErr w:type="spellEnd"/>
      <w:r w:rsidR="0012051E">
        <w:t>, 2015</w:t>
      </w:r>
      <w:r w:rsidR="0012051E" w:rsidRPr="0012051E">
        <w:t>].</w:t>
      </w:r>
    </w:p>
    <w:p w14:paraId="1AF68970" w14:textId="7FA2C374" w:rsidR="00BC7728" w:rsidRDefault="004024D4" w:rsidP="00D97FCF">
      <w:pPr>
        <w:pStyle w:val="aff0"/>
      </w:pPr>
      <w:r>
        <w:t>В данной работе будут проверены две гипотезы, связанные с проблематикой «занятости» членов советов директоров</w:t>
      </w:r>
      <w:r w:rsidR="009F1E58">
        <w:t>:</w:t>
      </w:r>
    </w:p>
    <w:p w14:paraId="190E20B5" w14:textId="01DA88D5" w:rsidR="003D793B" w:rsidRPr="00CD3D38" w:rsidRDefault="003D793B" w:rsidP="00F41A4A">
      <w:pPr>
        <w:pStyle w:val="a0"/>
      </w:pPr>
      <w:r w:rsidRPr="00CD3D38">
        <w:t xml:space="preserve">Существует </w:t>
      </w:r>
      <w:r w:rsidR="004024D4" w:rsidRPr="00977EAC">
        <w:rPr>
          <w:color w:val="000000" w:themeColor="text1"/>
        </w:rPr>
        <w:t>обратная</w:t>
      </w:r>
      <w:r w:rsidRPr="00CD3D38">
        <w:rPr>
          <w:color w:val="000000" w:themeColor="text1"/>
        </w:rPr>
        <w:t xml:space="preserve"> </w:t>
      </w:r>
      <w:r w:rsidRPr="00CD3D38">
        <w:t xml:space="preserve">взаимосвязь между </w:t>
      </w:r>
      <w:r w:rsidR="004024D4" w:rsidRPr="00CD3D38">
        <w:t xml:space="preserve">«занятостью» </w:t>
      </w:r>
      <w:r w:rsidR="009F1E58" w:rsidRPr="00CD3D38">
        <w:t xml:space="preserve">членов совета </w:t>
      </w:r>
      <w:r w:rsidR="004024D4" w:rsidRPr="00CD3D38">
        <w:t xml:space="preserve">директоров </w:t>
      </w:r>
      <w:r w:rsidRPr="00CD3D38">
        <w:t xml:space="preserve">в других компаниях, и финансовой результативностью публичных компаний </w:t>
      </w:r>
      <w:r w:rsidRPr="00CD3D38">
        <w:rPr>
          <w:color w:val="000000" w:themeColor="text1"/>
        </w:rPr>
        <w:t>с государственным участием</w:t>
      </w:r>
    </w:p>
    <w:p w14:paraId="564EB163" w14:textId="677BE12F" w:rsidR="00CD3D38" w:rsidRDefault="002747A3" w:rsidP="00F034BA">
      <w:pPr>
        <w:pStyle w:val="3"/>
      </w:pPr>
      <w:bookmarkStart w:id="84" w:name="_Toc136001547"/>
      <w:r>
        <w:t xml:space="preserve">2.2.7 </w:t>
      </w:r>
      <w:r w:rsidR="00F034BA">
        <w:t>Вовлеченность в экологическую и социальную деятельность</w:t>
      </w:r>
      <w:bookmarkEnd w:id="84"/>
      <w:r w:rsidR="00F034BA">
        <w:t xml:space="preserve">  </w:t>
      </w:r>
    </w:p>
    <w:p w14:paraId="16040250" w14:textId="1E14A80A" w:rsidR="00FF0079" w:rsidRDefault="0058379C" w:rsidP="00D97FCF">
      <w:pPr>
        <w:pStyle w:val="aff0"/>
      </w:pPr>
      <w:r>
        <w:t>За последние несколько лет н</w:t>
      </w:r>
      <w:r w:rsidR="00F034BA">
        <w:t xml:space="preserve">аиболее актуальной и часто обсуждаемой проблемой в академическом сообществе стала тема устойчивого развития и </w:t>
      </w:r>
      <w:r w:rsidR="00F034BA">
        <w:rPr>
          <w:lang w:val="en-US"/>
        </w:rPr>
        <w:t>ESG</w:t>
      </w:r>
      <w:r w:rsidR="00F034BA" w:rsidRPr="00F034BA">
        <w:t>-</w:t>
      </w:r>
      <w:r w:rsidR="00F034BA">
        <w:t>повестк</w:t>
      </w:r>
      <w:r>
        <w:t xml:space="preserve">и. </w:t>
      </w:r>
      <w:r>
        <w:rPr>
          <w:lang w:val="en-US"/>
        </w:rPr>
        <w:t>ESG</w:t>
      </w:r>
      <w:r w:rsidRPr="0058379C">
        <w:t xml:space="preserve"> (</w:t>
      </w:r>
      <w:r w:rsidRPr="0058379C">
        <w:rPr>
          <w:lang w:val="en-US"/>
        </w:rPr>
        <w:t>Environmental</w:t>
      </w:r>
      <w:r w:rsidRPr="0058379C">
        <w:t xml:space="preserve">, </w:t>
      </w:r>
      <w:r w:rsidRPr="0058379C">
        <w:rPr>
          <w:lang w:val="en-US"/>
        </w:rPr>
        <w:t>Social</w:t>
      </w:r>
      <w:r w:rsidRPr="0058379C">
        <w:t xml:space="preserve">, </w:t>
      </w:r>
      <w:r w:rsidRPr="0058379C">
        <w:rPr>
          <w:lang w:val="en-US"/>
        </w:rPr>
        <w:t>Governance</w:t>
      </w:r>
      <w:r>
        <w:t xml:space="preserve">) – это ряд принципов управления компанией, заключающиеся в заботе об окружающей среде, создании благоприятных социальных условий и внедрения лучших практик корпоративного управления. </w:t>
      </w:r>
      <w:r w:rsidR="00290F6B">
        <w:rPr>
          <w:lang w:val="en-US"/>
        </w:rPr>
        <w:t>ESG</w:t>
      </w:r>
      <w:r w:rsidR="00290F6B" w:rsidRPr="00290F6B">
        <w:t xml:space="preserve"> </w:t>
      </w:r>
      <w:r w:rsidR="00290F6B">
        <w:t xml:space="preserve">отражает все значимые нефинансовые факторы для современного ответственного инвесторов, который считает, что высокие показатели в области </w:t>
      </w:r>
      <w:r w:rsidR="00290F6B">
        <w:rPr>
          <w:lang w:val="en-US"/>
        </w:rPr>
        <w:t>ESG</w:t>
      </w:r>
      <w:r w:rsidR="00290F6B" w:rsidRPr="00290F6B">
        <w:t xml:space="preserve"> </w:t>
      </w:r>
      <w:r w:rsidR="00290F6B">
        <w:t>уменьшают риски компании</w:t>
      </w:r>
      <w:r w:rsidR="00062B0E">
        <w:t xml:space="preserve"> и</w:t>
      </w:r>
      <w:r w:rsidR="00290F6B">
        <w:t xml:space="preserve"> дают </w:t>
      </w:r>
      <w:r w:rsidR="00062B0E">
        <w:t xml:space="preserve">более </w:t>
      </w:r>
      <w:r w:rsidR="00290F6B">
        <w:t>оптимистичные долгосрочные перспективы</w:t>
      </w:r>
      <w:r w:rsidR="00062B0E">
        <w:rPr>
          <w:rStyle w:val="ac"/>
        </w:rPr>
        <w:footnoteReference w:id="33"/>
      </w:r>
      <w:r w:rsidR="00062B0E">
        <w:t xml:space="preserve">. </w:t>
      </w:r>
    </w:p>
    <w:p w14:paraId="43D93CAB" w14:textId="07152230" w:rsidR="00FF0079" w:rsidRDefault="00062B0E" w:rsidP="00D97FCF">
      <w:pPr>
        <w:pStyle w:val="aff0"/>
      </w:pPr>
      <w:r>
        <w:t xml:space="preserve">Совет директоров как </w:t>
      </w:r>
      <w:r w:rsidR="00FF0079">
        <w:t xml:space="preserve">основной </w:t>
      </w:r>
      <w:r>
        <w:t xml:space="preserve">орган управления в компании играет одну из ключевых ролей в данной проблематике. Проведенные исследования на российском рынке отмечают, что подавляющее большинство компаний обращают особое внимания </w:t>
      </w:r>
      <w:r w:rsidR="00B30F09">
        <w:t xml:space="preserve">данной </w:t>
      </w:r>
      <w:r w:rsidR="00A37B9D">
        <w:t>проблеме</w:t>
      </w:r>
      <w:r>
        <w:t>, создавая отдельные комитеты советов директоров по устойчивому развитию</w:t>
      </w:r>
      <w:r>
        <w:rPr>
          <w:rStyle w:val="ac"/>
        </w:rPr>
        <w:footnoteReference w:id="34"/>
      </w:r>
      <w:r>
        <w:t xml:space="preserve">; 89% членов директоров уже внедрили в стратегию компании вопросы, связанные с устойчивым развитием, а 35% директоров </w:t>
      </w:r>
      <w:r w:rsidR="00FF0079">
        <w:t>считают, что знания в данной области дадут преимущества компании</w:t>
      </w:r>
      <w:r w:rsidR="00FF0079">
        <w:rPr>
          <w:rStyle w:val="ac"/>
        </w:rPr>
        <w:footnoteReference w:id="35"/>
      </w:r>
      <w:r w:rsidR="00FF0079">
        <w:t xml:space="preserve">. </w:t>
      </w:r>
    </w:p>
    <w:p w14:paraId="044B7395" w14:textId="1DA27DB0" w:rsidR="00FF0079" w:rsidRPr="00B30F09" w:rsidRDefault="00FF0079" w:rsidP="00D97FCF">
      <w:pPr>
        <w:pStyle w:val="aff0"/>
      </w:pPr>
      <w:r>
        <w:t xml:space="preserve">Тема устойчивого развития является предметом множества научных работ, результаты которых демонстрируют </w:t>
      </w:r>
      <w:r w:rsidR="00B30F09">
        <w:t>положительное</w:t>
      </w:r>
      <w:r>
        <w:t xml:space="preserve"> влияние данной повестки на ценность и привлекательность </w:t>
      </w:r>
      <w:r w:rsidR="00A37B9D">
        <w:t xml:space="preserve">компании </w:t>
      </w:r>
      <w:r>
        <w:t>на рынке</w:t>
      </w:r>
      <w:r w:rsidR="00370ED5" w:rsidRPr="00370ED5">
        <w:t xml:space="preserve"> [</w:t>
      </w:r>
      <w:bookmarkStart w:id="85" w:name="_Hlk131934425"/>
      <w:r w:rsidR="00370ED5">
        <w:rPr>
          <w:lang w:val="en-US"/>
        </w:rPr>
        <w:t>Plumlee</w:t>
      </w:r>
      <w:r w:rsidR="00370ED5" w:rsidRPr="00370ED5">
        <w:t xml:space="preserve"> </w:t>
      </w:r>
      <w:r w:rsidR="00370ED5">
        <w:rPr>
          <w:lang w:val="en-US"/>
        </w:rPr>
        <w:t>et</w:t>
      </w:r>
      <w:r w:rsidR="00370ED5" w:rsidRPr="00370ED5">
        <w:t xml:space="preserve"> </w:t>
      </w:r>
      <w:r w:rsidR="00370ED5">
        <w:rPr>
          <w:lang w:val="en-US"/>
        </w:rPr>
        <w:t>al</w:t>
      </w:r>
      <w:r w:rsidR="00370ED5" w:rsidRPr="00370ED5">
        <w:t xml:space="preserve">., 2015; </w:t>
      </w:r>
      <w:r w:rsidR="004416B7">
        <w:rPr>
          <w:lang w:val="en-US"/>
        </w:rPr>
        <w:t>Chen</w:t>
      </w:r>
      <w:r w:rsidR="004416B7" w:rsidRPr="004416B7">
        <w:t xml:space="preserve">, </w:t>
      </w:r>
      <w:proofErr w:type="spellStart"/>
      <w:r w:rsidR="004416B7">
        <w:rPr>
          <w:lang w:val="en-US"/>
        </w:rPr>
        <w:t>Xi</w:t>
      </w:r>
      <w:r w:rsidR="00EF78F1">
        <w:rPr>
          <w:lang w:val="en-US"/>
        </w:rPr>
        <w:t>e</w:t>
      </w:r>
      <w:proofErr w:type="spellEnd"/>
      <w:r w:rsidR="004416B7" w:rsidRPr="004416B7">
        <w:t xml:space="preserve">, 2022; </w:t>
      </w:r>
      <w:bookmarkStart w:id="86" w:name="_Hlk131534954"/>
      <w:proofErr w:type="spellStart"/>
      <w:r w:rsidR="008F4AC3" w:rsidRPr="008F4AC3">
        <w:t>Shukla</w:t>
      </w:r>
      <w:proofErr w:type="spellEnd"/>
      <w:r w:rsidR="008F4AC3">
        <w:t xml:space="preserve">, </w:t>
      </w:r>
      <w:proofErr w:type="spellStart"/>
      <w:r w:rsidR="008F4AC3" w:rsidRPr="008F4AC3">
        <w:t>Geetika</w:t>
      </w:r>
      <w:proofErr w:type="spellEnd"/>
      <w:r w:rsidR="008F4AC3">
        <w:t>, 2022</w:t>
      </w:r>
      <w:bookmarkEnd w:id="86"/>
      <w:r w:rsidR="008F4AC3">
        <w:t xml:space="preserve">; </w:t>
      </w:r>
      <w:proofErr w:type="spellStart"/>
      <w:r w:rsidR="00370ED5">
        <w:t>Кузубов</w:t>
      </w:r>
      <w:proofErr w:type="spellEnd"/>
      <w:r w:rsidR="00370ED5">
        <w:t>, Евдокимова, 2017</w:t>
      </w:r>
      <w:bookmarkEnd w:id="85"/>
      <w:r w:rsidR="00370ED5" w:rsidRPr="00370ED5">
        <w:t>]</w:t>
      </w:r>
      <w:r>
        <w:t xml:space="preserve">. </w:t>
      </w:r>
      <w:r w:rsidR="00B30F09">
        <w:t xml:space="preserve">В работе </w:t>
      </w:r>
      <w:r w:rsidR="004416B7" w:rsidRPr="004416B7">
        <w:t>[</w:t>
      </w:r>
      <w:bookmarkStart w:id="87" w:name="_Hlk131934460"/>
      <w:proofErr w:type="spellStart"/>
      <w:r w:rsidR="004416B7">
        <w:t>Батаева</w:t>
      </w:r>
      <w:proofErr w:type="spellEnd"/>
      <w:r w:rsidR="004416B7">
        <w:t>, Кокурина, Карпов, 2021</w:t>
      </w:r>
      <w:bookmarkEnd w:id="87"/>
      <w:r w:rsidR="00B30F09" w:rsidRPr="00B30F09">
        <w:t xml:space="preserve">] </w:t>
      </w:r>
      <w:r w:rsidR="00B30F09">
        <w:t xml:space="preserve">было выявлено, что для </w:t>
      </w:r>
      <w:r w:rsidR="004416B7">
        <w:t>российских компаний</w:t>
      </w:r>
      <w:r w:rsidR="00B30F09">
        <w:t xml:space="preserve"> с высоким уровнем раскрытия </w:t>
      </w:r>
      <w:r w:rsidR="00B30F09">
        <w:rPr>
          <w:lang w:val="en-US"/>
        </w:rPr>
        <w:t>ESG</w:t>
      </w:r>
      <w:r w:rsidR="00B30F09" w:rsidRPr="00B30F09">
        <w:t>-</w:t>
      </w:r>
      <w:r w:rsidR="00B30F09">
        <w:lastRenderedPageBreak/>
        <w:t>информации</w:t>
      </w:r>
      <w:r w:rsidR="00B30F09" w:rsidRPr="00B30F09">
        <w:t xml:space="preserve">, </w:t>
      </w:r>
      <w:r w:rsidR="00B30F09">
        <w:t xml:space="preserve">общий коэффициент </w:t>
      </w:r>
      <w:r w:rsidR="00B30F09">
        <w:rPr>
          <w:lang w:val="en-US"/>
        </w:rPr>
        <w:t>ESG</w:t>
      </w:r>
      <w:r w:rsidR="00B30F09">
        <w:t xml:space="preserve"> </w:t>
      </w:r>
      <w:r w:rsidR="004416B7">
        <w:t>и, в частности,</w:t>
      </w:r>
      <w:r w:rsidR="00B30F09">
        <w:t xml:space="preserve"> его экологический компонент положительно влияют на бухгалтерские показатели</w:t>
      </w:r>
      <w:r w:rsidR="004416B7">
        <w:t xml:space="preserve">. </w:t>
      </w:r>
    </w:p>
    <w:p w14:paraId="56DDC5AB" w14:textId="197F3F75" w:rsidR="00062B0E" w:rsidRDefault="00B24C5D" w:rsidP="00D97FCF">
      <w:pPr>
        <w:pStyle w:val="aff0"/>
      </w:pPr>
      <w:r>
        <w:t xml:space="preserve">Однако, </w:t>
      </w:r>
      <w:r w:rsidR="00151CCB">
        <w:t>данная работа будет сфокусирована на ино</w:t>
      </w:r>
      <w:r w:rsidR="00A37B9D">
        <w:t>м вопросе</w:t>
      </w:r>
      <w:r w:rsidR="00151CCB">
        <w:t xml:space="preserve">, а именно на исследовании взаимосвязи между долей директоров, вовлеченных в деятельность некоммерческих организаций, связанных с экологической или социальной деятельностью, и финансовой результативностью компаний.  </w:t>
      </w:r>
      <w:r w:rsidR="007E622E">
        <w:t xml:space="preserve">К экологической сфере автор работы относит </w:t>
      </w:r>
      <w:r w:rsidR="0049313B">
        <w:t>вовлеченность директоров в общественные организации и благотворительные фонды, целью которых является сохранение окружающей среды, природных ресурсов и животного мир</w:t>
      </w:r>
      <w:r w:rsidR="00AF53DC">
        <w:t>а</w:t>
      </w:r>
      <w:r w:rsidR="0049313B">
        <w:t>;</w:t>
      </w:r>
      <w:r w:rsidR="007E622E">
        <w:t xml:space="preserve"> тогда как к социальной сфере отнесены участие в общественны</w:t>
      </w:r>
      <w:r w:rsidR="0049313B">
        <w:t>х</w:t>
      </w:r>
      <w:r w:rsidR="007E622E">
        <w:t xml:space="preserve"> организациях, связанных со спортом, образованием и культурой, религией и наукой</w:t>
      </w:r>
      <w:r>
        <w:t>.</w:t>
      </w:r>
      <w:r w:rsidR="007E622E">
        <w:t xml:space="preserve"> Ярким примером участия в социальной деятельности можно считать члена совета директоров и главного исполнительного директора НК «Роснефт</w:t>
      </w:r>
      <w:r w:rsidR="00A37B9D">
        <w:t>ь</w:t>
      </w:r>
      <w:r w:rsidR="007E622E">
        <w:t xml:space="preserve">» - Сечина Игоря Ивановича, который является Председателем нескольких </w:t>
      </w:r>
      <w:r>
        <w:t>П</w:t>
      </w:r>
      <w:r w:rsidR="007E622E">
        <w:t xml:space="preserve">опечительских </w:t>
      </w:r>
      <w:r>
        <w:t xml:space="preserve">советов российских университетов, состоит в Фонде «Поддержки строительства храмов города Москвы», является Председателем Наблюдательного совета АНО «Генетические технологии» и членом Высшего наблюдательного совета Федерации бокса России. </w:t>
      </w:r>
    </w:p>
    <w:p w14:paraId="78AB1C8D" w14:textId="41B22B58" w:rsidR="00CD3D38" w:rsidRPr="00CD3D38" w:rsidRDefault="00884BC9" w:rsidP="00D97FCF">
      <w:pPr>
        <w:pStyle w:val="aff0"/>
      </w:pPr>
      <w:r>
        <w:t xml:space="preserve">Таким образом, в данной работе была выдвинута следующая гипотеза: </w:t>
      </w:r>
    </w:p>
    <w:p w14:paraId="4F000355" w14:textId="48E512C8" w:rsidR="00001213" w:rsidRPr="00CD3D38" w:rsidRDefault="005B2088" w:rsidP="00F41A4A">
      <w:pPr>
        <w:pStyle w:val="a0"/>
      </w:pPr>
      <w:r w:rsidRPr="00CD3D38">
        <w:t>Существует положительная</w:t>
      </w:r>
      <w:r w:rsidRPr="00CD3D38">
        <w:rPr>
          <w:color w:val="000000" w:themeColor="text1"/>
        </w:rPr>
        <w:t xml:space="preserve"> </w:t>
      </w:r>
      <w:r w:rsidRPr="00CD3D38">
        <w:t xml:space="preserve">взаимосвязь между долей директоров, </w:t>
      </w:r>
      <w:r w:rsidR="00884BC9" w:rsidRPr="00884BC9">
        <w:t>вовлеченных в экологическую и социальную деятельность</w:t>
      </w:r>
      <w:r w:rsidRPr="00CD3D38">
        <w:t xml:space="preserve">, и финансовой результативностью публичных компаний </w:t>
      </w:r>
      <w:r w:rsidRPr="00CD3D38">
        <w:rPr>
          <w:color w:val="000000" w:themeColor="text1"/>
        </w:rPr>
        <w:t>с государственным участием</w:t>
      </w:r>
    </w:p>
    <w:p w14:paraId="51491B14" w14:textId="4A31573D" w:rsidR="00884BC9" w:rsidRDefault="00884BC9" w:rsidP="00D97FCF">
      <w:pPr>
        <w:pStyle w:val="aff0"/>
      </w:pPr>
      <w:r>
        <w:t xml:space="preserve">Многочисленные исследовательские работы, связанные с выявлением влияния характеристик советов директоров на финансовые показатели компаний, не приходят к единым результатам, ввиду различных страновых особенностей, </w:t>
      </w:r>
      <w:r w:rsidR="00A064FE">
        <w:t xml:space="preserve">разнообразных </w:t>
      </w:r>
      <w:r>
        <w:t xml:space="preserve">подходов к расчету </w:t>
      </w:r>
      <w:r w:rsidR="00A064FE">
        <w:t xml:space="preserve">этих </w:t>
      </w:r>
      <w:r>
        <w:t>характеристик и показателей финансовой результативности, отличных временных промежутков</w:t>
      </w:r>
      <w:r w:rsidR="00A064FE">
        <w:t xml:space="preserve"> и особенностей компаний. Поэтому до сих пор не существует единого </w:t>
      </w:r>
      <w:r w:rsidR="00A37B9D">
        <w:t>решения о выборе</w:t>
      </w:r>
      <w:r w:rsidR="00A064FE">
        <w:t xml:space="preserve"> наиболее эффективно</w:t>
      </w:r>
      <w:r w:rsidR="00A37B9D">
        <w:t>го</w:t>
      </w:r>
      <w:r w:rsidR="00A064FE">
        <w:t xml:space="preserve"> состав</w:t>
      </w:r>
      <w:r w:rsidR="00A37B9D">
        <w:t>а</w:t>
      </w:r>
      <w:r w:rsidR="00A064FE">
        <w:t xml:space="preserve"> совета директоров, способного своей работой повышать финансовую результативность компани</w:t>
      </w:r>
      <w:r w:rsidR="00A370F0">
        <w:t>и</w:t>
      </w:r>
      <w:r w:rsidR="00A064FE">
        <w:t xml:space="preserve"> и </w:t>
      </w:r>
      <w:r w:rsidR="00A370F0">
        <w:t>максимизировать</w:t>
      </w:r>
      <w:r w:rsidR="00A064FE">
        <w:t xml:space="preserve"> ценность </w:t>
      </w:r>
      <w:r w:rsidR="00A370F0">
        <w:t xml:space="preserve">для ее собственников. Таким образом, в данной исследовательской работе </w:t>
      </w:r>
      <w:r w:rsidR="004F41A3">
        <w:t>были выдвинут</w:t>
      </w:r>
      <w:r w:rsidR="006C5750">
        <w:t xml:space="preserve"> ряд</w:t>
      </w:r>
      <w:r w:rsidR="004F41A3">
        <w:t xml:space="preserve"> </w:t>
      </w:r>
      <w:r w:rsidR="00A370F0">
        <w:t xml:space="preserve">гипотез, </w:t>
      </w:r>
      <w:r w:rsidR="004F41A3">
        <w:t xml:space="preserve">которые будут проверены в дальнейшем в рамках эмпирического исследования. </w:t>
      </w:r>
    </w:p>
    <w:p w14:paraId="35B579F8" w14:textId="66B38177" w:rsidR="005624A7" w:rsidRDefault="005624A7" w:rsidP="00A370F0">
      <w:pPr>
        <w:ind w:firstLine="708"/>
      </w:pPr>
    </w:p>
    <w:p w14:paraId="0F7AA2ED" w14:textId="19C195F3" w:rsidR="005624A7" w:rsidRDefault="005624A7" w:rsidP="00A370F0">
      <w:pPr>
        <w:ind w:firstLine="708"/>
      </w:pPr>
    </w:p>
    <w:p w14:paraId="7CAF3BCF" w14:textId="610C0665" w:rsidR="00610AAE" w:rsidRDefault="004453BC" w:rsidP="008D0BB3">
      <w:pPr>
        <w:pStyle w:val="1"/>
      </w:pPr>
      <w:bookmarkStart w:id="88" w:name="_Toc136001548"/>
      <w:r>
        <w:rPr>
          <w:caps w:val="0"/>
        </w:rPr>
        <w:lastRenderedPageBreak/>
        <w:t>ГЛАВА 3. ЭМПИРИЧЕСКОЕ ИССЛЕДОВАНИЕ</w:t>
      </w:r>
      <w:bookmarkEnd w:id="88"/>
      <w:r>
        <w:rPr>
          <w:caps w:val="0"/>
        </w:rPr>
        <w:t xml:space="preserve"> </w:t>
      </w:r>
    </w:p>
    <w:p w14:paraId="4D9A15BB" w14:textId="66D08CAC" w:rsidR="00610AAE" w:rsidRDefault="00610AAE" w:rsidP="008D0BB3">
      <w:pPr>
        <w:pStyle w:val="2"/>
      </w:pPr>
      <w:bookmarkStart w:id="89" w:name="_Toc136001549"/>
      <w:r>
        <w:t>3.1 Методология исследования</w:t>
      </w:r>
      <w:bookmarkEnd w:id="89"/>
      <w:r>
        <w:t xml:space="preserve"> </w:t>
      </w:r>
    </w:p>
    <w:p w14:paraId="46F1721B" w14:textId="0241080A" w:rsidR="00BD6471" w:rsidRPr="0062070C" w:rsidRDefault="00BD6471" w:rsidP="0062070C">
      <w:pPr>
        <w:pStyle w:val="aff0"/>
      </w:pPr>
      <w:r w:rsidRPr="0062070C">
        <w:t>Эмпирическое исследование, направленное на выявление и анализ взаимосвязи между характеристиками совет</w:t>
      </w:r>
      <w:r w:rsidR="00EC2DDB" w:rsidRPr="0062070C">
        <w:t>ов</w:t>
      </w:r>
      <w:r w:rsidRPr="0062070C">
        <w:t xml:space="preserve"> директоров и финансовой результативност</w:t>
      </w:r>
      <w:r w:rsidR="003A45A8">
        <w:t>ью</w:t>
      </w:r>
      <w:r w:rsidRPr="0062070C">
        <w:t xml:space="preserve"> публичных компаний с государственным участием</w:t>
      </w:r>
      <w:r w:rsidR="00D95492" w:rsidRPr="0062070C">
        <w:t>, построено на регрессионной модели вида:</w:t>
      </w:r>
    </w:p>
    <w:bookmarkStart w:id="90" w:name="_Hlk131949462"/>
    <w:p w14:paraId="6F21035D" w14:textId="19C69FFA" w:rsidR="009D7923" w:rsidRDefault="00000000" w:rsidP="00571ECA">
      <w:pPr>
        <w:spacing w:after="0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eastAsia="ru-RU"/>
              </w:rPr>
              <m:t>FIN_PERF</m:t>
            </m:r>
          </m:e>
          <m:sub>
            <m:r>
              <w:rPr>
                <w:rFonts w:ascii="Cambria Math" w:hAnsi="Cambria Math" w:cs="Times New Roman"/>
                <w:szCs w:val="24"/>
                <w:lang w:eastAsia="ru-RU"/>
              </w:rPr>
              <m:t>it</m:t>
            </m:r>
          </m:sub>
        </m:sSub>
        <m:r>
          <w:rPr>
            <w:rFonts w:ascii="Cambria Math" w:hAnsi="Cambria Math" w:cs="Times New Roman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eastAsia="ru-RU"/>
              </w:rPr>
              <m:t>β</m:t>
            </m:r>
          </m:e>
          <m:sub>
            <m:r>
              <w:rPr>
                <w:rFonts w:ascii="Cambria Math" w:hAnsi="Cambria Math" w:cs="Times New Roman"/>
                <w:szCs w:val="24"/>
                <w:lang w:eastAsia="ru-RU"/>
              </w:rPr>
              <m:t>0</m:t>
            </m:r>
          </m:sub>
        </m:sSub>
        <m:r>
          <w:rPr>
            <w:rFonts w:ascii="Cambria Math" w:hAnsi="Cambria Math" w:cs="Times New Roman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eastAsia="ru-RU"/>
              </w:rPr>
              <m:t>β</m:t>
            </m:r>
          </m:e>
          <m:sub>
            <m:r>
              <w:rPr>
                <w:rFonts w:ascii="Cambria Math" w:hAnsi="Cambria Math" w:cs="Times New Roman"/>
                <w:szCs w:val="24"/>
                <w:lang w:eastAsia="ru-RU"/>
              </w:rPr>
              <m:t>1</m:t>
            </m:r>
          </m:sub>
        </m:sSub>
        <m:r>
          <w:rPr>
            <w:rFonts w:ascii="Cambria Math" w:hAnsi="Cambria Math" w:cs="Times New Roman"/>
            <w:szCs w:val="24"/>
            <w:lang w:eastAsia="ru-RU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US" w:eastAsia="ru-RU"/>
              </w:rPr>
              <m:t>BOARD</m:t>
            </m:r>
          </m:e>
          <m:sub>
            <m:r>
              <w:rPr>
                <w:rFonts w:ascii="Cambria Math" w:hAnsi="Cambria Math" w:cs="Times New Roman"/>
                <w:szCs w:val="24"/>
                <w:lang w:eastAsia="ru-RU"/>
              </w:rPr>
              <m:t>it</m:t>
            </m:r>
          </m:sub>
        </m:sSub>
        <m:r>
          <w:rPr>
            <w:rFonts w:ascii="Cambria Math" w:hAnsi="Cambria Math" w:cs="Times New Roman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eastAsia="ru-RU"/>
              </w:rPr>
              <m:t>β</m:t>
            </m:r>
          </m:e>
          <m:sub>
            <m:r>
              <w:rPr>
                <w:rFonts w:ascii="Cambria Math" w:hAnsi="Cambria Math" w:cs="Times New Roman"/>
                <w:szCs w:val="24"/>
                <w:lang w:eastAsia="ru-RU"/>
              </w:rPr>
              <m:t>2</m:t>
            </m:r>
          </m:sub>
        </m:sSub>
        <m:r>
          <w:rPr>
            <w:rFonts w:ascii="Cambria Math" w:hAnsi="Cambria Math" w:cs="Times New Roman"/>
            <w:szCs w:val="24"/>
            <w:lang w:eastAsia="ru-RU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US" w:eastAsia="ru-RU"/>
              </w:rPr>
              <m:t>CONTROLS</m:t>
            </m:r>
          </m:e>
          <m:sub>
            <m:r>
              <w:rPr>
                <w:rFonts w:ascii="Cambria Math" w:hAnsi="Cambria Math" w:cs="Times New Roman"/>
                <w:szCs w:val="24"/>
                <w:lang w:val="en-US" w:eastAsia="ru-RU"/>
              </w:rPr>
              <m:t>it</m:t>
            </m:r>
          </m:sub>
        </m:sSub>
        <m:r>
          <w:rPr>
            <w:rFonts w:ascii="Cambria Math" w:eastAsiaTheme="minorEastAsia" w:hAnsi="Cambria Math" w:cs="Times New Roman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Cs w:val="24"/>
                <w:lang w:eastAsia="ru-RU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Cs w:val="24"/>
                <w:lang w:eastAsia="ru-RU"/>
              </w:rPr>
              <m:t>it</m:t>
            </m:r>
          </m:sub>
        </m:sSub>
      </m:oMath>
      <w:r w:rsidR="009D7923" w:rsidRPr="00725291">
        <w:rPr>
          <w:rFonts w:eastAsiaTheme="minorEastAsia"/>
          <w:color w:val="000000" w:themeColor="text1"/>
        </w:rPr>
        <w:t>,</w:t>
      </w:r>
    </w:p>
    <w:p w14:paraId="2B69069C" w14:textId="2345671A" w:rsidR="005C69E6" w:rsidRPr="005C69E6" w:rsidRDefault="00934D31" w:rsidP="005C69E6">
      <w:pPr>
        <w:spacing w:before="120" w:after="120"/>
        <w:rPr>
          <w:rFonts w:eastAsiaTheme="minorEastAsia" w:cs="Times New Roman"/>
          <w:bCs/>
          <w:szCs w:val="24"/>
          <w:lang w:eastAsia="ru-RU"/>
        </w:rPr>
      </w:pPr>
      <w:proofErr w:type="spellStart"/>
      <w:r w:rsidRPr="00BD6471">
        <w:rPr>
          <w:rFonts w:eastAsiaTheme="minorEastAsia" w:cs="Times New Roman"/>
          <w:bCs/>
          <w:i/>
          <w:szCs w:val="24"/>
          <w:lang w:val="en-US" w:eastAsia="ru-RU"/>
        </w:rPr>
        <w:t>i</w:t>
      </w:r>
      <w:proofErr w:type="spellEnd"/>
      <w:r w:rsidRPr="00BD6471">
        <w:rPr>
          <w:rFonts w:eastAsiaTheme="minorEastAsia" w:cs="Times New Roman"/>
          <w:bCs/>
          <w:i/>
          <w:szCs w:val="24"/>
          <w:lang w:eastAsia="ru-RU"/>
        </w:rPr>
        <w:t xml:space="preserve"> = 1, …, </w:t>
      </w:r>
      <w:r w:rsidRPr="00BD6471">
        <w:rPr>
          <w:rFonts w:eastAsiaTheme="minorEastAsia" w:cs="Times New Roman"/>
          <w:bCs/>
          <w:i/>
          <w:szCs w:val="24"/>
          <w:lang w:val="en-US" w:eastAsia="ru-RU"/>
        </w:rPr>
        <w:t>N</w:t>
      </w:r>
      <w:r w:rsidRPr="00BD6471">
        <w:rPr>
          <w:rFonts w:eastAsiaTheme="minorEastAsia" w:cs="Times New Roman"/>
          <w:bCs/>
          <w:i/>
          <w:szCs w:val="24"/>
          <w:lang w:eastAsia="ru-RU"/>
        </w:rPr>
        <w:t xml:space="preserve">, </w:t>
      </w:r>
      <w:r w:rsidRPr="00BD6471">
        <w:rPr>
          <w:rFonts w:eastAsiaTheme="minorEastAsia" w:cs="Times New Roman"/>
          <w:bCs/>
          <w:i/>
          <w:szCs w:val="24"/>
          <w:lang w:val="en-US" w:eastAsia="ru-RU"/>
        </w:rPr>
        <w:t>t</w:t>
      </w:r>
      <w:r w:rsidRPr="00BD6471">
        <w:rPr>
          <w:rFonts w:eastAsiaTheme="minorEastAsia" w:cs="Times New Roman"/>
          <w:bCs/>
          <w:i/>
          <w:szCs w:val="24"/>
          <w:lang w:eastAsia="ru-RU"/>
        </w:rPr>
        <w:t xml:space="preserve"> = 201</w:t>
      </w:r>
      <w:r w:rsidR="00E23D3E">
        <w:rPr>
          <w:rFonts w:eastAsiaTheme="minorEastAsia" w:cs="Times New Roman"/>
          <w:bCs/>
          <w:i/>
          <w:szCs w:val="24"/>
          <w:lang w:eastAsia="ru-RU"/>
        </w:rPr>
        <w:t>4</w:t>
      </w:r>
      <w:r w:rsidRPr="00BD6471">
        <w:rPr>
          <w:rFonts w:eastAsiaTheme="minorEastAsia" w:cs="Times New Roman"/>
          <w:bCs/>
          <w:i/>
          <w:szCs w:val="24"/>
          <w:lang w:eastAsia="ru-RU"/>
        </w:rPr>
        <w:t>, …, 20</w:t>
      </w:r>
      <w:r w:rsidR="00BD6471" w:rsidRPr="00D95492">
        <w:rPr>
          <w:rFonts w:eastAsiaTheme="minorEastAsia" w:cs="Times New Roman"/>
          <w:bCs/>
          <w:i/>
          <w:szCs w:val="24"/>
          <w:lang w:eastAsia="ru-RU"/>
        </w:rPr>
        <w:t>21</w:t>
      </w:r>
    </w:p>
    <w:bookmarkEnd w:id="90"/>
    <w:p w14:paraId="03B802A6" w14:textId="4B8C09CB" w:rsidR="00F67A7C" w:rsidRPr="005C69E6" w:rsidRDefault="00D95492" w:rsidP="0062070C">
      <w:pPr>
        <w:pStyle w:val="aff0"/>
      </w:pPr>
      <w:r w:rsidRPr="005C69E6">
        <w:t xml:space="preserve">В модели  </w:t>
      </w:r>
      <m:oMath>
        <m:sSub>
          <m:sSubPr>
            <m:ctrlPr>
              <w:rPr>
                <w:rFonts w:ascii="Cambria Math" w:hAnsi="Cambria Math" w:cs="Times New Roman"/>
                <w:i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lang w:eastAsia="ru-RU"/>
              </w:rPr>
              <m:t>FIN_PERF</m:t>
            </m:r>
          </m:e>
          <m:sub>
            <m:r>
              <w:rPr>
                <w:rFonts w:ascii="Cambria Math" w:hAnsi="Cambria Math" w:cs="Times New Roman"/>
                <w:lang w:eastAsia="ru-RU"/>
              </w:rPr>
              <m:t>it</m:t>
            </m:r>
          </m:sub>
        </m:sSub>
      </m:oMath>
      <w:r w:rsidRPr="005C69E6">
        <w:rPr>
          <w:lang w:eastAsia="ru-RU"/>
        </w:rPr>
        <w:t xml:space="preserve"> является зависимой переменной</w:t>
      </w:r>
      <w:r w:rsidR="00F64366" w:rsidRPr="00F64366">
        <w:rPr>
          <w:lang w:eastAsia="ru-RU"/>
        </w:rPr>
        <w:t xml:space="preserve"> </w:t>
      </w:r>
      <w:r w:rsidR="00F64366">
        <w:rPr>
          <w:lang w:eastAsia="ru-RU"/>
        </w:rPr>
        <w:t xml:space="preserve">и соответствует </w:t>
      </w:r>
      <w:r w:rsidRPr="005C69E6">
        <w:rPr>
          <w:lang w:eastAsia="ru-RU"/>
        </w:rPr>
        <w:t>показател</w:t>
      </w:r>
      <w:r w:rsidR="00F64366">
        <w:rPr>
          <w:lang w:eastAsia="ru-RU"/>
        </w:rPr>
        <w:t>ям</w:t>
      </w:r>
      <w:r w:rsidRPr="005C69E6">
        <w:rPr>
          <w:lang w:eastAsia="ru-RU"/>
        </w:rPr>
        <w:t xml:space="preserve"> финансовой результативност</w:t>
      </w:r>
      <w:r w:rsidR="003A45A8">
        <w:rPr>
          <w:lang w:eastAsia="ru-RU"/>
        </w:rPr>
        <w:t>и</w:t>
      </w:r>
      <w:r w:rsidRPr="005C69E6">
        <w:rPr>
          <w:lang w:eastAsia="ru-RU"/>
        </w:rPr>
        <w:t xml:space="preserve"> компаний (</w:t>
      </w:r>
      <w:r w:rsidR="00163982">
        <w:rPr>
          <w:lang w:eastAsia="ru-RU"/>
        </w:rPr>
        <w:t xml:space="preserve">бухгалтерским показателям - </w:t>
      </w:r>
      <w:r w:rsidRPr="005C69E6">
        <w:rPr>
          <w:lang w:val="en-US" w:eastAsia="ru-RU"/>
        </w:rPr>
        <w:t>ROA</w:t>
      </w:r>
      <w:r w:rsidRPr="005C69E6">
        <w:rPr>
          <w:lang w:eastAsia="ru-RU"/>
        </w:rPr>
        <w:t xml:space="preserve">, </w:t>
      </w:r>
      <w:r w:rsidRPr="005C69E6">
        <w:rPr>
          <w:lang w:val="en-US" w:eastAsia="ru-RU"/>
        </w:rPr>
        <w:t>ROE</w:t>
      </w:r>
      <w:r w:rsidRPr="005C69E6">
        <w:rPr>
          <w:lang w:eastAsia="ru-RU"/>
        </w:rPr>
        <w:t xml:space="preserve">, </w:t>
      </w:r>
      <w:r w:rsidRPr="005C69E6">
        <w:rPr>
          <w:lang w:val="en-US" w:eastAsia="ru-RU"/>
        </w:rPr>
        <w:t>ROIC</w:t>
      </w:r>
      <w:r w:rsidR="00163982">
        <w:rPr>
          <w:lang w:eastAsia="ru-RU"/>
        </w:rPr>
        <w:t xml:space="preserve"> и рыночным показателям </w:t>
      </w:r>
      <w:r w:rsidR="00163982">
        <w:rPr>
          <w:lang w:val="en-US" w:eastAsia="ru-RU"/>
        </w:rPr>
        <w:t>Tobin</w:t>
      </w:r>
      <w:r w:rsidR="00163982" w:rsidRPr="00163982">
        <w:rPr>
          <w:lang w:eastAsia="ru-RU"/>
        </w:rPr>
        <w:t>’</w:t>
      </w:r>
      <w:r w:rsidR="00163982">
        <w:rPr>
          <w:lang w:val="en-US" w:eastAsia="ru-RU"/>
        </w:rPr>
        <w:t>s</w:t>
      </w:r>
      <w:r w:rsidR="00163982" w:rsidRPr="00163982">
        <w:rPr>
          <w:lang w:eastAsia="ru-RU"/>
        </w:rPr>
        <w:t xml:space="preserve"> </w:t>
      </w:r>
      <w:r w:rsidR="00163982">
        <w:rPr>
          <w:lang w:val="en-US" w:eastAsia="ru-RU"/>
        </w:rPr>
        <w:t>Q</w:t>
      </w:r>
      <w:r w:rsidR="00163982" w:rsidRPr="00163982">
        <w:rPr>
          <w:lang w:eastAsia="ru-RU"/>
        </w:rPr>
        <w:t xml:space="preserve"> </w:t>
      </w:r>
      <w:r w:rsidR="00163982">
        <w:rPr>
          <w:lang w:eastAsia="ru-RU"/>
        </w:rPr>
        <w:t xml:space="preserve">и </w:t>
      </w:r>
      <w:r w:rsidR="00163982">
        <w:rPr>
          <w:lang w:val="en-US" w:eastAsia="ru-RU"/>
        </w:rPr>
        <w:t>M</w:t>
      </w:r>
      <w:r w:rsidR="00163982" w:rsidRPr="00163982">
        <w:rPr>
          <w:lang w:eastAsia="ru-RU"/>
        </w:rPr>
        <w:t>/</w:t>
      </w:r>
      <w:r w:rsidR="00163982">
        <w:rPr>
          <w:lang w:val="en-US" w:eastAsia="ru-RU"/>
        </w:rPr>
        <w:t>B</w:t>
      </w:r>
      <w:r w:rsidR="00163982" w:rsidRPr="00163982">
        <w:rPr>
          <w:lang w:eastAsia="ru-RU"/>
        </w:rPr>
        <w:t xml:space="preserve"> </w:t>
      </w:r>
      <w:r w:rsidR="002C2C7E">
        <w:rPr>
          <w:lang w:val="en-US" w:eastAsia="ru-RU"/>
        </w:rPr>
        <w:t>R</w:t>
      </w:r>
      <w:r w:rsidR="00163982">
        <w:rPr>
          <w:lang w:val="en-US" w:eastAsia="ru-RU"/>
        </w:rPr>
        <w:t>atio</w:t>
      </w:r>
      <w:r w:rsidRPr="005C69E6">
        <w:rPr>
          <w:lang w:eastAsia="ru-RU"/>
        </w:rPr>
        <w:t xml:space="preserve">). Вектор </w:t>
      </w:r>
      <m:oMath>
        <m:sSub>
          <m:sSubPr>
            <m:ctrlPr>
              <w:rPr>
                <w:rFonts w:ascii="Cambria Math" w:hAnsi="Cambria Math" w:cs="Times New Roman"/>
                <w:i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lang w:eastAsia="ru-RU"/>
              </w:rPr>
              <m:t>BOARD</m:t>
            </m:r>
          </m:e>
          <m:sub>
            <m:r>
              <w:rPr>
                <w:rFonts w:ascii="Cambria Math" w:hAnsi="Cambria Math" w:cs="Times New Roman"/>
                <w:lang w:eastAsia="ru-RU"/>
              </w:rPr>
              <m:t>it</m:t>
            </m:r>
          </m:sub>
        </m:sSub>
      </m:oMath>
      <w:r w:rsidRPr="005C69E6">
        <w:rPr>
          <w:lang w:eastAsia="ru-RU"/>
        </w:rPr>
        <w:t xml:space="preserve"> обозначает переменные, которые описывают характ</w:t>
      </w:r>
      <w:proofErr w:type="spellStart"/>
      <w:r w:rsidRPr="005C69E6">
        <w:rPr>
          <w:lang w:eastAsia="ru-RU"/>
        </w:rPr>
        <w:t>еристики</w:t>
      </w:r>
      <w:proofErr w:type="spellEnd"/>
      <w:r w:rsidRPr="005C69E6">
        <w:rPr>
          <w:lang w:eastAsia="ru-RU"/>
        </w:rPr>
        <w:t xml:space="preserve"> совета директоров компаний</w:t>
      </w:r>
      <w:r w:rsidR="005C69E6">
        <w:rPr>
          <w:lang w:eastAsia="ru-RU"/>
        </w:rPr>
        <w:t xml:space="preserve">: </w:t>
      </w:r>
      <w:r w:rsidR="00035092" w:rsidRPr="005C69E6">
        <w:rPr>
          <w:lang w:eastAsia="ru-RU"/>
        </w:rPr>
        <w:t>размер Совета, доля независимых и исполнительных директоров, гендерное разнообразие</w:t>
      </w:r>
      <w:r w:rsidR="005C69E6">
        <w:rPr>
          <w:lang w:eastAsia="ru-RU"/>
        </w:rPr>
        <w:t>;</w:t>
      </w:r>
      <w:r w:rsidRPr="005C69E6">
        <w:rPr>
          <w:lang w:eastAsia="ru-RU"/>
        </w:rPr>
        <w:t xml:space="preserve"> дол</w:t>
      </w:r>
      <w:r w:rsidR="005C69E6">
        <w:rPr>
          <w:lang w:eastAsia="ru-RU"/>
        </w:rPr>
        <w:t>я</w:t>
      </w:r>
      <w:r w:rsidRPr="005C69E6">
        <w:rPr>
          <w:lang w:eastAsia="ru-RU"/>
        </w:rPr>
        <w:t xml:space="preserve"> директоров,</w:t>
      </w:r>
      <w:r w:rsidR="00035092" w:rsidRPr="005C69E6">
        <w:rPr>
          <w:lang w:eastAsia="ru-RU"/>
        </w:rPr>
        <w:t xml:space="preserve"> имеющих опыт работы в государственных органах власти</w:t>
      </w:r>
      <w:r w:rsidRPr="005C69E6">
        <w:rPr>
          <w:lang w:eastAsia="ru-RU"/>
        </w:rPr>
        <w:t xml:space="preserve">; «занятость» директорских позиций; </w:t>
      </w:r>
      <w:r w:rsidR="000374BD" w:rsidRPr="005C69E6">
        <w:rPr>
          <w:lang w:eastAsia="ru-RU"/>
        </w:rPr>
        <w:t>дол</w:t>
      </w:r>
      <w:r w:rsidR="005C69E6">
        <w:rPr>
          <w:lang w:eastAsia="ru-RU"/>
        </w:rPr>
        <w:t>я</w:t>
      </w:r>
      <w:r w:rsidR="000374BD" w:rsidRPr="005C69E6">
        <w:rPr>
          <w:lang w:eastAsia="ru-RU"/>
        </w:rPr>
        <w:t xml:space="preserve"> директоров, вовлеченных в экологическую и социальную деятельность</w:t>
      </w:r>
      <w:r w:rsidR="005C69E6">
        <w:rPr>
          <w:lang w:eastAsia="ru-RU"/>
        </w:rPr>
        <w:t>. В</w:t>
      </w:r>
      <w:r w:rsidR="000374BD" w:rsidRPr="005C69E6">
        <w:rPr>
          <w:lang w:eastAsia="ru-RU"/>
        </w:rPr>
        <w:t xml:space="preserve">ектор </w:t>
      </w:r>
      <m:oMath>
        <m:sSub>
          <m:sSubPr>
            <m:ctrlPr>
              <w:rPr>
                <w:rFonts w:ascii="Cambria Math" w:hAnsi="Cambria Math" w:cs="Times New Roman"/>
                <w:i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lang w:val="en-US" w:eastAsia="ru-RU"/>
              </w:rPr>
              <m:t>CONTROLS</m:t>
            </m:r>
          </m:e>
          <m:sub>
            <m:r>
              <w:rPr>
                <w:rFonts w:ascii="Cambria Math" w:hAnsi="Cambria Math" w:cs="Times New Roman"/>
                <w:lang w:eastAsia="ru-RU"/>
              </w:rPr>
              <m:t>it</m:t>
            </m:r>
          </m:sub>
        </m:sSub>
      </m:oMath>
      <w:r w:rsidR="000374BD" w:rsidRPr="005C69E6">
        <w:rPr>
          <w:lang w:eastAsia="ru-RU"/>
        </w:rPr>
        <w:t xml:space="preserve"> соответствует контрольным переменным, отражающим финансово-экономические показатели фирмы; </w:t>
      </w:r>
      <m:oMath>
        <m:sSub>
          <m:sSubPr>
            <m:ctrlPr>
              <w:rPr>
                <w:rFonts w:ascii="Cambria Math" w:hAnsi="Cambria Math" w:cs="Times New Roman"/>
                <w:i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lang w:eastAsia="ru-RU"/>
              </w:rPr>
              <m:t>u</m:t>
            </m:r>
          </m:e>
          <m:sub>
            <m:r>
              <w:rPr>
                <w:rFonts w:ascii="Cambria Math" w:hAnsi="Cambria Math" w:cs="Times New Roman"/>
                <w:lang w:eastAsia="ru-RU"/>
              </w:rPr>
              <m:t>it</m:t>
            </m:r>
          </m:sub>
        </m:sSub>
      </m:oMath>
      <w:r w:rsidR="000374BD" w:rsidRPr="005C69E6">
        <w:rPr>
          <w:rFonts w:cs="Times New Roman"/>
          <w:lang w:eastAsia="ru-RU"/>
        </w:rPr>
        <w:t xml:space="preserve"> является случайной величиной. Индекс </w:t>
      </w:r>
      <w:r w:rsidR="000374BD" w:rsidRPr="005C69E6">
        <w:rPr>
          <w:rFonts w:cs="Times New Roman"/>
          <w:i/>
          <w:iCs/>
          <w:lang w:val="en-US" w:eastAsia="ru-RU"/>
        </w:rPr>
        <w:t>it</w:t>
      </w:r>
      <w:r w:rsidR="000374BD" w:rsidRPr="005C69E6">
        <w:rPr>
          <w:rFonts w:cs="Times New Roman"/>
          <w:lang w:eastAsia="ru-RU"/>
        </w:rPr>
        <w:t xml:space="preserve"> </w:t>
      </w:r>
      <w:r w:rsidR="000374BD" w:rsidRPr="005C69E6">
        <w:t xml:space="preserve">показывает изменение информации i в момент времени t. Построенная модель является линейной с неизвестными коэффициентами </w:t>
      </w:r>
      <w:r w:rsidR="000374BD" w:rsidRPr="005C69E6">
        <w:rPr>
          <w:rFonts w:ascii="Cambria Math" w:hAnsi="Cambria Math" w:cs="Cambria Math"/>
        </w:rPr>
        <w:t>𝛽</w:t>
      </w:r>
      <w:r w:rsidR="000374BD" w:rsidRPr="005C69E6">
        <w:t xml:space="preserve">1, </w:t>
      </w:r>
      <w:r w:rsidR="000374BD" w:rsidRPr="005C69E6">
        <w:rPr>
          <w:rFonts w:ascii="Cambria Math" w:hAnsi="Cambria Math" w:cs="Cambria Math"/>
        </w:rPr>
        <w:t>𝛽</w:t>
      </w:r>
      <w:r w:rsidR="000374BD" w:rsidRPr="005C69E6">
        <w:t xml:space="preserve">2 перед переменными и константой </w:t>
      </w:r>
      <w:r w:rsidR="000374BD" w:rsidRPr="005C69E6">
        <w:rPr>
          <w:rFonts w:ascii="Cambria Math" w:hAnsi="Cambria Math" w:cs="Cambria Math"/>
        </w:rPr>
        <w:t>𝛽</w:t>
      </w:r>
      <w:r w:rsidR="000374BD" w:rsidRPr="005C69E6">
        <w:t>0.</w:t>
      </w:r>
    </w:p>
    <w:p w14:paraId="2522E214" w14:textId="65F8F2CE" w:rsidR="005F7B1F" w:rsidRPr="00EC2DDB" w:rsidRDefault="000374BD" w:rsidP="0062070C">
      <w:pPr>
        <w:pStyle w:val="aff0"/>
      </w:pPr>
      <w:r w:rsidRPr="00EC2DDB">
        <w:t xml:space="preserve">В </w:t>
      </w:r>
      <w:r w:rsidR="00E04C28">
        <w:fldChar w:fldCharType="begin"/>
      </w:r>
      <w:r w:rsidR="00E04C28">
        <w:instrText xml:space="preserve"> REF _Ref131618239 \r \h </w:instrText>
      </w:r>
      <w:r w:rsidR="0062070C">
        <w:instrText xml:space="preserve"> \* MERGEFORMAT </w:instrText>
      </w:r>
      <w:r w:rsidR="00E04C28">
        <w:fldChar w:fldCharType="separate"/>
      </w:r>
      <w:r w:rsidR="00E04C28">
        <w:t>Таблице 1</w:t>
      </w:r>
      <w:r w:rsidR="00E04C28">
        <w:fldChar w:fldCharType="end"/>
      </w:r>
      <w:r w:rsidR="00E04C28">
        <w:t xml:space="preserve"> </w:t>
      </w:r>
      <w:r w:rsidRPr="00EC2DDB">
        <w:t xml:space="preserve">представлена подробная информация о переменных, используемых в эконометрическом исследовании. </w:t>
      </w:r>
    </w:p>
    <w:p w14:paraId="34E0F6F2" w14:textId="50DAFABB" w:rsidR="0079779D" w:rsidRDefault="0079779D" w:rsidP="00E04C28">
      <w:pPr>
        <w:pStyle w:val="a"/>
      </w:pPr>
      <w:bookmarkStart w:id="91" w:name="_Ref131618239"/>
      <w:r>
        <w:t>Описание переменных</w:t>
      </w:r>
      <w:bookmarkEnd w:id="91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65"/>
      </w:tblGrid>
      <w:tr w:rsidR="003906FC" w:rsidRPr="004761FE" w14:paraId="6820A89A" w14:textId="77777777" w:rsidTr="00EC2DDB">
        <w:trPr>
          <w:jc w:val="center"/>
        </w:trPr>
        <w:tc>
          <w:tcPr>
            <w:tcW w:w="9345" w:type="dxa"/>
            <w:gridSpan w:val="2"/>
            <w:vAlign w:val="bottom"/>
          </w:tcPr>
          <w:p w14:paraId="176DBE0D" w14:textId="26D2E955" w:rsidR="003906FC" w:rsidRPr="004761FE" w:rsidRDefault="003906FC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w:r w:rsidRPr="004761FE">
              <w:rPr>
                <w:b/>
                <w:bCs/>
                <w:szCs w:val="24"/>
              </w:rPr>
              <w:t>Зависимые переменные</w:t>
            </w:r>
          </w:p>
        </w:tc>
      </w:tr>
      <w:tr w:rsidR="000374BD" w:rsidRPr="004761FE" w14:paraId="191266DE" w14:textId="77777777" w:rsidTr="0079779D">
        <w:trPr>
          <w:jc w:val="center"/>
        </w:trPr>
        <w:tc>
          <w:tcPr>
            <w:tcW w:w="1980" w:type="dxa"/>
            <w:vAlign w:val="center"/>
          </w:tcPr>
          <w:p w14:paraId="47F0F868" w14:textId="5F1039A7" w:rsidR="000374BD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ROA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31A0A6F3" w14:textId="7A31A47B" w:rsidR="005F7B1F" w:rsidRPr="004761FE" w:rsidRDefault="005F7B1F" w:rsidP="00EC2DDB">
            <w:pPr>
              <w:spacing w:before="120" w:after="120" w:line="240" w:lineRule="auto"/>
              <w:rPr>
                <w:sz w:val="22"/>
              </w:rPr>
            </w:pPr>
            <w:r w:rsidRPr="004761FE">
              <w:rPr>
                <w:sz w:val="22"/>
              </w:rPr>
              <w:t xml:space="preserve">Показатель рентабельности активов, рассчитывающийся по формуле: </w:t>
            </w:r>
          </w:p>
          <w:p w14:paraId="21F298B4" w14:textId="6ABAE1AC" w:rsidR="005F7B1F" w:rsidRPr="004761FE" w:rsidRDefault="0079779D" w:rsidP="00EC2DDB">
            <w:pPr>
              <w:spacing w:before="120" w:after="120"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m:oMath>
              <m:r>
                <w:rPr>
                  <w:rFonts w:ascii="Cambria Math" w:hAnsi="Cambria Math" w:cs="Times New Roman"/>
                  <w:sz w:val="22"/>
                </w:rPr>
                <m:t xml:space="preserve">ROA=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2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TA</m:t>
                  </m:r>
                </m:den>
              </m:f>
            </m:oMath>
            <w:r w:rsidR="005F7B1F" w:rsidRPr="004761FE">
              <w:rPr>
                <w:rFonts w:eastAsiaTheme="minorEastAsia" w:cs="Times New Roman"/>
                <w:i/>
                <w:sz w:val="22"/>
              </w:rPr>
              <w:t xml:space="preserve"> , гд</w:t>
            </w:r>
            <w:r w:rsidR="005F7B1F" w:rsidRPr="004761FE">
              <w:rPr>
                <w:rFonts w:eastAsiaTheme="minorEastAsia" w:cs="Times New Roman"/>
                <w:i/>
                <w:sz w:val="22"/>
                <w:lang w:val="en-US"/>
              </w:rPr>
              <w:t>e</w:t>
            </w:r>
          </w:p>
          <w:p w14:paraId="02768D2B" w14:textId="1E7065B8" w:rsidR="005F7B1F" w:rsidRPr="004761FE" w:rsidRDefault="005F7B1F" w:rsidP="00EC2DDB">
            <w:pPr>
              <w:spacing w:before="120" w:after="120" w:line="240" w:lineRule="auto"/>
              <w:rPr>
                <w:sz w:val="22"/>
              </w:rPr>
            </w:pPr>
            <w:r w:rsidRPr="0079779D">
              <w:rPr>
                <w:rFonts w:eastAsiaTheme="minorEastAsia" w:cs="Times New Roman"/>
                <w:iCs/>
                <w:sz w:val="22"/>
                <w:lang w:val="en-US"/>
              </w:rPr>
              <w:t>NI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—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величина чистой прибыли,</w:t>
            </w:r>
            <w:r w:rsid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eastAsiaTheme="minorEastAsia" w:cs="Times New Roman"/>
                <w:iCs/>
                <w:sz w:val="22"/>
                <w:lang w:val="en-US"/>
              </w:rPr>
              <w:t>TA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—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балансовая стоимость активов</w:t>
            </w:r>
          </w:p>
        </w:tc>
      </w:tr>
      <w:tr w:rsidR="000374BD" w:rsidRPr="004761FE" w14:paraId="6CFABA2E" w14:textId="77777777" w:rsidTr="0079779D">
        <w:trPr>
          <w:jc w:val="center"/>
        </w:trPr>
        <w:tc>
          <w:tcPr>
            <w:tcW w:w="1980" w:type="dxa"/>
            <w:vAlign w:val="center"/>
          </w:tcPr>
          <w:p w14:paraId="7201079F" w14:textId="18B09C0C" w:rsidR="000374BD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ROE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55E4EC8C" w14:textId="77777777" w:rsidR="0079779D" w:rsidRPr="0079779D" w:rsidRDefault="005F7B1F" w:rsidP="00EC2DDB">
            <w:pPr>
              <w:spacing w:before="120" w:after="120" w:line="240" w:lineRule="auto"/>
              <w:rPr>
                <w:rFonts w:eastAsiaTheme="minorEastAsia"/>
                <w:sz w:val="22"/>
              </w:rPr>
            </w:pPr>
            <w:r w:rsidRPr="004761FE">
              <w:rPr>
                <w:sz w:val="22"/>
              </w:rPr>
              <w:t>Показатель рентабельности собственного капитала</w:t>
            </w:r>
            <w:r w:rsidR="00B25561" w:rsidRPr="004761FE">
              <w:rPr>
                <w:sz w:val="22"/>
              </w:rPr>
              <w:t xml:space="preserve">, рассчитывающийся по формуле: </w:t>
            </w:r>
            <w:r w:rsidRPr="004761FE">
              <w:rPr>
                <w:sz w:val="22"/>
              </w:rPr>
              <w:t xml:space="preserve"> </w:t>
            </w:r>
          </w:p>
          <w:p w14:paraId="3EB4DB30" w14:textId="13D6B5B7" w:rsidR="005F7B1F" w:rsidRPr="004761FE" w:rsidRDefault="0079779D" w:rsidP="00EC2DDB">
            <w:pPr>
              <w:spacing w:before="120" w:after="120"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m:oMath>
              <m:r>
                <w:rPr>
                  <w:rFonts w:ascii="Cambria Math" w:hAnsi="Cambria Math" w:cs="Times New Roman"/>
                  <w:sz w:val="22"/>
                </w:rPr>
                <m:t xml:space="preserve">ROE=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</w:rPr>
                    <m:t>NI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E</m:t>
                  </m:r>
                </m:den>
              </m:f>
            </m:oMath>
            <w:r w:rsidR="005F7B1F" w:rsidRPr="004761FE">
              <w:rPr>
                <w:rFonts w:eastAsiaTheme="minorEastAsia" w:cs="Times New Roman"/>
                <w:i/>
                <w:sz w:val="22"/>
              </w:rPr>
              <w:t xml:space="preserve"> , где</w:t>
            </w:r>
          </w:p>
          <w:p w14:paraId="2C8E5FB7" w14:textId="108D09C0" w:rsidR="000374BD" w:rsidRPr="004761FE" w:rsidRDefault="005F7B1F" w:rsidP="00EC2DDB">
            <w:pPr>
              <w:spacing w:before="120" w:after="120" w:line="240" w:lineRule="auto"/>
              <w:rPr>
                <w:sz w:val="22"/>
              </w:rPr>
            </w:pPr>
            <w:r w:rsidRPr="0079779D">
              <w:rPr>
                <w:rFonts w:eastAsiaTheme="minorEastAsia" w:cs="Times New Roman"/>
                <w:iCs/>
                <w:sz w:val="22"/>
                <w:lang w:val="en-US"/>
              </w:rPr>
              <w:t>NI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—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величина чистой прибыли,</w:t>
            </w:r>
            <w:r w:rsid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eastAsiaTheme="minorEastAsia" w:cs="Times New Roman"/>
                <w:iCs/>
                <w:sz w:val="22"/>
                <w:lang w:val="en-US"/>
              </w:rPr>
              <w:t>E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—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балансовая стоимость собственного капитала компании</w:t>
            </w:r>
          </w:p>
        </w:tc>
      </w:tr>
      <w:tr w:rsidR="000374BD" w:rsidRPr="004761FE" w14:paraId="10B9F13F" w14:textId="77777777" w:rsidTr="0079779D">
        <w:trPr>
          <w:jc w:val="center"/>
        </w:trPr>
        <w:tc>
          <w:tcPr>
            <w:tcW w:w="1980" w:type="dxa"/>
            <w:vAlign w:val="center"/>
          </w:tcPr>
          <w:p w14:paraId="69C57A95" w14:textId="79163C37" w:rsidR="000374BD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ROIC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65AA7194" w14:textId="77777777" w:rsidR="00B25561" w:rsidRPr="004761FE" w:rsidRDefault="005F7B1F" w:rsidP="00EC2DDB">
            <w:pPr>
              <w:spacing w:before="120" w:after="120" w:line="240" w:lineRule="auto"/>
              <w:rPr>
                <w:sz w:val="22"/>
              </w:rPr>
            </w:pPr>
            <w:r w:rsidRPr="004761FE">
              <w:rPr>
                <w:sz w:val="22"/>
              </w:rPr>
              <w:t>Показатель рентабельности инвестированного капитала</w:t>
            </w:r>
            <w:r w:rsidR="00B25561" w:rsidRPr="004761FE">
              <w:rPr>
                <w:sz w:val="22"/>
              </w:rPr>
              <w:t xml:space="preserve">, вычисляемый по формуле: </w:t>
            </w:r>
          </w:p>
          <w:p w14:paraId="304B0C05" w14:textId="526A6EB3" w:rsidR="005F7B1F" w:rsidRPr="004761FE" w:rsidRDefault="0079779D" w:rsidP="00EC2DDB">
            <w:pPr>
              <w:spacing w:before="120" w:after="120" w:line="240" w:lineRule="auto"/>
              <w:jc w:val="center"/>
              <w:rPr>
                <w:sz w:val="22"/>
              </w:rPr>
            </w:pPr>
            <m:oMath>
              <m:r>
                <w:rPr>
                  <w:rFonts w:ascii="Cambria Math" w:hAnsi="Cambria Math" w:cs="Times New Roman"/>
                  <w:sz w:val="22"/>
                </w:rPr>
                <m:t>ROIC=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</w:rPr>
                    <m:t>EBIT*(1-T)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IC</m:t>
                  </m:r>
                </m:den>
              </m:f>
            </m:oMath>
            <w:r w:rsidR="005F7B1F" w:rsidRPr="004761FE">
              <w:rPr>
                <w:rFonts w:eastAsiaTheme="minorEastAsia" w:cs="Times New Roman"/>
                <w:i/>
                <w:sz w:val="22"/>
              </w:rPr>
              <w:t xml:space="preserve"> , где</w:t>
            </w:r>
          </w:p>
          <w:p w14:paraId="57FC9A57" w14:textId="3EEF4551" w:rsidR="005F7B1F" w:rsidRPr="004761FE" w:rsidRDefault="005F7B1F" w:rsidP="00EC2DDB">
            <w:pPr>
              <w:spacing w:before="120" w:after="120" w:line="240" w:lineRule="auto"/>
              <w:rPr>
                <w:sz w:val="22"/>
              </w:rPr>
            </w:pPr>
            <w:r w:rsidRPr="0079779D">
              <w:rPr>
                <w:rFonts w:eastAsiaTheme="minorEastAsia" w:cs="Times New Roman"/>
                <w:iCs/>
                <w:sz w:val="22"/>
                <w:lang w:val="en-US"/>
              </w:rPr>
              <w:lastRenderedPageBreak/>
              <w:t>EBIT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– величина прибыли до вычета налогов и процентов, </w:t>
            </w:r>
            <w:r w:rsidRPr="0079779D">
              <w:rPr>
                <w:rFonts w:eastAsiaTheme="minorEastAsia" w:cs="Times New Roman"/>
                <w:iCs/>
                <w:sz w:val="22"/>
                <w:lang w:val="en-US"/>
              </w:rPr>
              <w:t>T</w:t>
            </w:r>
            <w:r w:rsidRPr="0079779D">
              <w:rPr>
                <w:rFonts w:eastAsiaTheme="minorEastAsia"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</w:rPr>
              <w:t>— ставка налога на прибыль,</w:t>
            </w:r>
            <w:r w:rsidR="0079779D">
              <w:rPr>
                <w:rFonts w:cs="Times New Roman"/>
                <w:iCs/>
                <w:sz w:val="22"/>
              </w:rPr>
              <w:t xml:space="preserve"> </w:t>
            </w:r>
            <w:r w:rsidRPr="0079779D">
              <w:rPr>
                <w:rFonts w:cs="Times New Roman"/>
                <w:iCs/>
                <w:sz w:val="22"/>
                <w:lang w:val="en-US"/>
              </w:rPr>
              <w:t>IC</w:t>
            </w:r>
            <w:r w:rsidRPr="0079779D">
              <w:rPr>
                <w:rFonts w:cs="Times New Roman"/>
                <w:iCs/>
                <w:sz w:val="22"/>
              </w:rPr>
              <w:t xml:space="preserve"> – величина инвестированного капитала</w:t>
            </w:r>
          </w:p>
        </w:tc>
      </w:tr>
      <w:tr w:rsidR="00163982" w:rsidRPr="004761FE" w14:paraId="3E129471" w14:textId="77777777" w:rsidTr="0079779D">
        <w:trPr>
          <w:jc w:val="center"/>
        </w:trPr>
        <w:tc>
          <w:tcPr>
            <w:tcW w:w="1980" w:type="dxa"/>
            <w:vAlign w:val="center"/>
          </w:tcPr>
          <w:p w14:paraId="7813FCEE" w14:textId="151E7AFD" w:rsidR="00163982" w:rsidRDefault="00163982" w:rsidP="00EC2DDB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bCs/>
                <w:sz w:val="22"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lang w:val="en-US"/>
              </w:rPr>
              <w:lastRenderedPageBreak/>
              <w:t>LN_Q</w:t>
            </w:r>
            <w:r w:rsidRPr="00163982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it</w:t>
            </w:r>
            <w:proofErr w:type="spellEnd"/>
          </w:p>
        </w:tc>
        <w:tc>
          <w:tcPr>
            <w:tcW w:w="7365" w:type="dxa"/>
          </w:tcPr>
          <w:p w14:paraId="1E320A7F" w14:textId="77777777" w:rsidR="00163982" w:rsidRDefault="00163982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 xml:space="preserve">Натуральный логарифм </w:t>
            </w:r>
            <w:r w:rsidR="00883DA2">
              <w:rPr>
                <w:sz w:val="22"/>
              </w:rPr>
              <w:t xml:space="preserve">коэффициента Тобина, рассчитывающийся по формуле: </w:t>
            </w:r>
          </w:p>
          <w:p w14:paraId="71887ACC" w14:textId="5BBE71F8" w:rsidR="00883DA2" w:rsidRPr="004761FE" w:rsidRDefault="00883DA2" w:rsidP="00883DA2">
            <w:pPr>
              <w:spacing w:before="120" w:after="120" w:line="240" w:lineRule="auto"/>
              <w:jc w:val="center"/>
              <w:rPr>
                <w:sz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</w:rPr>
                    <m:t>MVE+DEBT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TA</m:t>
                  </m:r>
                </m:den>
              </m:f>
            </m:oMath>
            <w:r w:rsidRPr="004761FE">
              <w:rPr>
                <w:rFonts w:eastAsiaTheme="minorEastAsia" w:cs="Times New Roman"/>
                <w:i/>
                <w:sz w:val="22"/>
              </w:rPr>
              <w:t xml:space="preserve"> , где</w:t>
            </w:r>
          </w:p>
          <w:p w14:paraId="31DB1DCA" w14:textId="5B59A021" w:rsidR="00883DA2" w:rsidRPr="00883DA2" w:rsidRDefault="00883DA2" w:rsidP="00883DA2">
            <w:pPr>
              <w:spacing w:before="120" w:after="120" w:line="240" w:lineRule="auto"/>
              <w:rPr>
                <w:rFonts w:cs="Times New Roman"/>
                <w:i/>
                <w:szCs w:val="24"/>
              </w:rPr>
            </w:pPr>
            <w:r w:rsidRPr="00883DA2">
              <w:rPr>
                <w:rFonts w:eastAsiaTheme="minorEastAsia" w:cs="Times New Roman"/>
                <w:iCs/>
                <w:sz w:val="22"/>
                <w:lang w:val="en-US"/>
              </w:rPr>
              <w:t>MVE</w:t>
            </w:r>
            <w:r w:rsidRPr="00B552DC">
              <w:rPr>
                <w:rFonts w:eastAsiaTheme="minorEastAsia" w:cs="Times New Roman"/>
                <w:iCs/>
                <w:sz w:val="22"/>
              </w:rPr>
              <w:t xml:space="preserve"> — величина рыночной капитализации, </w:t>
            </w:r>
            <w:r w:rsidRPr="00883DA2">
              <w:rPr>
                <w:rFonts w:eastAsiaTheme="minorEastAsia" w:cs="Times New Roman"/>
                <w:iCs/>
                <w:sz w:val="22"/>
                <w:lang w:val="en-US"/>
              </w:rPr>
              <w:t>DEBT</w:t>
            </w:r>
            <w:r w:rsidRPr="00B552DC">
              <w:rPr>
                <w:rFonts w:eastAsiaTheme="minorEastAsia" w:cs="Times New Roman"/>
                <w:iCs/>
                <w:sz w:val="22"/>
              </w:rPr>
              <w:t xml:space="preserve"> — сумма долгосрочных и краткосрочных обязательств за вычетом текущих активов, </w:t>
            </w:r>
            <w:r w:rsidRPr="00883DA2">
              <w:rPr>
                <w:rFonts w:eastAsiaTheme="minorEastAsia" w:cs="Times New Roman"/>
                <w:iCs/>
                <w:sz w:val="22"/>
                <w:lang w:val="en-US"/>
              </w:rPr>
              <w:t>TA</w:t>
            </w:r>
            <w:r w:rsidRPr="00B552DC">
              <w:rPr>
                <w:rFonts w:eastAsiaTheme="minorEastAsia" w:cs="Times New Roman"/>
                <w:iCs/>
                <w:sz w:val="22"/>
              </w:rPr>
              <w:t xml:space="preserve"> — суммарная величина активов</w:t>
            </w:r>
          </w:p>
        </w:tc>
      </w:tr>
      <w:tr w:rsidR="00163982" w:rsidRPr="00883DA2" w14:paraId="2E748E7A" w14:textId="77777777" w:rsidTr="0079779D">
        <w:trPr>
          <w:jc w:val="center"/>
        </w:trPr>
        <w:tc>
          <w:tcPr>
            <w:tcW w:w="1980" w:type="dxa"/>
            <w:vAlign w:val="center"/>
          </w:tcPr>
          <w:p w14:paraId="0C3F5730" w14:textId="1A56B6F2" w:rsidR="00163982" w:rsidRDefault="00163982" w:rsidP="00EC2DDB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bCs/>
                <w:sz w:val="22"/>
                <w:lang w:val="en-US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lang w:val="en-US"/>
              </w:rPr>
              <w:t>LN_MB</w:t>
            </w:r>
            <w:r w:rsidRPr="00163982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it</w:t>
            </w:r>
            <w:proofErr w:type="spellEnd"/>
          </w:p>
        </w:tc>
        <w:tc>
          <w:tcPr>
            <w:tcW w:w="7365" w:type="dxa"/>
          </w:tcPr>
          <w:p w14:paraId="49F80EC0" w14:textId="68C829D4" w:rsidR="00163982" w:rsidRDefault="00883DA2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Натуральный</w:t>
            </w:r>
            <w:r w:rsidRPr="00883DA2">
              <w:rPr>
                <w:sz w:val="22"/>
              </w:rPr>
              <w:t xml:space="preserve"> </w:t>
            </w:r>
            <w:r>
              <w:rPr>
                <w:sz w:val="22"/>
              </w:rPr>
              <w:t>логарифм</w:t>
            </w:r>
            <w:r w:rsidRPr="00883DA2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Market</w:t>
            </w:r>
            <w:r w:rsidR="00C63AD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to</w:t>
            </w:r>
            <w:r w:rsidR="00C63AD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Book</w:t>
            </w:r>
            <w:r w:rsidRPr="00883DA2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Ratio</w:t>
            </w:r>
            <w:r w:rsidRPr="00883DA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рассчитывающийся по формуле: </w:t>
            </w:r>
          </w:p>
          <w:p w14:paraId="634AB3E9" w14:textId="16EC4FE4" w:rsidR="00883DA2" w:rsidRPr="004761FE" w:rsidRDefault="00883DA2" w:rsidP="00883DA2">
            <w:pPr>
              <w:spacing w:before="120" w:after="120" w:line="240" w:lineRule="auto"/>
              <w:jc w:val="center"/>
              <w:rPr>
                <w:sz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2"/>
                </w:rPr>
                <m:t>/</m:t>
              </m:r>
              <m:r>
                <w:rPr>
                  <w:rFonts w:ascii="Cambria Math" w:hAnsi="Cambria Math" w:cs="Times New Roman"/>
                  <w:sz w:val="22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</w:rPr>
                    <m:t>MVE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E</m:t>
                  </m:r>
                </m:den>
              </m:f>
            </m:oMath>
            <w:r w:rsidRPr="004761FE">
              <w:rPr>
                <w:rFonts w:eastAsiaTheme="minorEastAsia" w:cs="Times New Roman"/>
                <w:i/>
                <w:sz w:val="22"/>
              </w:rPr>
              <w:t xml:space="preserve"> , где</w:t>
            </w:r>
          </w:p>
          <w:p w14:paraId="75007AD1" w14:textId="1D92D1B1" w:rsidR="00883DA2" w:rsidRPr="00883DA2" w:rsidRDefault="00883DA2" w:rsidP="00EC2DDB">
            <w:pPr>
              <w:spacing w:before="120" w:after="120" w:line="240" w:lineRule="auto"/>
              <w:rPr>
                <w:sz w:val="22"/>
              </w:rPr>
            </w:pPr>
            <w:r w:rsidRPr="00883DA2">
              <w:rPr>
                <w:rFonts w:eastAsiaTheme="minorEastAsia" w:cs="Times New Roman"/>
                <w:iCs/>
                <w:sz w:val="22"/>
                <w:lang w:val="en-US"/>
              </w:rPr>
              <w:t>MVE</w:t>
            </w:r>
            <w:r w:rsidRPr="00883DA2">
              <w:rPr>
                <w:rFonts w:eastAsiaTheme="minorEastAsia" w:cs="Times New Roman"/>
                <w:iCs/>
                <w:sz w:val="22"/>
              </w:rPr>
              <w:t xml:space="preserve"> — величина рыночной капитализации, </w:t>
            </w:r>
            <w:r>
              <w:rPr>
                <w:rFonts w:eastAsiaTheme="minorEastAsia" w:cs="Times New Roman"/>
                <w:iCs/>
                <w:sz w:val="22"/>
                <w:lang w:val="en-US"/>
              </w:rPr>
              <w:t>E</w:t>
            </w:r>
            <w:r w:rsidRPr="00883DA2">
              <w:rPr>
                <w:rFonts w:eastAsiaTheme="minorEastAsia" w:cs="Times New Roman"/>
                <w:iCs/>
                <w:sz w:val="22"/>
              </w:rPr>
              <w:t xml:space="preserve"> - </w:t>
            </w:r>
            <w:r w:rsidRPr="0079779D">
              <w:rPr>
                <w:rFonts w:cs="Times New Roman"/>
                <w:iCs/>
                <w:sz w:val="22"/>
              </w:rPr>
              <w:t>балансовая стоимость собственного капитала компании</w:t>
            </w:r>
          </w:p>
        </w:tc>
      </w:tr>
      <w:tr w:rsidR="003906FC" w:rsidRPr="004761FE" w14:paraId="54F86392" w14:textId="77777777" w:rsidTr="0079779D">
        <w:trPr>
          <w:jc w:val="center"/>
        </w:trPr>
        <w:tc>
          <w:tcPr>
            <w:tcW w:w="9345" w:type="dxa"/>
            <w:gridSpan w:val="2"/>
            <w:vAlign w:val="center"/>
          </w:tcPr>
          <w:p w14:paraId="43D81DB4" w14:textId="4D5A5FBC" w:rsidR="003906FC" w:rsidRPr="0079779D" w:rsidRDefault="003906FC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w:r w:rsidRPr="0079779D">
              <w:rPr>
                <w:b/>
                <w:bCs/>
                <w:szCs w:val="24"/>
              </w:rPr>
              <w:t>Независимые переменные</w:t>
            </w:r>
          </w:p>
        </w:tc>
      </w:tr>
      <w:tr w:rsidR="000374BD" w:rsidRPr="004761FE" w14:paraId="12ECD4A0" w14:textId="77777777" w:rsidTr="0079779D">
        <w:trPr>
          <w:jc w:val="center"/>
        </w:trPr>
        <w:tc>
          <w:tcPr>
            <w:tcW w:w="1980" w:type="dxa"/>
            <w:vAlign w:val="center"/>
          </w:tcPr>
          <w:p w14:paraId="5810C86E" w14:textId="07043B37" w:rsidR="000374BD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BD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16E60F7C" w14:textId="6CB58379" w:rsidR="000374BD" w:rsidRPr="004761FE" w:rsidRDefault="004761FE" w:rsidP="00EC2DDB">
            <w:pPr>
              <w:spacing w:before="120" w:after="120" w:line="240" w:lineRule="auto"/>
              <w:rPr>
                <w:sz w:val="22"/>
              </w:rPr>
            </w:pPr>
            <w:r w:rsidRPr="004761FE">
              <w:rPr>
                <w:sz w:val="22"/>
              </w:rPr>
              <w:t>Переменная, характеризующая размер совета директоров, равная числу директоров в Совете</w:t>
            </w:r>
          </w:p>
        </w:tc>
      </w:tr>
      <w:tr w:rsidR="000374BD" w:rsidRPr="004761FE" w14:paraId="4F9C8925" w14:textId="77777777" w:rsidTr="0079779D">
        <w:trPr>
          <w:jc w:val="center"/>
        </w:trPr>
        <w:tc>
          <w:tcPr>
            <w:tcW w:w="1980" w:type="dxa"/>
            <w:vAlign w:val="center"/>
          </w:tcPr>
          <w:p w14:paraId="22A5CA08" w14:textId="7BE8B4E3" w:rsidR="000374BD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Independent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4D444875" w14:textId="7F034A1F" w:rsidR="000374BD" w:rsidRPr="004761FE" w:rsidRDefault="004761FE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долю независимых директоров. Рассчитывается как отношение количества независимых директоро</w:t>
            </w:r>
            <w:r w:rsidR="00FC640A">
              <w:rPr>
                <w:sz w:val="22"/>
              </w:rPr>
              <w:t>в</w:t>
            </w:r>
            <w:r>
              <w:rPr>
                <w:sz w:val="22"/>
              </w:rPr>
              <w:t xml:space="preserve"> к размеру Совета</w:t>
            </w:r>
          </w:p>
        </w:tc>
      </w:tr>
      <w:tr w:rsidR="003906FC" w:rsidRPr="004761FE" w14:paraId="38B202CF" w14:textId="77777777" w:rsidTr="0079779D">
        <w:trPr>
          <w:jc w:val="center"/>
        </w:trPr>
        <w:tc>
          <w:tcPr>
            <w:tcW w:w="1980" w:type="dxa"/>
            <w:vAlign w:val="center"/>
          </w:tcPr>
          <w:p w14:paraId="0D9D19B6" w14:textId="2683389C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Executive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5EF0030D" w14:textId="4AAA4F3C" w:rsidR="003906FC" w:rsidRPr="004761FE" w:rsidRDefault="004761FE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долю исполнительных директоров. Рассчитывается как отношение количества исполнительных директоро</w:t>
            </w:r>
            <w:r w:rsidR="00FC640A">
              <w:rPr>
                <w:sz w:val="22"/>
              </w:rPr>
              <w:t>в</w:t>
            </w:r>
            <w:r>
              <w:rPr>
                <w:sz w:val="22"/>
              </w:rPr>
              <w:t xml:space="preserve"> к размеру Совета</w:t>
            </w:r>
          </w:p>
        </w:tc>
      </w:tr>
      <w:tr w:rsidR="003906FC" w:rsidRPr="004761FE" w14:paraId="1A6DD1F8" w14:textId="77777777" w:rsidTr="0079779D">
        <w:trPr>
          <w:jc w:val="center"/>
        </w:trPr>
        <w:tc>
          <w:tcPr>
            <w:tcW w:w="1980" w:type="dxa"/>
            <w:vAlign w:val="center"/>
          </w:tcPr>
          <w:p w14:paraId="2022870F" w14:textId="2F243EBE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Women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67A40557" w14:textId="127FC4B7" w:rsidR="003906FC" w:rsidRPr="004761FE" w:rsidRDefault="00FC640A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</w:t>
            </w:r>
            <w:r w:rsidRPr="00FC640A">
              <w:rPr>
                <w:sz w:val="22"/>
              </w:rPr>
              <w:t xml:space="preserve"> </w:t>
            </w:r>
            <w:r>
              <w:rPr>
                <w:sz w:val="22"/>
              </w:rPr>
              <w:t>гендерное разнообразие. Рассчитывается как отношение количества женщин-директоров к размеру Совета</w:t>
            </w:r>
          </w:p>
        </w:tc>
      </w:tr>
      <w:tr w:rsidR="003906FC" w:rsidRPr="004761FE" w14:paraId="34B441B8" w14:textId="77777777" w:rsidTr="0079779D">
        <w:trPr>
          <w:jc w:val="center"/>
        </w:trPr>
        <w:tc>
          <w:tcPr>
            <w:tcW w:w="1980" w:type="dxa"/>
            <w:vAlign w:val="center"/>
          </w:tcPr>
          <w:p w14:paraId="021CD823" w14:textId="28C99011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Gov_exp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279C5D4E" w14:textId="1245955D" w:rsidR="003906FC" w:rsidRPr="004761FE" w:rsidRDefault="00FC640A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долю директоров, имеющих опыт работы в государственных органах власти. Рассчитывается как отношение количества директоров с таким опытом к размеру Совета</w:t>
            </w:r>
          </w:p>
        </w:tc>
      </w:tr>
      <w:tr w:rsidR="003906FC" w:rsidRPr="004761FE" w14:paraId="1C3CBAEA" w14:textId="77777777" w:rsidTr="0079779D">
        <w:trPr>
          <w:jc w:val="center"/>
        </w:trPr>
        <w:tc>
          <w:tcPr>
            <w:tcW w:w="1980" w:type="dxa"/>
            <w:vAlign w:val="center"/>
          </w:tcPr>
          <w:p w14:paraId="26C100AC" w14:textId="57DAFC52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Multi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554391C9" w14:textId="24DBE103" w:rsidR="003906FC" w:rsidRPr="004761FE" w:rsidRDefault="00FC640A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долю директоров, занимающих директорские позиции в советах директоров других компани</w:t>
            </w:r>
            <w:r w:rsidR="00F41A4A">
              <w:rPr>
                <w:sz w:val="22"/>
              </w:rPr>
              <w:t>ях</w:t>
            </w:r>
            <w:r>
              <w:rPr>
                <w:sz w:val="22"/>
              </w:rPr>
              <w:t>. Рассчитывается как отношение количества «занятых» директоров в других компаниях к размеру Совета</w:t>
            </w:r>
          </w:p>
        </w:tc>
      </w:tr>
      <w:tr w:rsidR="003906FC" w:rsidRPr="004761FE" w14:paraId="4994E622" w14:textId="77777777" w:rsidTr="0079779D">
        <w:trPr>
          <w:jc w:val="center"/>
        </w:trPr>
        <w:tc>
          <w:tcPr>
            <w:tcW w:w="1980" w:type="dxa"/>
            <w:vAlign w:val="center"/>
          </w:tcPr>
          <w:p w14:paraId="249FA1FF" w14:textId="778B9914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ES_factor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1B168264" w14:textId="799CBF26" w:rsidR="003906FC" w:rsidRPr="004761FE" w:rsidRDefault="00FC640A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долю директоров, вовлеченных в экологическую и социальную деятельность. Рассчитывается как отношение количества</w:t>
            </w:r>
            <w:r w:rsidR="005251BE">
              <w:rPr>
                <w:sz w:val="22"/>
              </w:rPr>
              <w:t xml:space="preserve"> </w:t>
            </w:r>
            <w:r>
              <w:rPr>
                <w:sz w:val="22"/>
              </w:rPr>
              <w:t>директоров</w:t>
            </w:r>
            <w:r w:rsidR="005251BE">
              <w:rPr>
                <w:sz w:val="22"/>
              </w:rPr>
              <w:t>, вовлеченных в деятельность экологических и социальных некоммерческих компаний,</w:t>
            </w:r>
            <w:r>
              <w:rPr>
                <w:sz w:val="22"/>
              </w:rPr>
              <w:t xml:space="preserve"> к размеру Совета</w:t>
            </w:r>
          </w:p>
        </w:tc>
      </w:tr>
      <w:tr w:rsidR="005251BE" w:rsidRPr="004761FE" w14:paraId="57ED62B0" w14:textId="77777777" w:rsidTr="0079779D">
        <w:trPr>
          <w:jc w:val="center"/>
        </w:trPr>
        <w:tc>
          <w:tcPr>
            <w:tcW w:w="9345" w:type="dxa"/>
            <w:gridSpan w:val="2"/>
            <w:vAlign w:val="center"/>
          </w:tcPr>
          <w:p w14:paraId="6794F0F9" w14:textId="042E6D76" w:rsidR="005251BE" w:rsidRPr="0079779D" w:rsidRDefault="005251BE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w:r w:rsidRPr="0079779D">
              <w:rPr>
                <w:b/>
                <w:bCs/>
                <w:szCs w:val="24"/>
              </w:rPr>
              <w:t>Контрольные переменные</w:t>
            </w:r>
          </w:p>
        </w:tc>
      </w:tr>
      <w:tr w:rsidR="003906FC" w:rsidRPr="004761FE" w14:paraId="6A6275CB" w14:textId="77777777" w:rsidTr="0079779D">
        <w:trPr>
          <w:jc w:val="center"/>
        </w:trPr>
        <w:tc>
          <w:tcPr>
            <w:tcW w:w="1980" w:type="dxa"/>
            <w:vAlign w:val="center"/>
          </w:tcPr>
          <w:p w14:paraId="48EFD8CC" w14:textId="16396760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Age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345CE24D" w14:textId="72579F8D" w:rsidR="003906FC" w:rsidRPr="004761FE" w:rsidRDefault="00973018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 xml:space="preserve">Переменная, характеризующая возраст компании. Рассчитывается </w:t>
            </w:r>
            <w:r w:rsidRPr="00973018">
              <w:rPr>
                <w:sz w:val="22"/>
                <w:szCs w:val="20"/>
              </w:rPr>
              <w:t>как количество лет прошедших с момента регистрации фирмы до момента времени t</w:t>
            </w:r>
          </w:p>
        </w:tc>
      </w:tr>
      <w:tr w:rsidR="003906FC" w:rsidRPr="004761FE" w14:paraId="6DEEAAF7" w14:textId="77777777" w:rsidTr="0079779D">
        <w:trPr>
          <w:jc w:val="center"/>
        </w:trPr>
        <w:tc>
          <w:tcPr>
            <w:tcW w:w="1980" w:type="dxa"/>
            <w:vAlign w:val="center"/>
          </w:tcPr>
          <w:p w14:paraId="5E4DD412" w14:textId="6C2801E9" w:rsidR="003906FC" w:rsidRPr="0079779D" w:rsidRDefault="00000000" w:rsidP="00EC2DDB">
            <w:pPr>
              <w:spacing w:before="120" w:after="120" w:line="240" w:lineRule="auto"/>
              <w:jc w:val="center"/>
              <w:rPr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State_share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6ACDA2E2" w14:textId="69802DF3" w:rsidR="003906FC" w:rsidRPr="004761FE" w:rsidRDefault="00973018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э</w:t>
            </w:r>
            <w:r w:rsidRPr="00973018">
              <w:rPr>
                <w:sz w:val="22"/>
                <w:szCs w:val="20"/>
              </w:rPr>
              <w:t>ффективн</w:t>
            </w:r>
            <w:r>
              <w:rPr>
                <w:sz w:val="22"/>
                <w:szCs w:val="20"/>
              </w:rPr>
              <w:t>ую</w:t>
            </w:r>
            <w:r w:rsidRPr="00973018">
              <w:rPr>
                <w:sz w:val="22"/>
                <w:szCs w:val="20"/>
              </w:rPr>
              <w:t xml:space="preserve"> (прям</w:t>
            </w:r>
            <w:r>
              <w:rPr>
                <w:sz w:val="22"/>
                <w:szCs w:val="20"/>
              </w:rPr>
              <w:t>ую</w:t>
            </w:r>
            <w:r w:rsidRPr="00973018">
              <w:rPr>
                <w:sz w:val="22"/>
                <w:szCs w:val="20"/>
              </w:rPr>
              <w:t xml:space="preserve"> и косвенн</w:t>
            </w:r>
            <w:r>
              <w:rPr>
                <w:sz w:val="22"/>
                <w:szCs w:val="20"/>
              </w:rPr>
              <w:t>ую</w:t>
            </w:r>
            <w:r w:rsidRPr="00973018">
              <w:rPr>
                <w:sz w:val="22"/>
                <w:szCs w:val="20"/>
              </w:rPr>
              <w:t>) дол</w:t>
            </w:r>
            <w:r>
              <w:rPr>
                <w:sz w:val="22"/>
                <w:szCs w:val="20"/>
              </w:rPr>
              <w:t xml:space="preserve">ю </w:t>
            </w:r>
            <w:r w:rsidRPr="00973018">
              <w:rPr>
                <w:sz w:val="22"/>
                <w:szCs w:val="20"/>
              </w:rPr>
              <w:t xml:space="preserve">участия государства в капитале компании. Прямое участие государства </w:t>
            </w:r>
            <w:r w:rsidRPr="00973018">
              <w:rPr>
                <w:sz w:val="22"/>
                <w:szCs w:val="20"/>
              </w:rPr>
              <w:lastRenderedPageBreak/>
              <w:t xml:space="preserve">подразумевает, что государство является прямым акционером в компании, тогда как косвенное участие означает, что государство опосредованное владеет долей в компании через контроль над </w:t>
            </w:r>
            <w:r w:rsidR="009D7923">
              <w:rPr>
                <w:sz w:val="22"/>
                <w:szCs w:val="20"/>
              </w:rPr>
              <w:t>основным</w:t>
            </w:r>
            <w:r w:rsidRPr="00973018">
              <w:rPr>
                <w:sz w:val="22"/>
                <w:szCs w:val="20"/>
              </w:rPr>
              <w:t xml:space="preserve"> обществом, которое имеет контрольный пакет акций в своей дочерней компании</w:t>
            </w:r>
          </w:p>
        </w:tc>
      </w:tr>
      <w:tr w:rsidR="005251BE" w:rsidRPr="004761FE" w14:paraId="4F5F6CDD" w14:textId="77777777" w:rsidTr="0079779D">
        <w:trPr>
          <w:jc w:val="center"/>
        </w:trPr>
        <w:tc>
          <w:tcPr>
            <w:tcW w:w="1980" w:type="dxa"/>
            <w:vAlign w:val="center"/>
          </w:tcPr>
          <w:p w14:paraId="4660F09F" w14:textId="45160960" w:rsidR="005251BE" w:rsidRPr="0079779D" w:rsidRDefault="00000000" w:rsidP="00EC2DDB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Leverage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0FFBF129" w14:textId="02C9E1E2" w:rsidR="005251BE" w:rsidRPr="004761FE" w:rsidRDefault="00973018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 xml:space="preserve">Переменная, характеризующая </w:t>
            </w:r>
            <w:r w:rsidRPr="00973018">
              <w:rPr>
                <w:sz w:val="22"/>
                <w:szCs w:val="20"/>
              </w:rPr>
              <w:t>структуру капитала компании, и рассчитываемая как отношение величины заемных средств компании к собственным на конец года</w:t>
            </w:r>
          </w:p>
        </w:tc>
      </w:tr>
      <w:tr w:rsidR="005251BE" w:rsidRPr="004761FE" w14:paraId="3558C2BC" w14:textId="77777777" w:rsidTr="0079779D">
        <w:trPr>
          <w:jc w:val="center"/>
        </w:trPr>
        <w:tc>
          <w:tcPr>
            <w:tcW w:w="1980" w:type="dxa"/>
            <w:vAlign w:val="center"/>
          </w:tcPr>
          <w:p w14:paraId="1AE03241" w14:textId="3A81D58A" w:rsidR="005251BE" w:rsidRPr="0079779D" w:rsidRDefault="00000000" w:rsidP="00EC2DDB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Size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25F4A488" w14:textId="5A2FA86D" w:rsidR="005251BE" w:rsidRPr="004761FE" w:rsidRDefault="00973018" w:rsidP="00EC2DDB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Переменная, характеризующая размер компании. Рассчитывается как натуральный логарифм балансовой стоимости совокупных активов компании на конец года</w:t>
            </w:r>
          </w:p>
        </w:tc>
      </w:tr>
      <w:tr w:rsidR="00035092" w:rsidRPr="004761FE" w14:paraId="2C1F400C" w14:textId="77777777" w:rsidTr="0079779D">
        <w:trPr>
          <w:jc w:val="center"/>
        </w:trPr>
        <w:tc>
          <w:tcPr>
            <w:tcW w:w="1980" w:type="dxa"/>
            <w:vAlign w:val="center"/>
          </w:tcPr>
          <w:p w14:paraId="4FE510CB" w14:textId="08F4B26B" w:rsidR="00035092" w:rsidRDefault="00000000" w:rsidP="00EC2DDB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Crisis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365" w:type="dxa"/>
          </w:tcPr>
          <w:p w14:paraId="21C20AA6" w14:textId="557C94D2" w:rsidR="00035092" w:rsidRPr="00035092" w:rsidRDefault="00035092" w:rsidP="00EC2DDB">
            <w:pPr>
              <w:spacing w:before="120" w:after="120" w:line="240" w:lineRule="auto"/>
              <w:rPr>
                <w:sz w:val="22"/>
              </w:rPr>
            </w:pPr>
            <w:r w:rsidRPr="00962C31">
              <w:rPr>
                <w:color w:val="000000" w:themeColor="text1"/>
                <w:sz w:val="22"/>
              </w:rPr>
              <w:t>Бинарная переменная</w:t>
            </w:r>
            <w:r w:rsidR="00962C31">
              <w:rPr>
                <w:color w:val="000000" w:themeColor="text1"/>
                <w:sz w:val="22"/>
              </w:rPr>
              <w:t xml:space="preserve">, характеризующая влияние кризиса. Значение равно 1 для наблюдений в </w:t>
            </w:r>
            <w:r w:rsidR="006A5E41">
              <w:rPr>
                <w:color w:val="000000" w:themeColor="text1"/>
                <w:sz w:val="22"/>
              </w:rPr>
              <w:t xml:space="preserve">2014, 2015, </w:t>
            </w:r>
            <w:r w:rsidR="00962C31">
              <w:rPr>
                <w:color w:val="000000" w:themeColor="text1"/>
                <w:sz w:val="22"/>
              </w:rPr>
              <w:t xml:space="preserve">2020 </w:t>
            </w:r>
            <w:r w:rsidR="00B552DC">
              <w:rPr>
                <w:color w:val="000000" w:themeColor="text1"/>
                <w:sz w:val="22"/>
              </w:rPr>
              <w:t xml:space="preserve">и 2021 </w:t>
            </w:r>
            <w:r w:rsidR="00962C31">
              <w:rPr>
                <w:color w:val="000000" w:themeColor="text1"/>
                <w:sz w:val="22"/>
              </w:rPr>
              <w:t>год</w:t>
            </w:r>
            <w:r w:rsidR="003A45A8">
              <w:rPr>
                <w:color w:val="000000" w:themeColor="text1"/>
                <w:sz w:val="22"/>
              </w:rPr>
              <w:t>ах</w:t>
            </w:r>
            <w:r w:rsidR="00962C31">
              <w:rPr>
                <w:color w:val="000000" w:themeColor="text1"/>
                <w:sz w:val="22"/>
              </w:rPr>
              <w:t xml:space="preserve"> и 0 – в 201</w:t>
            </w:r>
            <w:r w:rsidR="006A5E41">
              <w:rPr>
                <w:color w:val="000000" w:themeColor="text1"/>
                <w:sz w:val="22"/>
              </w:rPr>
              <w:t>6</w:t>
            </w:r>
            <w:r w:rsidR="00962C31">
              <w:rPr>
                <w:color w:val="000000" w:themeColor="text1"/>
                <w:sz w:val="22"/>
              </w:rPr>
              <w:t>–2019 гг.</w:t>
            </w:r>
          </w:p>
        </w:tc>
      </w:tr>
    </w:tbl>
    <w:p w14:paraId="6BF49C2D" w14:textId="715D3E07" w:rsidR="00962C31" w:rsidRPr="00962C31" w:rsidRDefault="00610AAE" w:rsidP="00EC2DDB">
      <w:pPr>
        <w:pStyle w:val="2"/>
        <w:spacing w:before="240"/>
      </w:pPr>
      <w:bookmarkStart w:id="92" w:name="_Toc136001550"/>
      <w:r>
        <w:t>3.2 Формирование выборки и описательная статистика</w:t>
      </w:r>
      <w:bookmarkEnd w:id="92"/>
    </w:p>
    <w:p w14:paraId="06DFF7D3" w14:textId="7640B840" w:rsidR="005C69E6" w:rsidRDefault="00AF6747" w:rsidP="0062070C">
      <w:pPr>
        <w:pStyle w:val="aff0"/>
        <w:rPr>
          <w:color w:val="000000" w:themeColor="text1"/>
        </w:rPr>
      </w:pPr>
      <w:r>
        <w:t>Для проведения эмпирического исследования была сформирована выборка из публичных российских компаний с государственным участием в структуре собственности, котирующихся на Московской бирже в течение периода с 201</w:t>
      </w:r>
      <w:r w:rsidR="00883DA2">
        <w:t>4</w:t>
      </w:r>
      <w:r>
        <w:t xml:space="preserve"> по 2021 год. </w:t>
      </w:r>
      <w:r w:rsidR="007A6F62">
        <w:t xml:space="preserve">Горизонт исследования охватывает период после принятия нового Кодекса корпоративного управления в 2014 году. </w:t>
      </w:r>
      <w:r w:rsidR="002A2C7F">
        <w:rPr>
          <w:color w:val="000000" w:themeColor="text1"/>
        </w:rPr>
        <w:t>При выборе публичных компаний с государственным участием автор работы опирался на стать</w:t>
      </w:r>
      <w:r w:rsidR="009D7923">
        <w:rPr>
          <w:color w:val="000000" w:themeColor="text1"/>
        </w:rPr>
        <w:t>ю от</w:t>
      </w:r>
      <w:r w:rsidR="002A2C7F">
        <w:rPr>
          <w:color w:val="000000" w:themeColor="text1"/>
        </w:rPr>
        <w:t xml:space="preserve"> </w:t>
      </w:r>
      <w:r w:rsidR="009D7923">
        <w:rPr>
          <w:color w:val="000000" w:themeColor="text1"/>
        </w:rPr>
        <w:t>«</w:t>
      </w:r>
      <w:r w:rsidR="002A2C7F">
        <w:rPr>
          <w:color w:val="000000" w:themeColor="text1"/>
        </w:rPr>
        <w:t>Газпромбанк Инвестиции</w:t>
      </w:r>
      <w:r w:rsidR="009D7923">
        <w:rPr>
          <w:color w:val="000000" w:themeColor="text1"/>
        </w:rPr>
        <w:t>»</w:t>
      </w:r>
      <w:r w:rsidR="002A2C7F">
        <w:rPr>
          <w:rStyle w:val="ac"/>
          <w:color w:val="000000" w:themeColor="text1"/>
        </w:rPr>
        <w:footnoteReference w:id="36"/>
      </w:r>
      <w:r w:rsidR="00EC2DDB">
        <w:rPr>
          <w:color w:val="000000" w:themeColor="text1"/>
        </w:rPr>
        <w:t>. К</w:t>
      </w:r>
      <w:r w:rsidR="002A2C7F">
        <w:rPr>
          <w:color w:val="000000" w:themeColor="text1"/>
        </w:rPr>
        <w:t xml:space="preserve">роме компаний, упомянутых в статье, </w:t>
      </w:r>
      <w:r w:rsidR="00EC2DDB">
        <w:rPr>
          <w:color w:val="000000" w:themeColor="text1"/>
        </w:rPr>
        <w:t xml:space="preserve">в изначальную выборку </w:t>
      </w:r>
      <w:r w:rsidR="002A2C7F">
        <w:rPr>
          <w:color w:val="000000" w:themeColor="text1"/>
        </w:rPr>
        <w:t xml:space="preserve">были добавлены их дочерние организации. Эффективная доля государства была рассчитана автором работы. Выборка формировалась из компаний, у которых эффективная доля государства </w:t>
      </w:r>
      <w:r w:rsidR="00F64366">
        <w:rPr>
          <w:color w:val="000000" w:themeColor="text1"/>
        </w:rPr>
        <w:t xml:space="preserve">была </w:t>
      </w:r>
      <w:r w:rsidR="002A2C7F">
        <w:rPr>
          <w:color w:val="000000" w:themeColor="text1"/>
        </w:rPr>
        <w:t xml:space="preserve">больше 25%. </w:t>
      </w:r>
      <w:r w:rsidR="00EC2DDB">
        <w:rPr>
          <w:color w:val="000000" w:themeColor="text1"/>
        </w:rPr>
        <w:t>Н</w:t>
      </w:r>
      <w:r w:rsidR="004532BC">
        <w:rPr>
          <w:color w:val="000000" w:themeColor="text1"/>
        </w:rPr>
        <w:t>екоторые выбранные компании скрыли в</w:t>
      </w:r>
      <w:r w:rsidR="00EC2DDB">
        <w:rPr>
          <w:color w:val="000000" w:themeColor="text1"/>
        </w:rPr>
        <w:t xml:space="preserve">о всех </w:t>
      </w:r>
      <w:r w:rsidR="004532BC">
        <w:rPr>
          <w:color w:val="000000" w:themeColor="text1"/>
        </w:rPr>
        <w:t>годовых отчетах за исследуемый период данны</w:t>
      </w:r>
      <w:r w:rsidR="00EC2DDB">
        <w:rPr>
          <w:color w:val="000000" w:themeColor="text1"/>
        </w:rPr>
        <w:t>е</w:t>
      </w:r>
      <w:r w:rsidR="004532BC">
        <w:rPr>
          <w:color w:val="000000" w:themeColor="text1"/>
        </w:rPr>
        <w:t xml:space="preserve"> о составе совета директоров (например, ПАО «ОАК», ПАО «Корпорация Иркут»). В итоге в выборку вошли данные по 3</w:t>
      </w:r>
      <w:r w:rsidR="006832E5">
        <w:rPr>
          <w:color w:val="000000" w:themeColor="text1"/>
        </w:rPr>
        <w:t>7</w:t>
      </w:r>
      <w:r w:rsidR="004532BC">
        <w:rPr>
          <w:color w:val="000000" w:themeColor="text1"/>
        </w:rPr>
        <w:t xml:space="preserve"> компаниям с государственным участием. После удаления выбросов </w:t>
      </w:r>
      <w:r w:rsidR="004532BC">
        <w:t>итоговое число наблюдений составило</w:t>
      </w:r>
      <w:r w:rsidR="004532BC" w:rsidRPr="00F95161">
        <w:t xml:space="preserve"> </w:t>
      </w:r>
      <w:r w:rsidR="006832E5">
        <w:t>25</w:t>
      </w:r>
      <w:r w:rsidR="004532BC">
        <w:t>7</w:t>
      </w:r>
      <w:r w:rsidR="004532BC" w:rsidRPr="00F95161">
        <w:t>.</w:t>
      </w:r>
      <w:r w:rsidR="004532BC">
        <w:t xml:space="preserve"> </w:t>
      </w:r>
      <w:r w:rsidR="004532BC" w:rsidRPr="006832E5">
        <w:rPr>
          <w:color w:val="000000" w:themeColor="text1"/>
        </w:rPr>
        <w:t xml:space="preserve">К компаниям с долей участия государства </w:t>
      </w:r>
      <w:r w:rsidR="009D7923" w:rsidRPr="006832E5">
        <w:rPr>
          <w:color w:val="000000" w:themeColor="text1"/>
        </w:rPr>
        <w:t>ме</w:t>
      </w:r>
      <w:r w:rsidR="00EC2DDB" w:rsidRPr="006832E5">
        <w:rPr>
          <w:color w:val="000000" w:themeColor="text1"/>
        </w:rPr>
        <w:t>нее</w:t>
      </w:r>
      <w:r w:rsidR="009D7923" w:rsidRPr="006832E5">
        <w:rPr>
          <w:color w:val="000000" w:themeColor="text1"/>
        </w:rPr>
        <w:t xml:space="preserve"> </w:t>
      </w:r>
      <w:r w:rsidR="004532BC" w:rsidRPr="006832E5">
        <w:rPr>
          <w:color w:val="000000" w:themeColor="text1"/>
        </w:rPr>
        <w:t>50% относится 13 компаний, а к компаниям с контрольным пакетом – 2</w:t>
      </w:r>
      <w:r w:rsidR="006832E5">
        <w:rPr>
          <w:color w:val="000000" w:themeColor="text1"/>
        </w:rPr>
        <w:t>4</w:t>
      </w:r>
      <w:r w:rsidR="004532BC" w:rsidRPr="006832E5">
        <w:rPr>
          <w:color w:val="000000" w:themeColor="text1"/>
        </w:rPr>
        <w:t>.</w:t>
      </w:r>
    </w:p>
    <w:p w14:paraId="1A92FEE8" w14:textId="0662C634" w:rsidR="00AF6747" w:rsidRDefault="00AF6747" w:rsidP="0062070C">
      <w:pPr>
        <w:pStyle w:val="aff0"/>
      </w:pPr>
      <w:r>
        <w:t>Стоит отметить, что только торгуем</w:t>
      </w:r>
      <w:r w:rsidR="003A45A8">
        <w:t>ые</w:t>
      </w:r>
      <w:r>
        <w:t xml:space="preserve"> на бирже компани</w:t>
      </w:r>
      <w:r w:rsidR="009D7923">
        <w:t>и</w:t>
      </w:r>
      <w:r>
        <w:t xml:space="preserve"> в годовых отчетах раскрывают информацию о корпоративном управлении. Тем не менее, согласно постановлению Правительства от 12.03.2022 № 351 «Об особенностях раскрытия и предоставления в 2022 году информации ...», российские публичные компании вправе раскрывать корпоративную информацию в ограниченном составе и (или) объеме либо отказаться от раскрытия, если это может привести к введению мер ограничительного характера. Большинство компаний с прямым государственным участием последовал</w:t>
      </w:r>
      <w:r w:rsidR="003A45A8">
        <w:t xml:space="preserve">и </w:t>
      </w:r>
      <w:r>
        <w:t xml:space="preserve">этим </w:t>
      </w:r>
      <w:r>
        <w:lastRenderedPageBreak/>
        <w:t>мерам и вовсе не стал</w:t>
      </w:r>
      <w:r w:rsidR="003A45A8">
        <w:t>и</w:t>
      </w:r>
      <w:r w:rsidR="00E3456A">
        <w:t xml:space="preserve"> </w:t>
      </w:r>
      <w:r>
        <w:t xml:space="preserve">публиковать годовые отчеты за 2021 год, некоторые же ограничили раскрытие информации о членах совета директоров. </w:t>
      </w:r>
      <w:r w:rsidR="00631767">
        <w:t xml:space="preserve">Ввиду этого </w:t>
      </w:r>
      <w:r w:rsidR="00F64366">
        <w:t>в 2021 году наблюдений стало почти в 2 раза меньше по сравнению с предыдущими годами</w:t>
      </w:r>
      <w:r w:rsidR="00631767">
        <w:t xml:space="preserve">, как показано на </w:t>
      </w:r>
      <w:r w:rsidR="00E04C28">
        <w:fldChar w:fldCharType="begin"/>
      </w:r>
      <w:r w:rsidR="00E04C28">
        <w:instrText xml:space="preserve"> REF _Ref131618273 \r \h </w:instrText>
      </w:r>
      <w:r w:rsidR="0062070C">
        <w:instrText xml:space="preserve"> \* MERGEFORMAT </w:instrText>
      </w:r>
      <w:r w:rsidR="00E04C28">
        <w:fldChar w:fldCharType="separate"/>
      </w:r>
      <w:r w:rsidR="00E04C28">
        <w:t>Рис. 2</w:t>
      </w:r>
      <w:r w:rsidR="00E04C28">
        <w:fldChar w:fldCharType="end"/>
      </w:r>
      <w:r w:rsidR="00631767">
        <w:t xml:space="preserve">. </w:t>
      </w:r>
    </w:p>
    <w:p w14:paraId="17CDB36F" w14:textId="7B4ABD26" w:rsidR="005602E1" w:rsidRDefault="002D1FB8" w:rsidP="00571ECA">
      <w:pPr>
        <w:pStyle w:val="aff"/>
      </w:pPr>
      <w:r w:rsidRPr="00571ECA">
        <w:drawing>
          <wp:inline distT="0" distB="0" distL="0" distR="0" wp14:anchorId="6FC2A377" wp14:editId="150E2094">
            <wp:extent cx="4320000" cy="2160000"/>
            <wp:effectExtent l="0" t="0" r="4445" b="1206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F13728E-7281-0BA6-7B5F-4483646A2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</w:p>
    <w:p w14:paraId="45BD64EF" w14:textId="32D1EC33" w:rsidR="00D018D3" w:rsidRPr="00D53E6A" w:rsidRDefault="00D018D3" w:rsidP="00D53E6A">
      <w:pPr>
        <w:pStyle w:val="a1"/>
      </w:pPr>
      <w:bookmarkStart w:id="93" w:name="_Ref131618273"/>
      <w:r w:rsidRPr="00D53E6A">
        <w:t>Количество наблюдений в</w:t>
      </w:r>
      <w:r w:rsidR="00EC2DDB" w:rsidRPr="00D53E6A">
        <w:t xml:space="preserve"> исследовании</w:t>
      </w:r>
      <w:r w:rsidRPr="00D53E6A">
        <w:t xml:space="preserve">, </w:t>
      </w:r>
      <w:r w:rsidR="00E3456A" w:rsidRPr="00D53E6A">
        <w:t>201</w:t>
      </w:r>
      <w:r w:rsidR="002D1FB8" w:rsidRPr="00D53E6A">
        <w:t>4</w:t>
      </w:r>
      <w:r w:rsidR="00E3456A" w:rsidRPr="00D53E6A">
        <w:t>–2021</w:t>
      </w:r>
      <w:r w:rsidRPr="00D53E6A">
        <w:t xml:space="preserve"> гг.</w:t>
      </w:r>
      <w:bookmarkEnd w:id="93"/>
    </w:p>
    <w:p w14:paraId="5F01493F" w14:textId="74672EBB" w:rsidR="005602E1" w:rsidRDefault="005602E1" w:rsidP="0062070C">
      <w:pPr>
        <w:pStyle w:val="aff0"/>
        <w:rPr>
          <w:lang w:eastAsia="ru-RU"/>
        </w:rPr>
      </w:pPr>
      <w:r>
        <w:rPr>
          <w:lang w:eastAsia="ru-RU"/>
        </w:rPr>
        <w:t>Для сбора данных о финансовых результатах компаний из выборки (данные из финансовых отчетов по РСБУ) была использована аналитическая система СПАРК</w:t>
      </w:r>
      <w:r w:rsidR="009D1547">
        <w:rPr>
          <w:lang w:eastAsia="ru-RU"/>
        </w:rPr>
        <w:t xml:space="preserve">, </w:t>
      </w:r>
      <w:r w:rsidR="004C437D">
        <w:rPr>
          <w:lang w:eastAsia="ru-RU"/>
        </w:rPr>
        <w:t>данные по рыночной капитализации были найдены на официальном сайте Московской биржи, а</w:t>
      </w:r>
      <w:r>
        <w:rPr>
          <w:lang w:eastAsia="ru-RU"/>
        </w:rPr>
        <w:t xml:space="preserve"> для сбора информации о характеристиках советов директоров были использованы годовые отчеты компаний. Однако, если информацию о структурных характеристиках компани</w:t>
      </w:r>
      <w:r w:rsidR="00E04C28">
        <w:rPr>
          <w:lang w:eastAsia="ru-RU"/>
        </w:rPr>
        <w:t>и</w:t>
      </w:r>
      <w:r>
        <w:rPr>
          <w:lang w:eastAsia="ru-RU"/>
        </w:rPr>
        <w:t xml:space="preserve"> раскрывают </w:t>
      </w:r>
      <w:r w:rsidR="004F4427">
        <w:rPr>
          <w:lang w:eastAsia="ru-RU"/>
        </w:rPr>
        <w:t>в полном объеме, то в раскрытии информации о</w:t>
      </w:r>
      <w:r w:rsidR="00E04C28">
        <w:rPr>
          <w:lang w:eastAsia="ru-RU"/>
        </w:rPr>
        <w:t xml:space="preserve"> работе </w:t>
      </w:r>
      <w:r w:rsidR="00035092">
        <w:rPr>
          <w:lang w:eastAsia="ru-RU"/>
        </w:rPr>
        <w:t>членов совета директоров в органах государственной власти</w:t>
      </w:r>
      <w:r w:rsidR="004F4427">
        <w:rPr>
          <w:lang w:eastAsia="ru-RU"/>
        </w:rPr>
        <w:t xml:space="preserve">, о множественности директорских позиций и об участии в некоммерческих организациях некоторые компании ограничиваются </w:t>
      </w:r>
      <w:r w:rsidR="009D1547">
        <w:rPr>
          <w:lang w:eastAsia="ru-RU"/>
        </w:rPr>
        <w:t>миним</w:t>
      </w:r>
      <w:r w:rsidR="00E04C28">
        <w:rPr>
          <w:lang w:eastAsia="ru-RU"/>
        </w:rPr>
        <w:t>альным объемом</w:t>
      </w:r>
      <w:r w:rsidR="009D1547">
        <w:rPr>
          <w:lang w:eastAsia="ru-RU"/>
        </w:rPr>
        <w:t xml:space="preserve"> или вовсе не раскрывают данной информации</w:t>
      </w:r>
      <w:r w:rsidR="004F4427">
        <w:rPr>
          <w:lang w:eastAsia="ru-RU"/>
        </w:rPr>
        <w:t xml:space="preserve">. </w:t>
      </w:r>
    </w:p>
    <w:p w14:paraId="3BD63480" w14:textId="59092D3A" w:rsidR="004F4427" w:rsidRDefault="004F4427" w:rsidP="0062070C">
      <w:pPr>
        <w:pStyle w:val="aff0"/>
      </w:pPr>
      <w:r>
        <w:t xml:space="preserve">Распределение компаний с учетом </w:t>
      </w:r>
      <w:r w:rsidRPr="001B4F1D">
        <w:t>отраслевой принадлежности</w:t>
      </w:r>
      <w:r>
        <w:t xml:space="preserve"> отражено на </w:t>
      </w:r>
      <w:r w:rsidR="00E04C28">
        <w:fldChar w:fldCharType="begin"/>
      </w:r>
      <w:r w:rsidR="00E04C28">
        <w:instrText xml:space="preserve"> REF _Ref131618369 \r \h </w:instrText>
      </w:r>
      <w:r w:rsidR="0062070C">
        <w:instrText xml:space="preserve"> \* MERGEFORMAT </w:instrText>
      </w:r>
      <w:r w:rsidR="00E04C28">
        <w:fldChar w:fldCharType="separate"/>
      </w:r>
      <w:r w:rsidR="00E04C28">
        <w:t>Рис. 3</w:t>
      </w:r>
      <w:r w:rsidR="00E04C28">
        <w:fldChar w:fldCharType="end"/>
      </w:r>
      <w:r>
        <w:t>, наибольшее количество компании, представленных в выборке, относятся к отрасли</w:t>
      </w:r>
      <w:r w:rsidR="002D253E" w:rsidRPr="002D253E">
        <w:t xml:space="preserve"> </w:t>
      </w:r>
      <w:r w:rsidR="002D253E">
        <w:t>электроэнергетик</w:t>
      </w:r>
      <w:r w:rsidR="00E04C28">
        <w:t>и</w:t>
      </w:r>
      <w:r w:rsidR="002D253E">
        <w:t>, нефтегазодобыч</w:t>
      </w:r>
      <w:r w:rsidR="00E04C28">
        <w:t>и</w:t>
      </w:r>
      <w:r w:rsidR="002D253E">
        <w:t xml:space="preserve"> и переработк</w:t>
      </w:r>
      <w:r w:rsidR="00E04C28">
        <w:t>и</w:t>
      </w:r>
      <w:r>
        <w:t>, что соответствует российской действительности.</w:t>
      </w:r>
    </w:p>
    <w:p w14:paraId="0B20C532" w14:textId="23C6F672" w:rsidR="004F4427" w:rsidRDefault="008535A7" w:rsidP="00571ECA">
      <w:pPr>
        <w:pStyle w:val="aff"/>
        <w:rPr>
          <w:rFonts w:cs="Times New Roman"/>
          <w:lang w:val="en-US" w:eastAsia="ru-RU"/>
        </w:rPr>
      </w:pPr>
      <w:r w:rsidRPr="00571ECA">
        <w:lastRenderedPageBreak/>
        <w:drawing>
          <wp:inline distT="0" distB="0" distL="0" distR="0" wp14:anchorId="6E780F1B" wp14:editId="52A4A688">
            <wp:extent cx="4320000" cy="2160000"/>
            <wp:effectExtent l="0" t="0" r="4445" b="1206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434B4CFE-F66F-B9B4-DE6D-8E90BCD34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E9452A" w14:textId="7D1A77A1" w:rsidR="00D018D3" w:rsidRPr="00D53E6A" w:rsidRDefault="00D018D3" w:rsidP="00D53E6A">
      <w:pPr>
        <w:pStyle w:val="a1"/>
      </w:pPr>
      <w:bookmarkStart w:id="94" w:name="_Ref131618369"/>
      <w:r w:rsidRPr="00D53E6A">
        <w:t>Распределение компаний из выборки по отраслям</w:t>
      </w:r>
      <w:bookmarkEnd w:id="94"/>
    </w:p>
    <w:p w14:paraId="463960E3" w14:textId="4F9666A4" w:rsidR="00631767" w:rsidRDefault="005C2421" w:rsidP="0062070C">
      <w:pPr>
        <w:pStyle w:val="aff0"/>
      </w:pPr>
      <w:r>
        <w:t xml:space="preserve">В </w:t>
      </w:r>
      <w:r w:rsidR="00B4308C">
        <w:fldChar w:fldCharType="begin"/>
      </w:r>
      <w:r w:rsidR="00B4308C">
        <w:instrText xml:space="preserve"> REF _Ref131618421 \r \h </w:instrText>
      </w:r>
      <w:r w:rsidR="0062070C">
        <w:instrText xml:space="preserve"> \* MERGEFORMAT </w:instrText>
      </w:r>
      <w:r w:rsidR="00B4308C">
        <w:fldChar w:fldCharType="separate"/>
      </w:r>
      <w:r w:rsidR="00B4308C">
        <w:t>Таблице 2</w:t>
      </w:r>
      <w:r w:rsidR="00B4308C">
        <w:fldChar w:fldCharType="end"/>
      </w:r>
      <w:r>
        <w:t xml:space="preserve"> представлена описательная статистика переменных, использованных в эмпирическом исследовании. </w:t>
      </w:r>
    </w:p>
    <w:p w14:paraId="274061FF" w14:textId="2972E912" w:rsidR="005C2421" w:rsidRPr="00E04C28" w:rsidRDefault="00E04C28" w:rsidP="00E04C28">
      <w:pPr>
        <w:pStyle w:val="a"/>
      </w:pPr>
      <w:bookmarkStart w:id="95" w:name="_Ref131618421"/>
      <w:r w:rsidRPr="00E04C28">
        <w:t>Оп</w:t>
      </w:r>
      <w:r w:rsidR="00D018D3" w:rsidRPr="00E04C28">
        <w:t>исательная статистика переменных</w:t>
      </w:r>
      <w:bookmarkEnd w:id="95"/>
      <w:r w:rsidR="00D018D3" w:rsidRPr="00E04C2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20"/>
        <w:gridCol w:w="1620"/>
        <w:gridCol w:w="1690"/>
        <w:gridCol w:w="1357"/>
        <w:gridCol w:w="1448"/>
      </w:tblGrid>
      <w:tr w:rsidR="00195950" w:rsidRPr="00195950" w14:paraId="6B4A1B01" w14:textId="77777777" w:rsidTr="006C66FF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6B6D504F" w14:textId="4F060EAD" w:rsidR="00195950" w:rsidRPr="00195950" w:rsidRDefault="00195950" w:rsidP="00571E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959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Переменная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5BAECE8C" w14:textId="4541B406" w:rsidR="00195950" w:rsidRPr="00195950" w:rsidRDefault="00195950" w:rsidP="00571E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959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Число наблюдений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5C36C7C5" w14:textId="06AC5E45" w:rsidR="00195950" w:rsidRPr="00195950" w:rsidRDefault="00195950" w:rsidP="00571E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95950">
              <w:rPr>
                <w:rFonts w:cs="Times New Roman"/>
                <w:b/>
                <w:bCs/>
                <w:szCs w:val="24"/>
                <w:lang w:eastAsia="ru-RU"/>
              </w:rPr>
              <w:t>Выборочное среднее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C9AB485" w14:textId="32C1E108" w:rsidR="00195950" w:rsidRPr="00195950" w:rsidRDefault="00195950" w:rsidP="00571E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>С</w:t>
            </w:r>
            <w:r w:rsidRPr="00195950">
              <w:rPr>
                <w:rFonts w:cs="Times New Roman"/>
                <w:b/>
                <w:bCs/>
                <w:szCs w:val="24"/>
                <w:lang w:eastAsia="ru-RU"/>
              </w:rPr>
              <w:t>тандартное отклонение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160C37FF" w14:textId="67AADF62" w:rsidR="00195950" w:rsidRPr="00195950" w:rsidRDefault="00195950" w:rsidP="00571E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959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Минимум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DCCF7C4" w14:textId="5867E27E" w:rsidR="00195950" w:rsidRPr="00195950" w:rsidRDefault="00195950" w:rsidP="00571E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959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Максимум</w:t>
            </w:r>
          </w:p>
        </w:tc>
      </w:tr>
      <w:tr w:rsidR="00A02561" w:rsidRPr="00195950" w14:paraId="7204C48C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14FAD87F" w14:textId="650D0C38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ROA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6503F99" w14:textId="792E6D3A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FA4CB03" w14:textId="052138F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0.038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00D2ACC" w14:textId="66932EF9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0.063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42FC5ED" w14:textId="377DFF1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-0.330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7C8EBA3" w14:textId="77B00020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0.394</w:t>
            </w:r>
          </w:p>
        </w:tc>
      </w:tr>
      <w:tr w:rsidR="00A02561" w:rsidRPr="00195950" w14:paraId="7D0BCD8B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3BF52446" w14:textId="6F8A2C08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ROE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67D5D2F" w14:textId="3601C59C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26CA00D" w14:textId="7D06C06B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0.073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C44F39B" w14:textId="0710C56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0.127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C4255D3" w14:textId="2971D610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-0.380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7E37BA9" w14:textId="0F2DEEE5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0.654</w:t>
            </w:r>
          </w:p>
        </w:tc>
      </w:tr>
      <w:tr w:rsidR="00A02561" w:rsidRPr="00195950" w14:paraId="17ABE337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48D954D1" w14:textId="5F0FA086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ROIC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497B190" w14:textId="70327AD0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A83C0C5" w14:textId="5B9E838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0.052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B872F25" w14:textId="6B28EFEA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0.073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C284F4B" w14:textId="1C88D959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-0.293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176DA93" w14:textId="4906F031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0.397</w:t>
            </w:r>
          </w:p>
        </w:tc>
      </w:tr>
      <w:tr w:rsidR="00A02561" w:rsidRPr="00195950" w14:paraId="593D4F74" w14:textId="77777777" w:rsidTr="006C66FF">
        <w:trPr>
          <w:trHeight w:val="290"/>
        </w:trPr>
        <w:tc>
          <w:tcPr>
            <w:tcW w:w="861" w:type="pct"/>
            <w:shd w:val="clear" w:color="auto" w:fill="auto"/>
            <w:vAlign w:val="center"/>
          </w:tcPr>
          <w:p w14:paraId="3E6CA251" w14:textId="7B58A596" w:rsidR="00A02561" w:rsidRPr="002D1FB8" w:rsidRDefault="00A02561" w:rsidP="00571ECA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2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lang w:val="en-US"/>
              </w:rPr>
              <w:t>Q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89BC940" w14:textId="2A395EDE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B84958F" w14:textId="75F94708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0.560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86A6BB5" w14:textId="7726FCAF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0.353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5B2FA03" w14:textId="2DB8AC4D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0.014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E2E1736" w14:textId="20B6E103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2.024</w:t>
            </w:r>
          </w:p>
        </w:tc>
      </w:tr>
      <w:tr w:rsidR="00A02561" w:rsidRPr="00195950" w14:paraId="6A681DA9" w14:textId="77777777" w:rsidTr="006C66FF">
        <w:trPr>
          <w:trHeight w:val="290"/>
        </w:trPr>
        <w:tc>
          <w:tcPr>
            <w:tcW w:w="861" w:type="pct"/>
            <w:shd w:val="clear" w:color="auto" w:fill="auto"/>
            <w:vAlign w:val="center"/>
          </w:tcPr>
          <w:p w14:paraId="14395B23" w14:textId="1F910178" w:rsidR="00A02561" w:rsidRPr="002D1FB8" w:rsidRDefault="00A02561" w:rsidP="00571ECA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2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lang w:val="en-US"/>
              </w:rPr>
              <w:t>MB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76A1857" w14:textId="22E2FE2B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C34BE83" w14:textId="793D756F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0.767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E7D79A3" w14:textId="45CF1DE8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0.792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EB03815" w14:textId="35BB2D6A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0.011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9645D9E" w14:textId="68CA1711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4.423</w:t>
            </w:r>
          </w:p>
        </w:tc>
      </w:tr>
      <w:tr w:rsidR="00A02561" w:rsidRPr="00195950" w14:paraId="6E2D3C25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21B833E7" w14:textId="5B16B11F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BD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2ABDD7D" w14:textId="2BE3E60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65CE393" w14:textId="60FC883C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10.829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49325BE" w14:textId="53036300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2.222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C1BAB5D" w14:textId="43F9E4D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89D140" w14:textId="64CD173F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A02561" w:rsidRPr="00195950" w14:paraId="13E102C7" w14:textId="77777777" w:rsidTr="002D1FB8">
        <w:trPr>
          <w:trHeight w:val="295"/>
        </w:trPr>
        <w:tc>
          <w:tcPr>
            <w:tcW w:w="861" w:type="pct"/>
            <w:shd w:val="clear" w:color="auto" w:fill="auto"/>
            <w:vAlign w:val="center"/>
            <w:hideMark/>
          </w:tcPr>
          <w:p w14:paraId="5869449C" w14:textId="1C7400E1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Independent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97A0789" w14:textId="2B01B17E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97FFE11" w14:textId="7B02EDEF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0.180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E42B035" w14:textId="3A6EEEBF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0.121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F6EDFE2" w14:textId="53155E18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B8FBA0B" w14:textId="7B44463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0.455</w:t>
            </w:r>
          </w:p>
        </w:tc>
      </w:tr>
      <w:tr w:rsidR="00A02561" w:rsidRPr="00195950" w14:paraId="7009E4D9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3A344A69" w14:textId="34D7EBB2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Executive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31767E1" w14:textId="0546D64C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3F8CC06" w14:textId="0997D025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0.106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AB7DF3E" w14:textId="2018C734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0.070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AFC2EEF" w14:textId="75C7B0D5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7A13F66" w14:textId="7412E7A5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0.455</w:t>
            </w:r>
          </w:p>
        </w:tc>
      </w:tr>
      <w:tr w:rsidR="00A02561" w:rsidRPr="00195950" w14:paraId="3C79B402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469D4CE5" w14:textId="0AD6F40A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Women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</w:tcPr>
          <w:p w14:paraId="1B9BD4F8" w14:textId="144D9975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445F786" w14:textId="0004E25E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0.103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B35A9D1" w14:textId="566CE0DA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0.111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4C0A478" w14:textId="1826CBC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D727EDD" w14:textId="19932569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0.600</w:t>
            </w:r>
          </w:p>
        </w:tc>
      </w:tr>
      <w:tr w:rsidR="00A02561" w:rsidRPr="00195950" w14:paraId="7C54758F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23FB94C2" w14:textId="0478BA44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Gov_exp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</w:tcPr>
          <w:p w14:paraId="05869CC3" w14:textId="3D0EDE4C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838A6DB" w14:textId="7E72E970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0.224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065D402" w14:textId="19727A1B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0.178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D833042" w14:textId="39AF10D7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CDF4484" w14:textId="73C554CE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0.667</w:t>
            </w:r>
          </w:p>
        </w:tc>
      </w:tr>
      <w:tr w:rsidR="00A02561" w:rsidRPr="00195950" w14:paraId="5E97C944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4F2EE795" w14:textId="79CC674A" w:rsidR="00A02561" w:rsidRPr="006C66FF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lang w:val="en-US"/>
              </w:rPr>
              <w:t>Multi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5772A0D" w14:textId="745365E2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7951647" w14:textId="3E788377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0.622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D848EAB" w14:textId="30584984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0.283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161E6AD" w14:textId="0C25DD14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3DB494D" w14:textId="250FBAFE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A02561" w:rsidRPr="00195950" w14:paraId="74672AD8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5DECA33F" w14:textId="79BB9E37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ES_factor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</w:tcPr>
          <w:p w14:paraId="5A3FA2D8" w14:textId="6F311347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6571514" w14:textId="48BD745E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0.068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5D08D96" w14:textId="27261171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0.097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CD48DDC" w14:textId="239EFAFF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152E6A5" w14:textId="64E4F73C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0.364</w:t>
            </w:r>
          </w:p>
        </w:tc>
      </w:tr>
      <w:tr w:rsidR="00A02561" w:rsidRPr="00195950" w14:paraId="56E8134E" w14:textId="77777777" w:rsidTr="003058DA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34E397AE" w14:textId="0149397D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Age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</w:tcPr>
          <w:p w14:paraId="1A3EC7C1" w14:textId="3EEDA0B9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581ECE9" w14:textId="3D3BB093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16.393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46A9085" w14:textId="35F1C94D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5.901</w:t>
            </w:r>
          </w:p>
        </w:tc>
        <w:tc>
          <w:tcPr>
            <w:tcW w:w="726" w:type="pct"/>
            <w:shd w:val="clear" w:color="auto" w:fill="auto"/>
            <w:vAlign w:val="bottom"/>
          </w:tcPr>
          <w:p w14:paraId="57370B1E" w14:textId="17C456E8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75" w:type="pct"/>
            <w:shd w:val="clear" w:color="auto" w:fill="auto"/>
            <w:vAlign w:val="bottom"/>
          </w:tcPr>
          <w:p w14:paraId="75B25EB4" w14:textId="6246C424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A02561" w:rsidRPr="00195950" w14:paraId="25C4A5CB" w14:textId="77777777" w:rsidTr="002D1FB8">
        <w:trPr>
          <w:trHeight w:val="290"/>
        </w:trPr>
        <w:tc>
          <w:tcPr>
            <w:tcW w:w="861" w:type="pct"/>
            <w:shd w:val="clear" w:color="auto" w:fill="auto"/>
            <w:vAlign w:val="center"/>
            <w:hideMark/>
          </w:tcPr>
          <w:p w14:paraId="2039712D" w14:textId="7E4485FB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Size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</w:tcPr>
          <w:p w14:paraId="56B79D05" w14:textId="4FDF8C51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D0FA234" w14:textId="4E16E733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25.920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BCE997B" w14:textId="5FB07F52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1.845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FE2CF6F" w14:textId="111146EE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22.370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B3CC7AA" w14:textId="5EDADFA4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30.643</w:t>
            </w:r>
          </w:p>
        </w:tc>
      </w:tr>
      <w:tr w:rsidR="00A02561" w:rsidRPr="00195950" w14:paraId="13633F94" w14:textId="77777777" w:rsidTr="002D1FB8">
        <w:trPr>
          <w:trHeight w:val="221"/>
        </w:trPr>
        <w:tc>
          <w:tcPr>
            <w:tcW w:w="861" w:type="pct"/>
            <w:shd w:val="clear" w:color="auto" w:fill="auto"/>
            <w:vAlign w:val="center"/>
            <w:hideMark/>
          </w:tcPr>
          <w:p w14:paraId="041918D8" w14:textId="668BE268" w:rsidR="00A02561" w:rsidRPr="008535A7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State_share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1DABD81" w14:textId="0DC285DA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FA4F00E" w14:textId="7A95A58D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0.589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59A1C09" w14:textId="59FD1C9D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0.182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4323BAC" w14:textId="5E3F9FC1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0.259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627E405" w14:textId="54491BC9" w:rsidR="00A02561" w:rsidRPr="00A02561" w:rsidRDefault="00A02561" w:rsidP="00571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A02561" w:rsidRPr="00195950" w14:paraId="2AE3BCE1" w14:textId="77777777" w:rsidTr="006C66FF">
        <w:trPr>
          <w:trHeight w:val="270"/>
        </w:trPr>
        <w:tc>
          <w:tcPr>
            <w:tcW w:w="861" w:type="pct"/>
            <w:shd w:val="clear" w:color="auto" w:fill="auto"/>
            <w:vAlign w:val="center"/>
          </w:tcPr>
          <w:p w14:paraId="7A3D4189" w14:textId="62C8416F" w:rsidR="00A02561" w:rsidRPr="008535A7" w:rsidRDefault="00A02561" w:rsidP="00571ECA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2"/>
              </w:rPr>
            </w:pPr>
            <w:proofErr w:type="spellStart"/>
            <w:r w:rsidRPr="008535A7">
              <w:rPr>
                <w:rFonts w:cs="Times New Roman"/>
                <w:i/>
                <w:iCs/>
                <w:color w:val="000000"/>
                <w:sz w:val="22"/>
              </w:rPr>
              <w:t>Leverage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</w:tcPr>
          <w:p w14:paraId="1B082D4B" w14:textId="492BC532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257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3BE47ED" w14:textId="2F38EF13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1.290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DA12FB" w14:textId="36387290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1.525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A1716C1" w14:textId="2E8FBCCE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0.003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2D0AF59" w14:textId="5B4AF10B" w:rsidR="00A02561" w:rsidRPr="00A02561" w:rsidRDefault="00A02561" w:rsidP="00571EC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02561">
              <w:rPr>
                <w:rFonts w:cs="Times New Roman"/>
                <w:color w:val="000000"/>
                <w:sz w:val="22"/>
              </w:rPr>
              <w:t>10.325</w:t>
            </w:r>
          </w:p>
        </w:tc>
      </w:tr>
    </w:tbl>
    <w:p w14:paraId="7A1EE6DC" w14:textId="2FF7245A" w:rsidR="00D44A46" w:rsidRDefault="00D44A46" w:rsidP="0062070C">
      <w:pPr>
        <w:pStyle w:val="aff0"/>
      </w:pPr>
      <w:r w:rsidRPr="00E6114C">
        <w:tab/>
      </w:r>
      <w:r w:rsidRPr="00D44A46">
        <w:br/>
      </w:r>
      <w:r w:rsidRPr="00D44A46">
        <w:tab/>
      </w:r>
      <w:r w:rsidR="00E6114C">
        <w:t xml:space="preserve">Сначала рассмотрим описательную статистику для </w:t>
      </w:r>
      <w:r w:rsidR="00B21B72">
        <w:t xml:space="preserve">бухгалтерских </w:t>
      </w:r>
      <w:r w:rsidR="00E6114C">
        <w:t xml:space="preserve">показателей финансовой результативности. </w:t>
      </w:r>
      <w:r>
        <w:t xml:space="preserve">Результаты описательной статистики демонстрируют, что среднее значение показателя </w:t>
      </w:r>
      <w:r>
        <w:rPr>
          <w:lang w:val="en-US"/>
        </w:rPr>
        <w:t>ROA</w:t>
      </w:r>
      <w:r w:rsidRPr="00D44A46">
        <w:t xml:space="preserve"> </w:t>
      </w:r>
      <w:r>
        <w:t xml:space="preserve">на всем горизонте исследования равно </w:t>
      </w:r>
      <w:r w:rsidR="00A02561" w:rsidRPr="00A02561">
        <w:t>3,8</w:t>
      </w:r>
      <w:r>
        <w:t>%</w:t>
      </w:r>
      <w:r w:rsidR="00991BA9">
        <w:t>. М</w:t>
      </w:r>
      <w:r>
        <w:t xml:space="preserve">инимальное значение, равное </w:t>
      </w:r>
      <w:r w:rsidRPr="008535A7">
        <w:rPr>
          <w:color w:val="000000" w:themeColor="text1"/>
        </w:rPr>
        <w:t>-</w:t>
      </w:r>
      <w:r w:rsidR="00E6114C" w:rsidRPr="008535A7">
        <w:rPr>
          <w:color w:val="000000" w:themeColor="text1"/>
        </w:rPr>
        <w:t>3</w:t>
      </w:r>
      <w:r w:rsidR="00A02561" w:rsidRPr="00A02561">
        <w:rPr>
          <w:color w:val="000000" w:themeColor="text1"/>
        </w:rPr>
        <w:t>3</w:t>
      </w:r>
      <w:r w:rsidRPr="008535A7">
        <w:rPr>
          <w:color w:val="000000" w:themeColor="text1"/>
        </w:rPr>
        <w:t>%, принадлежит компании ПАО "НПК ОВК"</w:t>
      </w:r>
      <w:r w:rsidR="008535A7" w:rsidRPr="008535A7">
        <w:rPr>
          <w:color w:val="000000" w:themeColor="text1"/>
        </w:rPr>
        <w:t>,</w:t>
      </w:r>
      <w:r w:rsidRPr="00E6114C">
        <w:rPr>
          <w:color w:val="FF0000"/>
        </w:rPr>
        <w:t xml:space="preserve"> </w:t>
      </w:r>
      <w:r>
        <w:t>которая в 20</w:t>
      </w:r>
      <w:r w:rsidR="008535A7" w:rsidRPr="008535A7">
        <w:t>1</w:t>
      </w:r>
      <w:r w:rsidR="00A02561" w:rsidRPr="00A02561">
        <w:t>9</w:t>
      </w:r>
      <w:r>
        <w:t xml:space="preserve"> году понесла серьезные убытки</w:t>
      </w:r>
      <w:r w:rsidR="00AC0331" w:rsidRPr="00AC0331">
        <w:t xml:space="preserve">. </w:t>
      </w:r>
      <w:r w:rsidR="00AC0331">
        <w:t xml:space="preserve">Отрицательные значения показателя </w:t>
      </w:r>
      <w:r w:rsidR="00AC0331">
        <w:rPr>
          <w:lang w:val="en-US"/>
        </w:rPr>
        <w:t>ROA</w:t>
      </w:r>
      <w:r w:rsidR="00AC0331" w:rsidRPr="00AC0331">
        <w:t xml:space="preserve"> </w:t>
      </w:r>
      <w:r w:rsidR="00AC0331">
        <w:t>можно также заметить у ПАО «</w:t>
      </w:r>
      <w:r w:rsidR="00A02561">
        <w:t>Аэрофлот</w:t>
      </w:r>
      <w:r w:rsidR="00AC0331">
        <w:t>» на уровне -</w:t>
      </w:r>
      <w:r w:rsidR="00A02561">
        <w:t>10,14</w:t>
      </w:r>
      <w:r w:rsidR="00AC0331">
        <w:t>% в 201</w:t>
      </w:r>
      <w:r w:rsidR="00A02561">
        <w:t>5</w:t>
      </w:r>
      <w:r w:rsidR="00AC0331">
        <w:t xml:space="preserve"> году и </w:t>
      </w:r>
      <w:r w:rsidR="00A02561">
        <w:t xml:space="preserve">ПАО «Россети Северный Кавказ» </w:t>
      </w:r>
      <w:r w:rsidR="00AC0331">
        <w:t>-</w:t>
      </w:r>
      <w:r w:rsidR="00A02561">
        <w:t>9</w:t>
      </w:r>
      <w:r w:rsidR="00AC0331">
        <w:t>% в 20</w:t>
      </w:r>
      <w:r w:rsidR="00A02561">
        <w:t xml:space="preserve">15 </w:t>
      </w:r>
      <w:r w:rsidR="00AC0331">
        <w:t>году. М</w:t>
      </w:r>
      <w:r w:rsidR="00991BA9">
        <w:t xml:space="preserve">аксимальное значение – </w:t>
      </w:r>
      <w:r w:rsidR="00514244">
        <w:t>39,4</w:t>
      </w:r>
      <w:r w:rsidR="00991BA9">
        <w:t xml:space="preserve">% принадлежит </w:t>
      </w:r>
      <w:r w:rsidR="00991BA9">
        <w:lastRenderedPageBreak/>
        <w:t xml:space="preserve">компании </w:t>
      </w:r>
      <w:r w:rsidR="00991BA9" w:rsidRPr="00991BA9">
        <w:t>ПАО "НМТП"</w:t>
      </w:r>
      <w:r w:rsidR="00991BA9">
        <w:t>, которая в 2019 году сильно увеличила чистую прибыль</w:t>
      </w:r>
      <w:r w:rsidR="004532BC">
        <w:t>. В</w:t>
      </w:r>
      <w:r w:rsidR="00AC0331">
        <w:t>ысокие положительные значения показателя можно увидеть у ПАО</w:t>
      </w:r>
      <w:r w:rsidR="00514244">
        <w:t xml:space="preserve"> «Интер РАО</w:t>
      </w:r>
      <w:r w:rsidR="00AC0331">
        <w:t xml:space="preserve">», </w:t>
      </w:r>
      <w:r w:rsidR="00AC0331" w:rsidRPr="00AC0331">
        <w:t>ПАО "Т</w:t>
      </w:r>
      <w:r w:rsidR="00AC0331">
        <w:t>атнефть</w:t>
      </w:r>
      <w:r w:rsidR="00AC0331" w:rsidRPr="00AC0331">
        <w:t xml:space="preserve">" </w:t>
      </w:r>
      <w:r w:rsidR="00AC0331">
        <w:t xml:space="preserve">и </w:t>
      </w:r>
      <w:r w:rsidR="00AC0331" w:rsidRPr="00AC0331">
        <w:t>ПАО АНК "Б</w:t>
      </w:r>
      <w:r w:rsidR="00AC0331">
        <w:t>ашнефть</w:t>
      </w:r>
      <w:r w:rsidR="00AC0331" w:rsidRPr="00AC0331">
        <w:t>"</w:t>
      </w:r>
      <w:r w:rsidR="00AC0331">
        <w:t xml:space="preserve">. </w:t>
      </w:r>
    </w:p>
    <w:p w14:paraId="2E2A95D5" w14:textId="2C509E3A" w:rsidR="00B20514" w:rsidRDefault="00C60793" w:rsidP="0062070C">
      <w:pPr>
        <w:pStyle w:val="aff0"/>
      </w:pPr>
      <w:r>
        <w:t xml:space="preserve">Средний показатель </w:t>
      </w:r>
      <w:r>
        <w:rPr>
          <w:lang w:val="en-US"/>
        </w:rPr>
        <w:t>ROE</w:t>
      </w:r>
      <w:r w:rsidRPr="00C60793">
        <w:t xml:space="preserve"> </w:t>
      </w:r>
      <w:r>
        <w:t xml:space="preserve">составил </w:t>
      </w:r>
      <w:r w:rsidR="00514244">
        <w:t>7,3</w:t>
      </w:r>
      <w:r>
        <w:t xml:space="preserve">%, что выше среднего показателя </w:t>
      </w:r>
      <w:r>
        <w:rPr>
          <w:lang w:val="en-US"/>
        </w:rPr>
        <w:t>ROA</w:t>
      </w:r>
      <w:r>
        <w:t xml:space="preserve">. Минимальное значение </w:t>
      </w:r>
      <w:r>
        <w:rPr>
          <w:lang w:val="en-US"/>
        </w:rPr>
        <w:t>ROE</w:t>
      </w:r>
      <w:r>
        <w:t>, равное -</w:t>
      </w:r>
      <w:r w:rsidR="00514244">
        <w:t>3</w:t>
      </w:r>
      <w:r w:rsidR="00E6114C" w:rsidRPr="00E6114C">
        <w:t>8</w:t>
      </w:r>
      <w:r>
        <w:t xml:space="preserve">%, </w:t>
      </w:r>
      <w:r w:rsidRPr="00AC0331">
        <w:rPr>
          <w:color w:val="000000" w:themeColor="text1"/>
        </w:rPr>
        <w:t xml:space="preserve">принадлежит компании </w:t>
      </w:r>
      <w:r w:rsidR="00AC0331">
        <w:t>ПАО «</w:t>
      </w:r>
      <w:r w:rsidR="00514244">
        <w:t>Аэрофлот</w:t>
      </w:r>
      <w:r w:rsidR="00AC0331">
        <w:t>» в 201</w:t>
      </w:r>
      <w:r w:rsidR="00514244">
        <w:t>5</w:t>
      </w:r>
      <w:r w:rsidR="00AC0331">
        <w:t xml:space="preserve"> году</w:t>
      </w:r>
      <w:r w:rsidRPr="00AC0331">
        <w:rPr>
          <w:color w:val="000000" w:themeColor="text1"/>
        </w:rPr>
        <w:t>,</w:t>
      </w:r>
      <w:r w:rsidR="00AC0331">
        <w:t xml:space="preserve"> минимальные показатели </w:t>
      </w:r>
      <w:r w:rsidR="00AC0331">
        <w:rPr>
          <w:lang w:val="en-US"/>
        </w:rPr>
        <w:t>ROE</w:t>
      </w:r>
      <w:r w:rsidR="00AC0331" w:rsidRPr="00AC0331">
        <w:t xml:space="preserve"> </w:t>
      </w:r>
      <w:r w:rsidR="00AC0331">
        <w:t>также</w:t>
      </w:r>
      <w:r w:rsidR="00B4308C">
        <w:t xml:space="preserve"> были</w:t>
      </w:r>
      <w:r w:rsidR="00AC0331">
        <w:t xml:space="preserve"> у </w:t>
      </w:r>
      <w:r w:rsidR="00AC0331" w:rsidRPr="008535A7">
        <w:rPr>
          <w:color w:val="000000" w:themeColor="text1"/>
        </w:rPr>
        <w:t>ПАО "НПК ОВК"</w:t>
      </w:r>
      <w:r w:rsidR="00B3488B">
        <w:t>.</w:t>
      </w:r>
      <w:r>
        <w:t xml:space="preserve"> </w:t>
      </w:r>
      <w:r w:rsidR="00B3488B">
        <w:t>М</w:t>
      </w:r>
      <w:r>
        <w:t xml:space="preserve">аксимальное </w:t>
      </w:r>
      <w:r w:rsidR="00E6114C">
        <w:t>значение</w:t>
      </w:r>
      <w:r w:rsidR="00E6114C" w:rsidRPr="00E6114C">
        <w:t xml:space="preserve"> </w:t>
      </w:r>
      <w:r w:rsidR="00E6114C">
        <w:rPr>
          <w:lang w:val="en-US"/>
        </w:rPr>
        <w:t>ROE</w:t>
      </w:r>
      <w:r w:rsidR="00E6114C">
        <w:t xml:space="preserve"> было зафиксировано у </w:t>
      </w:r>
      <w:r w:rsidR="005C051C" w:rsidRPr="00991BA9">
        <w:t>ПАО "НМТП"</w:t>
      </w:r>
      <w:r w:rsidR="00E6114C">
        <w:t xml:space="preserve"> на уровне 65%</w:t>
      </w:r>
      <w:r w:rsidR="005C051C">
        <w:t xml:space="preserve"> в 2017 году. Высокие показатели продемонстрировали </w:t>
      </w:r>
      <w:r w:rsidR="005C051C" w:rsidRPr="00AC0331">
        <w:t>ПАО АНК "Б</w:t>
      </w:r>
      <w:r w:rsidR="005C051C">
        <w:t>ашнефть</w:t>
      </w:r>
      <w:r w:rsidR="005C051C" w:rsidRPr="00AC0331">
        <w:t>"</w:t>
      </w:r>
      <w:r w:rsidR="005C051C">
        <w:t xml:space="preserve"> в </w:t>
      </w:r>
      <w:r w:rsidR="00514244">
        <w:t xml:space="preserve">2014 и </w:t>
      </w:r>
      <w:r w:rsidR="005C051C">
        <w:t xml:space="preserve">2017 и </w:t>
      </w:r>
      <w:r w:rsidR="005C051C" w:rsidRPr="005C051C">
        <w:t>ПАО "Г</w:t>
      </w:r>
      <w:r w:rsidR="005C051C">
        <w:t xml:space="preserve">азпром </w:t>
      </w:r>
      <w:r w:rsidR="00B4308C">
        <w:t>не</w:t>
      </w:r>
      <w:r w:rsidR="005C051C">
        <w:t>фть</w:t>
      </w:r>
      <w:r w:rsidR="005C051C" w:rsidRPr="005C051C">
        <w:t>"</w:t>
      </w:r>
      <w:r w:rsidR="005C051C">
        <w:t xml:space="preserve"> в 2019 годах. </w:t>
      </w:r>
    </w:p>
    <w:p w14:paraId="05B6E670" w14:textId="0192BC76" w:rsidR="00B20514" w:rsidRPr="005C051C" w:rsidRDefault="00E6114C" w:rsidP="0062070C">
      <w:pPr>
        <w:pStyle w:val="aff0"/>
      </w:pPr>
      <w:r>
        <w:t xml:space="preserve">Что касается показателя </w:t>
      </w:r>
      <w:r w:rsidR="00B20514">
        <w:rPr>
          <w:lang w:val="en-US"/>
        </w:rPr>
        <w:t>ROIC</w:t>
      </w:r>
      <w:r>
        <w:t>, то его среднее значение на горизонте исследования составило 5</w:t>
      </w:r>
      <w:r w:rsidR="00514244">
        <w:t>,2</w:t>
      </w:r>
      <w:r>
        <w:t xml:space="preserve">%. </w:t>
      </w:r>
      <w:r w:rsidR="005C051C">
        <w:t>Минимальн</w:t>
      </w:r>
      <w:r w:rsidR="00B4308C">
        <w:t>ое значение принадлежит ПАО «</w:t>
      </w:r>
      <w:r w:rsidR="00514244">
        <w:t>Аэрофлот</w:t>
      </w:r>
      <w:r w:rsidR="00B4308C">
        <w:t xml:space="preserve">» и </w:t>
      </w:r>
      <w:r w:rsidR="00B4308C" w:rsidRPr="008535A7">
        <w:rPr>
          <w:color w:val="000000" w:themeColor="text1"/>
        </w:rPr>
        <w:t>ПАО "НПК ОВК"</w:t>
      </w:r>
      <w:r w:rsidR="00B4308C">
        <w:rPr>
          <w:color w:val="000000" w:themeColor="text1"/>
        </w:rPr>
        <w:t xml:space="preserve">, которые также продемонстрировали минимальные показатели </w:t>
      </w:r>
      <w:r w:rsidR="00B4308C">
        <w:rPr>
          <w:color w:val="000000" w:themeColor="text1"/>
          <w:lang w:val="en-US"/>
        </w:rPr>
        <w:t>ROA</w:t>
      </w:r>
      <w:r w:rsidR="00B4308C" w:rsidRPr="00B4308C">
        <w:rPr>
          <w:color w:val="000000" w:themeColor="text1"/>
        </w:rPr>
        <w:t xml:space="preserve"> </w:t>
      </w:r>
      <w:r w:rsidR="00B4308C">
        <w:rPr>
          <w:color w:val="000000" w:themeColor="text1"/>
        </w:rPr>
        <w:t xml:space="preserve">и </w:t>
      </w:r>
      <w:r w:rsidR="00B4308C">
        <w:rPr>
          <w:color w:val="000000" w:themeColor="text1"/>
          <w:lang w:val="en-US"/>
        </w:rPr>
        <w:t>ROE</w:t>
      </w:r>
      <w:r w:rsidR="00B4308C" w:rsidRPr="00B4308C">
        <w:rPr>
          <w:color w:val="000000" w:themeColor="text1"/>
        </w:rPr>
        <w:t xml:space="preserve">. </w:t>
      </w:r>
      <w:r w:rsidR="00B4308C">
        <w:rPr>
          <w:color w:val="000000" w:themeColor="text1"/>
        </w:rPr>
        <w:t>М</w:t>
      </w:r>
      <w:r w:rsidR="005C051C">
        <w:t>аксимальны</w:t>
      </w:r>
      <w:r w:rsidR="00B4308C">
        <w:t xml:space="preserve">й </w:t>
      </w:r>
      <w:r w:rsidR="00B4308C">
        <w:rPr>
          <w:lang w:val="en-US"/>
        </w:rPr>
        <w:t>ROIC</w:t>
      </w:r>
      <w:r w:rsidR="00B4308C" w:rsidRPr="00B4308C">
        <w:t xml:space="preserve"> </w:t>
      </w:r>
      <w:r w:rsidR="00B4308C">
        <w:t xml:space="preserve">был зафиксирован у </w:t>
      </w:r>
      <w:r w:rsidR="00B4308C" w:rsidRPr="00B4308C">
        <w:t>ПАО "НМТП"</w:t>
      </w:r>
      <w:r w:rsidR="00B4308C">
        <w:t xml:space="preserve"> и у </w:t>
      </w:r>
      <w:r w:rsidR="00B4308C" w:rsidRPr="00AC0331">
        <w:t>ПАО АНК "Б</w:t>
      </w:r>
      <w:r w:rsidR="00B4308C">
        <w:t>ашнефть</w:t>
      </w:r>
      <w:r w:rsidR="00B4308C" w:rsidRPr="00AC0331">
        <w:t>"</w:t>
      </w:r>
      <w:r w:rsidR="00B4308C">
        <w:t>.</w:t>
      </w:r>
    </w:p>
    <w:p w14:paraId="3D5B44EC" w14:textId="79638D92" w:rsidR="005C051C" w:rsidRPr="0094550C" w:rsidRDefault="00597FC6" w:rsidP="0062070C">
      <w:pPr>
        <w:pStyle w:val="aff0"/>
        <w:rPr>
          <w:color w:val="000000" w:themeColor="text1"/>
        </w:rPr>
      </w:pPr>
      <w:r w:rsidRPr="005C051C">
        <w:rPr>
          <w:color w:val="000000" w:themeColor="text1"/>
        </w:rPr>
        <w:t xml:space="preserve">Если посмотреть на </w:t>
      </w:r>
      <w:r w:rsidR="00B4308C">
        <w:rPr>
          <w:color w:val="000000" w:themeColor="text1"/>
        </w:rPr>
        <w:fldChar w:fldCharType="begin"/>
      </w:r>
      <w:r w:rsidR="00B4308C">
        <w:rPr>
          <w:color w:val="000000" w:themeColor="text1"/>
        </w:rPr>
        <w:instrText xml:space="preserve"> REF _Ref131618779 \r \h </w:instrText>
      </w:r>
      <w:r w:rsidR="0062070C">
        <w:rPr>
          <w:color w:val="000000" w:themeColor="text1"/>
        </w:rPr>
        <w:instrText xml:space="preserve"> \* MERGEFORMAT </w:instrText>
      </w:r>
      <w:r w:rsidR="00B4308C">
        <w:rPr>
          <w:color w:val="000000" w:themeColor="text1"/>
        </w:rPr>
      </w:r>
      <w:r w:rsidR="00B4308C">
        <w:rPr>
          <w:color w:val="000000" w:themeColor="text1"/>
        </w:rPr>
        <w:fldChar w:fldCharType="separate"/>
      </w:r>
      <w:r w:rsidR="00B4308C">
        <w:rPr>
          <w:color w:val="000000" w:themeColor="text1"/>
        </w:rPr>
        <w:t>Рис. 4</w:t>
      </w:r>
      <w:r w:rsidR="00B4308C">
        <w:rPr>
          <w:color w:val="000000" w:themeColor="text1"/>
        </w:rPr>
        <w:fldChar w:fldCharType="end"/>
      </w:r>
      <w:r w:rsidRPr="005C051C">
        <w:rPr>
          <w:color w:val="000000" w:themeColor="text1"/>
        </w:rPr>
        <w:t>, на котором отражено изменение средн</w:t>
      </w:r>
      <w:r w:rsidR="00810559" w:rsidRPr="005C051C">
        <w:rPr>
          <w:color w:val="000000" w:themeColor="text1"/>
        </w:rPr>
        <w:t xml:space="preserve">их значений бухгалтерских </w:t>
      </w:r>
      <w:r w:rsidRPr="005C051C">
        <w:rPr>
          <w:color w:val="000000" w:themeColor="text1"/>
        </w:rPr>
        <w:t>показател</w:t>
      </w:r>
      <w:r w:rsidR="00810559" w:rsidRPr="005C051C">
        <w:rPr>
          <w:color w:val="000000" w:themeColor="text1"/>
        </w:rPr>
        <w:t>ей</w:t>
      </w:r>
      <w:r w:rsidRPr="005C051C">
        <w:rPr>
          <w:color w:val="000000" w:themeColor="text1"/>
        </w:rPr>
        <w:t xml:space="preserve"> в динамике с 201</w:t>
      </w:r>
      <w:r w:rsidR="003E5444" w:rsidRPr="003E5444">
        <w:rPr>
          <w:color w:val="000000" w:themeColor="text1"/>
        </w:rPr>
        <w:t xml:space="preserve">4 </w:t>
      </w:r>
      <w:r w:rsidRPr="005C051C">
        <w:rPr>
          <w:color w:val="000000" w:themeColor="text1"/>
        </w:rPr>
        <w:t xml:space="preserve">по 2021 год, </w:t>
      </w:r>
      <w:r w:rsidR="000D6E9C" w:rsidRPr="005C051C">
        <w:rPr>
          <w:color w:val="000000" w:themeColor="text1"/>
        </w:rPr>
        <w:t xml:space="preserve">то можно отметить, что в </w:t>
      </w:r>
      <w:r w:rsidR="003E5444">
        <w:rPr>
          <w:color w:val="000000" w:themeColor="text1"/>
        </w:rPr>
        <w:t xml:space="preserve">2015 и в 2020 годах произошло падение всех показателей: средний </w:t>
      </w:r>
      <w:r w:rsidR="0094550C">
        <w:rPr>
          <w:color w:val="000000" w:themeColor="text1"/>
        </w:rPr>
        <w:t xml:space="preserve">показатель </w:t>
      </w:r>
      <w:r w:rsidR="0094550C">
        <w:rPr>
          <w:color w:val="000000" w:themeColor="text1"/>
          <w:lang w:val="en-US"/>
        </w:rPr>
        <w:t>ROA</w:t>
      </w:r>
      <w:r w:rsidR="0094550C" w:rsidRPr="0094550C">
        <w:rPr>
          <w:color w:val="000000" w:themeColor="text1"/>
        </w:rPr>
        <w:t xml:space="preserve"> </w:t>
      </w:r>
      <w:r w:rsidR="0094550C">
        <w:rPr>
          <w:color w:val="000000" w:themeColor="text1"/>
        </w:rPr>
        <w:t xml:space="preserve">снизился до </w:t>
      </w:r>
      <w:r w:rsidR="003E5444">
        <w:rPr>
          <w:color w:val="000000" w:themeColor="text1"/>
        </w:rPr>
        <w:t>2</w:t>
      </w:r>
      <w:r w:rsidR="0094550C">
        <w:rPr>
          <w:color w:val="000000" w:themeColor="text1"/>
        </w:rPr>
        <w:t>%</w:t>
      </w:r>
      <w:r w:rsidR="00D34134">
        <w:rPr>
          <w:color w:val="000000" w:themeColor="text1"/>
        </w:rPr>
        <w:t xml:space="preserve"> в 2015 и в 2020 годах</w:t>
      </w:r>
      <w:r w:rsidR="0094550C">
        <w:rPr>
          <w:color w:val="000000" w:themeColor="text1"/>
        </w:rPr>
        <w:t xml:space="preserve">, показатель </w:t>
      </w:r>
      <w:r w:rsidR="0094550C">
        <w:rPr>
          <w:color w:val="000000" w:themeColor="text1"/>
          <w:lang w:val="en-US"/>
        </w:rPr>
        <w:t>ROE</w:t>
      </w:r>
      <w:r w:rsidR="0094550C" w:rsidRPr="0094550C">
        <w:rPr>
          <w:color w:val="000000" w:themeColor="text1"/>
        </w:rPr>
        <w:t xml:space="preserve"> </w:t>
      </w:r>
      <w:r w:rsidR="0094550C">
        <w:rPr>
          <w:color w:val="000000" w:themeColor="text1"/>
        </w:rPr>
        <w:t xml:space="preserve">немного упал до </w:t>
      </w:r>
      <w:r w:rsidR="003E5444">
        <w:rPr>
          <w:color w:val="000000" w:themeColor="text1"/>
        </w:rPr>
        <w:t>4</w:t>
      </w:r>
      <w:r w:rsidR="0094550C">
        <w:rPr>
          <w:color w:val="000000" w:themeColor="text1"/>
        </w:rPr>
        <w:t>%</w:t>
      </w:r>
      <w:r w:rsidR="003E5444">
        <w:rPr>
          <w:color w:val="000000" w:themeColor="text1"/>
        </w:rPr>
        <w:t xml:space="preserve"> в 2015 году и до 5% в 2020 году</w:t>
      </w:r>
      <w:r w:rsidR="0094550C">
        <w:rPr>
          <w:color w:val="000000" w:themeColor="text1"/>
        </w:rPr>
        <w:t xml:space="preserve">, а показатель </w:t>
      </w:r>
      <w:r w:rsidR="0094550C">
        <w:rPr>
          <w:color w:val="000000" w:themeColor="text1"/>
          <w:lang w:val="en-US"/>
        </w:rPr>
        <w:t>ROIC</w:t>
      </w:r>
      <w:r w:rsidR="0094550C" w:rsidRPr="0094550C">
        <w:rPr>
          <w:color w:val="000000" w:themeColor="text1"/>
        </w:rPr>
        <w:t xml:space="preserve"> </w:t>
      </w:r>
      <w:r w:rsidR="0094550C">
        <w:rPr>
          <w:color w:val="000000" w:themeColor="text1"/>
        </w:rPr>
        <w:t xml:space="preserve">уменьшился до </w:t>
      </w:r>
      <w:r w:rsidR="003E5444">
        <w:rPr>
          <w:color w:val="000000" w:themeColor="text1"/>
        </w:rPr>
        <w:t>3</w:t>
      </w:r>
      <w:r w:rsidR="0094550C">
        <w:rPr>
          <w:color w:val="000000" w:themeColor="text1"/>
        </w:rPr>
        <w:t>%</w:t>
      </w:r>
      <w:r w:rsidR="003E5444">
        <w:rPr>
          <w:color w:val="000000" w:themeColor="text1"/>
        </w:rPr>
        <w:t xml:space="preserve"> в обоих годах</w:t>
      </w:r>
      <w:r w:rsidR="0094550C">
        <w:rPr>
          <w:color w:val="000000" w:themeColor="text1"/>
        </w:rPr>
        <w:t xml:space="preserve">. </w:t>
      </w:r>
      <w:r w:rsidR="003E5444">
        <w:rPr>
          <w:color w:val="000000" w:themeColor="text1"/>
        </w:rPr>
        <w:t xml:space="preserve">Резкое падение коэффициентов рентабельности в 2015 году можно объяснить </w:t>
      </w:r>
      <w:r w:rsidR="00913FA9">
        <w:rPr>
          <w:color w:val="000000" w:themeColor="text1"/>
        </w:rPr>
        <w:t xml:space="preserve">падением цен на нефть и ухудшением геополитической обстановки. </w:t>
      </w:r>
      <w:r w:rsidR="00775A94">
        <w:rPr>
          <w:color w:val="000000" w:themeColor="text1"/>
        </w:rPr>
        <w:t>Падение показателей в 2020 году вызвано ухудшением экономики России на фоне пандемии и ограничительных мер. Более того, произошел резкий спад спроса на нефть, что в совокупности привело к падению ВВП России в 2020 году на 3,1%</w:t>
      </w:r>
      <w:r w:rsidR="00775A94">
        <w:rPr>
          <w:rStyle w:val="ac"/>
          <w:color w:val="000000" w:themeColor="text1"/>
        </w:rPr>
        <w:footnoteReference w:id="37"/>
      </w:r>
      <w:r w:rsidR="00775A94">
        <w:rPr>
          <w:color w:val="000000" w:themeColor="text1"/>
        </w:rPr>
        <w:t xml:space="preserve">. </w:t>
      </w:r>
      <w:r w:rsidR="0094550C">
        <w:rPr>
          <w:color w:val="000000" w:themeColor="text1"/>
        </w:rPr>
        <w:t>Стоит отметить, что наиболее высокие показатели наблюдались в 2017 году,</w:t>
      </w:r>
      <w:r w:rsidR="00775A94">
        <w:rPr>
          <w:color w:val="000000" w:themeColor="text1"/>
        </w:rPr>
        <w:t xml:space="preserve"> в 2018 </w:t>
      </w:r>
      <w:r w:rsidR="00913FA9">
        <w:rPr>
          <w:color w:val="000000" w:themeColor="text1"/>
        </w:rPr>
        <w:t xml:space="preserve">начался </w:t>
      </w:r>
      <w:r w:rsidR="00775A94">
        <w:rPr>
          <w:color w:val="000000" w:themeColor="text1"/>
        </w:rPr>
        <w:t>спад средних значений и</w:t>
      </w:r>
      <w:r w:rsidR="0094550C">
        <w:rPr>
          <w:color w:val="000000" w:themeColor="text1"/>
        </w:rPr>
        <w:t xml:space="preserve"> только в 2021 году </w:t>
      </w:r>
      <w:r w:rsidR="00775A94">
        <w:rPr>
          <w:color w:val="000000" w:themeColor="text1"/>
        </w:rPr>
        <w:t xml:space="preserve">они </w:t>
      </w:r>
      <w:r w:rsidR="0094550C">
        <w:rPr>
          <w:color w:val="000000" w:themeColor="text1"/>
        </w:rPr>
        <w:t>выр</w:t>
      </w:r>
      <w:r w:rsidR="00775A94">
        <w:rPr>
          <w:color w:val="000000" w:themeColor="text1"/>
        </w:rPr>
        <w:t>осли</w:t>
      </w:r>
      <w:r w:rsidR="0094550C">
        <w:rPr>
          <w:color w:val="000000" w:themeColor="text1"/>
        </w:rPr>
        <w:t xml:space="preserve">. Однако, стоит вспомнить, что за 2021 год собрано данных в два раза меньше, чем в предыдущие года. </w:t>
      </w:r>
    </w:p>
    <w:p w14:paraId="451B99A8" w14:textId="423F1EBF" w:rsidR="00597FC6" w:rsidRDefault="003E5444" w:rsidP="00D3116D">
      <w:pPr>
        <w:pStyle w:val="aff"/>
        <w:rPr>
          <w:color w:val="000000" w:themeColor="text1"/>
        </w:rPr>
      </w:pPr>
      <w:r>
        <w:lastRenderedPageBreak/>
        <w:drawing>
          <wp:inline distT="0" distB="0" distL="0" distR="0" wp14:anchorId="5A9881E7" wp14:editId="55CE5BD8">
            <wp:extent cx="4320000" cy="2160000"/>
            <wp:effectExtent l="0" t="0" r="4445" b="12065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9710D754-23A3-75A3-16DB-E7ACD9D257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C2500A5" w14:textId="767B3C9B" w:rsidR="00D018D3" w:rsidRPr="00D53E6A" w:rsidRDefault="00D018D3" w:rsidP="00D53E6A">
      <w:pPr>
        <w:pStyle w:val="a1"/>
      </w:pPr>
      <w:bookmarkStart w:id="96" w:name="_Ref131618779"/>
      <w:r w:rsidRPr="00D53E6A">
        <w:t>Динамика средних бухгалтерских показателей, 201</w:t>
      </w:r>
      <w:r w:rsidR="00D53E6A">
        <w:t>4</w:t>
      </w:r>
      <w:r w:rsidRPr="00D53E6A">
        <w:t>–2021 гг.</w:t>
      </w:r>
      <w:bookmarkEnd w:id="96"/>
    </w:p>
    <w:p w14:paraId="2636638B" w14:textId="52532A11" w:rsidR="00B21B72" w:rsidRDefault="00B21B72" w:rsidP="0062070C">
      <w:pPr>
        <w:pStyle w:val="aff0"/>
      </w:pPr>
      <w:r>
        <w:t>После анализа описательной статистики показателей, основанных на данных финансовой отчетности компаний, перейдем к рассмотрению описательной статистики рыночных показателей. Средний коэффициент Тобина на горизонте исследования составляет 0,56. Это значение меньше 1, что говорит о том, что компании в целом недооценены рынком.</w:t>
      </w:r>
      <w:r w:rsidR="00D655B0">
        <w:t xml:space="preserve"> Минимальное значение, равное 0,014, принадлежит компании ПАО «Башинформсвязь» в 2016 году, а максимальное – 2,024 у ПАО «АЛРОСА» в 2014 году. </w:t>
      </w:r>
      <w:r>
        <w:t xml:space="preserve"> Среднее значение </w:t>
      </w:r>
      <w:r>
        <w:rPr>
          <w:lang w:val="en-US"/>
        </w:rPr>
        <w:t>Market</w:t>
      </w:r>
      <w:r w:rsidR="000B4293">
        <w:t>-</w:t>
      </w:r>
      <w:r>
        <w:rPr>
          <w:lang w:val="en-US"/>
        </w:rPr>
        <w:t>to</w:t>
      </w:r>
      <w:r w:rsidR="000B4293">
        <w:t>-</w:t>
      </w:r>
      <w:r>
        <w:rPr>
          <w:lang w:val="en-US"/>
        </w:rPr>
        <w:t>Book</w:t>
      </w:r>
      <w:r w:rsidRPr="00B21B72">
        <w:t xml:space="preserve"> </w:t>
      </w:r>
      <w:r>
        <w:rPr>
          <w:lang w:val="en-US"/>
        </w:rPr>
        <w:t>Ratio</w:t>
      </w:r>
      <w:r w:rsidRPr="00B21B72">
        <w:t xml:space="preserve"> </w:t>
      </w:r>
      <w:r>
        <w:t xml:space="preserve">равно 0,77, что также говорит о том, что в среднем рынок недооценивает компании с государственным участием. </w:t>
      </w:r>
      <w:r w:rsidR="00D655B0">
        <w:t>Минимальное значение также было зафиксировано у ПАО «Башинформсвязь», тогда как максимальное значение – 4,423 было у ПАО «Газпром нефть» в 2018</w:t>
      </w:r>
      <w:r w:rsidR="003B5693">
        <w:t xml:space="preserve"> году.</w:t>
      </w:r>
      <w:r w:rsidR="00D655B0">
        <w:t xml:space="preserve"> </w:t>
      </w:r>
      <w:r>
        <w:t xml:space="preserve">Если рассмотреть динамику средних значений рыночных показателей, отраженную на </w:t>
      </w:r>
      <w:r w:rsidR="00723CEC">
        <w:fldChar w:fldCharType="begin"/>
      </w:r>
      <w:r w:rsidR="00723CEC">
        <w:instrText xml:space="preserve"> REF _Ref135578020 \r \h </w:instrText>
      </w:r>
      <w:r w:rsidR="0062070C">
        <w:instrText xml:space="preserve"> \* MERGEFORMAT </w:instrText>
      </w:r>
      <w:r w:rsidR="00723CEC">
        <w:fldChar w:fldCharType="separate"/>
      </w:r>
      <w:r w:rsidR="00723CEC">
        <w:t>Рис. 5</w:t>
      </w:r>
      <w:r w:rsidR="00723CEC">
        <w:fldChar w:fldCharType="end"/>
      </w:r>
      <w:r w:rsidR="00A81F36">
        <w:t>,</w:t>
      </w:r>
      <w:r w:rsidR="006C4CE8">
        <w:t xml:space="preserve"> </w:t>
      </w:r>
      <w:r w:rsidR="00FC2148">
        <w:t xml:space="preserve">то можно сказать, что средние значения постепенно росли до 2021 года, однако не превышали 1. </w:t>
      </w:r>
    </w:p>
    <w:p w14:paraId="0898D2B1" w14:textId="7902D787" w:rsidR="00B21B72" w:rsidRDefault="00FC2148" w:rsidP="00D3116D">
      <w:pPr>
        <w:pStyle w:val="aff"/>
      </w:pPr>
      <w:r>
        <w:drawing>
          <wp:inline distT="0" distB="0" distL="0" distR="0" wp14:anchorId="7D13466F" wp14:editId="67D7EB1E">
            <wp:extent cx="4320000" cy="2160000"/>
            <wp:effectExtent l="0" t="0" r="4445" b="12065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7E447578-D8DE-8E5B-C4C5-60D8F23391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99991E" w14:textId="4EE7238D" w:rsidR="00A81F36" w:rsidRPr="00D53E6A" w:rsidRDefault="00E30A69" w:rsidP="00D53E6A">
      <w:pPr>
        <w:pStyle w:val="a1"/>
      </w:pPr>
      <w:bookmarkStart w:id="97" w:name="_Ref135578020"/>
      <w:r w:rsidRPr="00D53E6A">
        <w:t xml:space="preserve">Динамика средних рыночных показателей, </w:t>
      </w:r>
      <w:r w:rsidR="00A95ED4" w:rsidRPr="00D53E6A">
        <w:t>2014–2021</w:t>
      </w:r>
      <w:r w:rsidRPr="00D53E6A">
        <w:t xml:space="preserve"> </w:t>
      </w:r>
      <w:r w:rsidR="00A95ED4" w:rsidRPr="00D53E6A">
        <w:t>гг.</w:t>
      </w:r>
      <w:bookmarkEnd w:id="97"/>
    </w:p>
    <w:p w14:paraId="5A2EBCE7" w14:textId="25AC11C2" w:rsidR="00FC2148" w:rsidRDefault="00670DAB" w:rsidP="0062070C">
      <w:pPr>
        <w:pStyle w:val="aff0"/>
      </w:pPr>
      <w:r>
        <w:t xml:space="preserve">Теперь перейдем к анализу описательной статистики характеристик советов директоров компаний из выборки. Средний размер совета директоров составил </w:t>
      </w:r>
      <w:r w:rsidR="00A7008D">
        <w:t>10–11</w:t>
      </w:r>
      <w:r w:rsidR="00513F4A">
        <w:t xml:space="preserve"> </w:t>
      </w:r>
      <w:r w:rsidR="00513F4A">
        <w:lastRenderedPageBreak/>
        <w:t xml:space="preserve">человек, что соотносится с ранее проведенными исследованиями. </w:t>
      </w:r>
      <w:r w:rsidR="00A969E7">
        <w:t xml:space="preserve">Совет директоров в размере 11 человек был у половины компаний из выборки. </w:t>
      </w:r>
      <w:r w:rsidR="00513F4A">
        <w:t xml:space="preserve">Минимальный размер (5 человек) зафиксирован в компании </w:t>
      </w:r>
      <w:r w:rsidR="007E3460">
        <w:t>ПАО «Башинформсвязь»</w:t>
      </w:r>
      <w:r w:rsidR="00513F4A">
        <w:t>, тогда как максимальный – 15 человек в компаниях</w:t>
      </w:r>
      <w:r w:rsidR="007E3460">
        <w:t xml:space="preserve"> ПАО «Татнефть», ПАО «Алроса», ПАО «Россети».</w:t>
      </w:r>
      <w:r w:rsidR="00513F4A">
        <w:t xml:space="preserve"> </w:t>
      </w:r>
      <w:r w:rsidR="00FC2148">
        <w:t>Изменение среднего размера совета директоров отражено на</w:t>
      </w:r>
      <w:r w:rsidR="00F1696E">
        <w:t xml:space="preserve"> </w:t>
      </w:r>
      <w:r w:rsidR="00F1696E">
        <w:fldChar w:fldCharType="begin"/>
      </w:r>
      <w:r w:rsidR="00F1696E">
        <w:instrText xml:space="preserve"> REF _Ref135578128 \r \h </w:instrText>
      </w:r>
      <w:r w:rsidR="0062070C">
        <w:instrText xml:space="preserve"> \* MERGEFORMAT </w:instrText>
      </w:r>
      <w:r w:rsidR="00F1696E">
        <w:fldChar w:fldCharType="separate"/>
      </w:r>
      <w:r w:rsidR="00F1696E">
        <w:t>Рис. 6</w:t>
      </w:r>
      <w:r w:rsidR="00F1696E">
        <w:fldChar w:fldCharType="end"/>
      </w:r>
      <w:r w:rsidR="00FC2148">
        <w:t xml:space="preserve">. Средний размер Совета упал в 2015 году, после чего оставался в пределах 10–11 человек. </w:t>
      </w:r>
    </w:p>
    <w:p w14:paraId="5C0A2EBD" w14:textId="51A48825" w:rsidR="00FC2148" w:rsidRDefault="00FC2148" w:rsidP="00D3116D">
      <w:pPr>
        <w:pStyle w:val="aff"/>
      </w:pPr>
      <w:r>
        <w:drawing>
          <wp:inline distT="0" distB="0" distL="0" distR="0" wp14:anchorId="3007E170" wp14:editId="427E88AA">
            <wp:extent cx="4320000" cy="2160000"/>
            <wp:effectExtent l="0" t="0" r="4445" b="12065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EC271111-BFAB-C01F-A9CF-52451E71F7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581DD23" w14:textId="70EABB6D" w:rsidR="006C4CE8" w:rsidRPr="00D53E6A" w:rsidRDefault="00F1696E" w:rsidP="00D53E6A">
      <w:pPr>
        <w:pStyle w:val="a1"/>
      </w:pPr>
      <w:bookmarkStart w:id="98" w:name="_Ref135578128"/>
      <w:r w:rsidRPr="00D53E6A">
        <w:t>Средний размер совета директоров компаний из выборки, 2014–2021 гг.</w:t>
      </w:r>
      <w:bookmarkEnd w:id="98"/>
    </w:p>
    <w:p w14:paraId="7A15EB86" w14:textId="2DAD550C" w:rsidR="00035092" w:rsidRDefault="00513F4A" w:rsidP="0062070C">
      <w:pPr>
        <w:pStyle w:val="aff0"/>
      </w:pPr>
      <w:r>
        <w:t xml:space="preserve">Рассматривая основные структурные характеристики совета директоров, то средняя доля независимых директоров составила </w:t>
      </w:r>
      <w:r w:rsidR="00FC2148">
        <w:t>18</w:t>
      </w:r>
      <w:r>
        <w:t>%</w:t>
      </w:r>
      <w:r w:rsidR="00035092">
        <w:t xml:space="preserve">. </w:t>
      </w:r>
      <w:r w:rsidR="00FF41B4">
        <w:t xml:space="preserve">Из этого следует вывод, что </w:t>
      </w:r>
      <w:r w:rsidR="00A32397">
        <w:t xml:space="preserve">публичные компании </w:t>
      </w:r>
      <w:r w:rsidR="007A6C98">
        <w:t>с государственным участием</w:t>
      </w:r>
      <w:r w:rsidR="00A32397">
        <w:t xml:space="preserve"> в среднем не соблюдают рекомендации </w:t>
      </w:r>
      <w:r w:rsidR="00271873">
        <w:t xml:space="preserve">Кодекса </w:t>
      </w:r>
      <w:r w:rsidR="00A32397">
        <w:t xml:space="preserve">о наличии не менее одной трети независимых директоров от общего количества. </w:t>
      </w:r>
      <w:r w:rsidR="007A6C98">
        <w:t xml:space="preserve">Тем не менее, есть ряд компаний, у которых независимые директора составляют </w:t>
      </w:r>
      <w:r w:rsidR="00FC2148">
        <w:t xml:space="preserve">около </w:t>
      </w:r>
      <w:r w:rsidR="007A6C98">
        <w:t>половин</w:t>
      </w:r>
      <w:r w:rsidR="00FC2148">
        <w:t>ы</w:t>
      </w:r>
      <w:r w:rsidR="007A6C98">
        <w:t xml:space="preserve"> от размера совета директоров - </w:t>
      </w:r>
      <w:r w:rsidR="007A6C98" w:rsidRPr="007A6C98">
        <w:t>ПАО "НПК ОВК"</w:t>
      </w:r>
      <w:r w:rsidR="007A6C98">
        <w:t xml:space="preserve">, </w:t>
      </w:r>
      <w:r w:rsidR="007A6C98" w:rsidRPr="007A6C98">
        <w:t>ПАО "</w:t>
      </w:r>
      <w:r w:rsidR="00FC2148">
        <w:t>Интер РАО</w:t>
      </w:r>
      <w:r w:rsidR="007A6C98" w:rsidRPr="007A6C98">
        <w:t>"</w:t>
      </w:r>
      <w:r w:rsidR="007A6C98">
        <w:t xml:space="preserve">. Немало компаний, в которых отсутствуют независимые директора, это </w:t>
      </w:r>
      <w:r w:rsidR="007A6C98" w:rsidRPr="007A6C98">
        <w:t>ПАО "Саратовский НПЗ"</w:t>
      </w:r>
      <w:r w:rsidR="007A6C98">
        <w:t xml:space="preserve">, </w:t>
      </w:r>
      <w:r w:rsidR="007A6C98" w:rsidRPr="007A6C98">
        <w:t>ПАО "Б</w:t>
      </w:r>
      <w:r w:rsidR="00EE799C">
        <w:t>ашинформсвязь</w:t>
      </w:r>
      <w:r w:rsidR="007A6C98" w:rsidRPr="007A6C98">
        <w:t>"</w:t>
      </w:r>
      <w:r w:rsidR="007A6C98">
        <w:t xml:space="preserve">, </w:t>
      </w:r>
      <w:r w:rsidR="007A6C98" w:rsidRPr="007A6C98">
        <w:t>ПАО "К</w:t>
      </w:r>
      <w:r w:rsidR="00EE799C">
        <w:t>амчатскэнерго</w:t>
      </w:r>
      <w:r w:rsidR="007A6C98" w:rsidRPr="007A6C98">
        <w:t>"</w:t>
      </w:r>
      <w:r w:rsidR="007A6C98">
        <w:t xml:space="preserve">, </w:t>
      </w:r>
      <w:r w:rsidR="007A6C98" w:rsidRPr="007A6C98">
        <w:t>ПАО АНК "Б</w:t>
      </w:r>
      <w:r w:rsidR="00EE799C">
        <w:t>ашнефть</w:t>
      </w:r>
      <w:r w:rsidR="007A6C98" w:rsidRPr="007A6C98">
        <w:t>"</w:t>
      </w:r>
      <w:r w:rsidR="007A6C98">
        <w:t xml:space="preserve">, </w:t>
      </w:r>
      <w:r w:rsidR="007A6C98" w:rsidRPr="007A6C98">
        <w:t>ПАО "НМТП"</w:t>
      </w:r>
      <w:r w:rsidR="007A6C98">
        <w:t xml:space="preserve">. Доля независимых директоров в компаниях, в которых присутствует хотя бы 1 такой директор, равна 23%. Из </w:t>
      </w:r>
      <w:r w:rsidR="00D74BBE">
        <w:fldChar w:fldCharType="begin"/>
      </w:r>
      <w:r w:rsidR="00D74BBE">
        <w:instrText xml:space="preserve"> REF _Ref131619462 \r \h </w:instrText>
      </w:r>
      <w:r w:rsidR="0062070C">
        <w:instrText xml:space="preserve"> \* MERGEFORMAT </w:instrText>
      </w:r>
      <w:r w:rsidR="00D74BBE">
        <w:fldChar w:fldCharType="separate"/>
      </w:r>
      <w:r w:rsidR="00D74BBE">
        <w:t>Рис. 7</w:t>
      </w:r>
      <w:r w:rsidR="00D74BBE">
        <w:fldChar w:fldCharType="end"/>
      </w:r>
      <w:r w:rsidR="00D74BBE">
        <w:t xml:space="preserve"> </w:t>
      </w:r>
      <w:r w:rsidR="007A6C98">
        <w:t>можно</w:t>
      </w:r>
      <w:r w:rsidR="00FF7DC3">
        <w:t xml:space="preserve"> заметить постепенный рост средней доли независимых директоров с 2014 по 2017 год, после чего показатель оставался на одном уровне с незначительными колебаниями</w:t>
      </w:r>
      <w:r w:rsidR="007A6C98">
        <w:t xml:space="preserve">. </w:t>
      </w:r>
    </w:p>
    <w:p w14:paraId="2B460A43" w14:textId="6DA48985" w:rsidR="007A6C98" w:rsidRDefault="007A6C98" w:rsidP="0062070C">
      <w:pPr>
        <w:pStyle w:val="aff0"/>
      </w:pPr>
      <w:r>
        <w:t>Согласно данным из Таблицы 2, с</w:t>
      </w:r>
      <w:r w:rsidR="00513F4A">
        <w:t xml:space="preserve">редняя доля исполнительных директоров </w:t>
      </w:r>
      <w:r>
        <w:t>для компаний из выборки составила 1</w:t>
      </w:r>
      <w:r w:rsidR="00FC2148">
        <w:t>0,6</w:t>
      </w:r>
      <w:r>
        <w:t>%</w:t>
      </w:r>
      <w:r w:rsidR="00DD5DC5">
        <w:t>. Для большинства российских компаний характерен 1 исполнительный директор в составе совета директоров в лице генерального директора, однако в ряде компаний можно наблюдать долю таких директоров равную 45% (</w:t>
      </w:r>
      <w:r w:rsidR="00DD5DC5" w:rsidRPr="00DD5DC5">
        <w:t>ПАО "ФСК ЕЭС"</w:t>
      </w:r>
      <w:r w:rsidR="00DD5DC5">
        <w:t>) и 33% (</w:t>
      </w:r>
      <w:r w:rsidR="00DD5DC5" w:rsidRPr="00DD5DC5">
        <w:t>ПАО "</w:t>
      </w:r>
      <w:r w:rsidR="00FF7DC3">
        <w:t>НПК ОВК</w:t>
      </w:r>
      <w:r w:rsidR="00DD5DC5" w:rsidRPr="00DD5DC5">
        <w:t>"</w:t>
      </w:r>
      <w:r w:rsidR="00FF7DC3">
        <w:t xml:space="preserve"> и ПАО «</w:t>
      </w:r>
      <w:r w:rsidR="00E81B8B">
        <w:t>Татнефть»</w:t>
      </w:r>
      <w:r w:rsidR="00DD5DC5">
        <w:t xml:space="preserve">). Исполнительные директора могут </w:t>
      </w:r>
      <w:r w:rsidR="00DD5DC5">
        <w:lastRenderedPageBreak/>
        <w:t xml:space="preserve">вовсе отсутствовать в </w:t>
      </w:r>
      <w:r w:rsidR="00A7008D">
        <w:t xml:space="preserve">наблюдательных советах </w:t>
      </w:r>
      <w:r w:rsidR="00DD5DC5">
        <w:t xml:space="preserve">компаний. На </w:t>
      </w:r>
      <w:r w:rsidR="00D74BBE">
        <w:fldChar w:fldCharType="begin"/>
      </w:r>
      <w:r w:rsidR="00D74BBE">
        <w:instrText xml:space="preserve"> REF _Ref131619462 \r \h </w:instrText>
      </w:r>
      <w:r w:rsidR="0062070C">
        <w:instrText xml:space="preserve"> \* MERGEFORMAT </w:instrText>
      </w:r>
      <w:r w:rsidR="00D74BBE">
        <w:fldChar w:fldCharType="separate"/>
      </w:r>
      <w:r w:rsidR="00D74BBE">
        <w:t>Рис. 7</w:t>
      </w:r>
      <w:r w:rsidR="00D74BBE">
        <w:fldChar w:fldCharType="end"/>
      </w:r>
      <w:r w:rsidR="00D74BBE">
        <w:t xml:space="preserve"> </w:t>
      </w:r>
      <w:r w:rsidR="00DD5DC5">
        <w:t>можно увидеть</w:t>
      </w:r>
      <w:r w:rsidR="00E81B8B">
        <w:t xml:space="preserve">, что показатель был стабилен до 2020 года, однако вырос </w:t>
      </w:r>
      <w:r w:rsidR="00A7008D">
        <w:t xml:space="preserve">в 2021 году. </w:t>
      </w:r>
      <w:r w:rsidR="00DD5DC5">
        <w:t xml:space="preserve"> </w:t>
      </w:r>
    </w:p>
    <w:p w14:paraId="6C5C6808" w14:textId="5C3C9D30" w:rsidR="00513F4A" w:rsidRDefault="00DD5DC5" w:rsidP="0062070C">
      <w:pPr>
        <w:pStyle w:val="aff0"/>
      </w:pPr>
      <w:r>
        <w:t>Что касается гендерного разнообразия, то средняя доля женщин на горизонте исследования составила 1</w:t>
      </w:r>
      <w:r w:rsidR="00E81B8B">
        <w:t>0,3</w:t>
      </w:r>
      <w:r>
        <w:t>%</w:t>
      </w:r>
      <w:r w:rsidR="00224776">
        <w:t xml:space="preserve">, что соотносится с другими ранее </w:t>
      </w:r>
      <w:r w:rsidR="00AF0C3F">
        <w:t xml:space="preserve">проведенными </w:t>
      </w:r>
      <w:r w:rsidR="00224776">
        <w:t>исследованиями. Несмотря на то, что в значительном количестве компаний вовсе отсутствуют женщины-директора, в некоторых компаниях их доля достигает 40% (</w:t>
      </w:r>
      <w:r w:rsidR="00224776" w:rsidRPr="00224776">
        <w:t>ПАО "</w:t>
      </w:r>
      <w:r w:rsidR="005C4035">
        <w:t>Башинформсвязь</w:t>
      </w:r>
      <w:r w:rsidR="005C4035" w:rsidRPr="00224776">
        <w:t>"</w:t>
      </w:r>
      <w:r w:rsidR="005C4035">
        <w:t xml:space="preserve">, ПАО </w:t>
      </w:r>
      <w:r w:rsidR="005C4035" w:rsidRPr="00224776">
        <w:t>"</w:t>
      </w:r>
      <w:r w:rsidR="00224776" w:rsidRPr="00224776">
        <w:t>Кубаньэнерго"</w:t>
      </w:r>
      <w:r w:rsidR="00224776">
        <w:t xml:space="preserve">, </w:t>
      </w:r>
      <w:r w:rsidR="00224776" w:rsidRPr="00224776">
        <w:t>ПАО "М</w:t>
      </w:r>
      <w:r w:rsidR="00EE799C">
        <w:t>агаданэнерго</w:t>
      </w:r>
      <w:r w:rsidR="00224776" w:rsidRPr="00224776">
        <w:t>"</w:t>
      </w:r>
      <w:r w:rsidR="00224776">
        <w:t xml:space="preserve">, </w:t>
      </w:r>
      <w:r w:rsidR="00224776" w:rsidRPr="00224776">
        <w:t>ПАО "К</w:t>
      </w:r>
      <w:r w:rsidR="00EE799C">
        <w:t>амчатскэнерго</w:t>
      </w:r>
      <w:r w:rsidR="00224776" w:rsidRPr="00224776">
        <w:t>"</w:t>
      </w:r>
      <w:r w:rsidR="00224776">
        <w:t xml:space="preserve">). Если рассмотреть </w:t>
      </w:r>
      <w:r w:rsidR="00AF0C3F">
        <w:t xml:space="preserve">изменение </w:t>
      </w:r>
      <w:r w:rsidR="00224776">
        <w:t>дол</w:t>
      </w:r>
      <w:r w:rsidR="00AF0C3F">
        <w:t>и</w:t>
      </w:r>
      <w:r w:rsidR="00224776">
        <w:t xml:space="preserve"> директоров-женщин,</w:t>
      </w:r>
      <w:r w:rsidR="00AF0C3F">
        <w:t xml:space="preserve"> отраженное на</w:t>
      </w:r>
      <w:r w:rsidR="00D74BBE">
        <w:t xml:space="preserve"> </w:t>
      </w:r>
      <w:r w:rsidR="00D74BBE">
        <w:fldChar w:fldCharType="begin"/>
      </w:r>
      <w:r w:rsidR="00D74BBE">
        <w:instrText xml:space="preserve"> REF _Ref131619462 \r \h </w:instrText>
      </w:r>
      <w:r w:rsidR="0062070C">
        <w:instrText xml:space="preserve"> \* MERGEFORMAT </w:instrText>
      </w:r>
      <w:r w:rsidR="00D74BBE">
        <w:fldChar w:fldCharType="separate"/>
      </w:r>
      <w:r w:rsidR="00D74BBE">
        <w:t>Рис. 7</w:t>
      </w:r>
      <w:r w:rsidR="00D74BBE">
        <w:fldChar w:fldCharType="end"/>
      </w:r>
      <w:r w:rsidR="00AF0C3F">
        <w:t xml:space="preserve">, </w:t>
      </w:r>
      <w:r w:rsidR="00224776">
        <w:t>то</w:t>
      </w:r>
      <w:r w:rsidR="005C4035">
        <w:t xml:space="preserve"> можно заметить, что показатель постепенно рос до 2018 год, после чего происходило падение до 2020 года и в 2021 средняя доля-женщин выросла</w:t>
      </w:r>
      <w:r w:rsidR="00224776">
        <w:t xml:space="preserve">. </w:t>
      </w:r>
      <w:r w:rsidR="00EE799C">
        <w:t>Доля женщин-директоров в компаниях, в совете директоров которых присутствовала хотя бы 1 женщина, составляет 1</w:t>
      </w:r>
      <w:r w:rsidR="005C4035">
        <w:t>6,3</w:t>
      </w:r>
      <w:r w:rsidR="00EE799C">
        <w:t xml:space="preserve">%. </w:t>
      </w:r>
    </w:p>
    <w:p w14:paraId="74157C5E" w14:textId="793C3A4A" w:rsidR="00513F4A" w:rsidRDefault="00FF7DC3" w:rsidP="00D3116D">
      <w:pPr>
        <w:pStyle w:val="aff"/>
      </w:pPr>
      <w:r>
        <w:drawing>
          <wp:inline distT="0" distB="0" distL="0" distR="0" wp14:anchorId="580F8F33" wp14:editId="1021A33F">
            <wp:extent cx="4320000" cy="2160000"/>
            <wp:effectExtent l="0" t="0" r="4445" b="12065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1112278A-4A10-420A-791F-0FC865B265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540FC1C" w14:textId="79B55561" w:rsidR="00A7008D" w:rsidRPr="00D53E6A" w:rsidRDefault="00A7008D" w:rsidP="00D53E6A">
      <w:pPr>
        <w:pStyle w:val="a1"/>
      </w:pPr>
      <w:bookmarkStart w:id="99" w:name="_Ref131619462"/>
      <w:r w:rsidRPr="00D53E6A">
        <w:t xml:space="preserve">Изменение структурных характеристик советов директоров, </w:t>
      </w:r>
      <w:r w:rsidRPr="00D53E6A">
        <w:br/>
        <w:t>201</w:t>
      </w:r>
      <w:r w:rsidR="00335F23" w:rsidRPr="00D53E6A">
        <w:t>4</w:t>
      </w:r>
      <w:r w:rsidRPr="00D53E6A">
        <w:t>–2021 гг.</w:t>
      </w:r>
      <w:bookmarkEnd w:id="99"/>
      <w:r w:rsidRPr="00D53E6A">
        <w:t xml:space="preserve"> </w:t>
      </w:r>
    </w:p>
    <w:p w14:paraId="3EFE19C9" w14:textId="24A2A89F" w:rsidR="002C2FBF" w:rsidRPr="002C2FBF" w:rsidRDefault="00EE799C" w:rsidP="0062070C">
      <w:pPr>
        <w:pStyle w:val="aff0"/>
        <w:rPr>
          <w:rFonts w:cs="Times New Roman"/>
          <w:szCs w:val="24"/>
        </w:rPr>
      </w:pPr>
      <w:r>
        <w:t xml:space="preserve">Из </w:t>
      </w:r>
      <w:r w:rsidR="00AF0C3F">
        <w:fldChar w:fldCharType="begin"/>
      </w:r>
      <w:r w:rsidR="00AF0C3F">
        <w:instrText xml:space="preserve"> REF _Ref131618421 \r \h </w:instrText>
      </w:r>
      <w:r w:rsidR="0062070C">
        <w:instrText xml:space="preserve"> \* MERGEFORMAT </w:instrText>
      </w:r>
      <w:r w:rsidR="00AF0C3F">
        <w:fldChar w:fldCharType="separate"/>
      </w:r>
      <w:r w:rsidR="00AF0C3F">
        <w:t>Таблицы 2</w:t>
      </w:r>
      <w:r w:rsidR="00AF0C3F">
        <w:fldChar w:fldCharType="end"/>
      </w:r>
      <w:r>
        <w:t xml:space="preserve"> следует, что средняя доля директоров, имеющих опыт работы в органах государственной власти, равна 2</w:t>
      </w:r>
      <w:r w:rsidR="00FA4098">
        <w:t>2,4</w:t>
      </w:r>
      <w:r>
        <w:t xml:space="preserve">%. </w:t>
      </w:r>
      <w:r w:rsidR="00AF0C3F">
        <w:t>Авторы</w:t>
      </w:r>
      <w:r>
        <w:t xml:space="preserve"> работ</w:t>
      </w:r>
      <w:r w:rsidR="00AF0C3F">
        <w:t>ы</w:t>
      </w:r>
      <w:r>
        <w:t xml:space="preserve"> </w:t>
      </w:r>
      <w:r w:rsidRPr="00190D93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Березинец, Ильина, Смирнов, 2016</w:t>
      </w:r>
      <w:r w:rsidRPr="00190D93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анализировали компании с государственным участием</w:t>
      </w:r>
      <w:r w:rsidR="00AF0C3F">
        <w:rPr>
          <w:rFonts w:cs="Times New Roman"/>
          <w:szCs w:val="24"/>
        </w:rPr>
        <w:t xml:space="preserve"> и обнаружили</w:t>
      </w:r>
      <w:r>
        <w:rPr>
          <w:rFonts w:cs="Times New Roman"/>
          <w:szCs w:val="24"/>
        </w:rPr>
        <w:t>, что доля госслужащих снижалась с 2009 по 2012 и на конец 2012 года составляла 40%.</w:t>
      </w:r>
      <w:r w:rsidR="00AF0C3F">
        <w:rPr>
          <w:rFonts w:cs="Times New Roman"/>
          <w:szCs w:val="24"/>
        </w:rPr>
        <w:t xml:space="preserve"> Таким образом, произошло падение данного показателя почти в 2 раза с 2012 года.</w:t>
      </w:r>
      <w:r>
        <w:rPr>
          <w:rFonts w:cs="Times New Roman"/>
          <w:szCs w:val="24"/>
        </w:rPr>
        <w:t xml:space="preserve"> </w:t>
      </w:r>
      <w:r w:rsidR="00AF0C3F">
        <w:rPr>
          <w:rFonts w:cs="Times New Roman"/>
          <w:szCs w:val="24"/>
        </w:rPr>
        <w:t xml:space="preserve">Можно </w:t>
      </w:r>
      <w:r>
        <w:rPr>
          <w:rFonts w:cs="Times New Roman"/>
          <w:szCs w:val="24"/>
        </w:rPr>
        <w:t xml:space="preserve">предположить, что тенденция </w:t>
      </w:r>
      <w:r w:rsidR="00AF0C3F">
        <w:rPr>
          <w:rFonts w:cs="Times New Roman"/>
          <w:szCs w:val="24"/>
        </w:rPr>
        <w:t xml:space="preserve">к сокращению директоров с опытом работы в органах госвласти </w:t>
      </w:r>
      <w:r>
        <w:rPr>
          <w:rFonts w:cs="Times New Roman"/>
          <w:szCs w:val="24"/>
        </w:rPr>
        <w:t xml:space="preserve">сохранилась. </w:t>
      </w:r>
      <w:r w:rsidR="002C2FBF">
        <w:rPr>
          <w:rFonts w:cs="Times New Roman"/>
          <w:szCs w:val="24"/>
        </w:rPr>
        <w:t xml:space="preserve">Однако, </w:t>
      </w:r>
      <w:r w:rsidR="00AF0C3F">
        <w:rPr>
          <w:rFonts w:cs="Times New Roman"/>
          <w:szCs w:val="24"/>
        </w:rPr>
        <w:t>на</w:t>
      </w:r>
      <w:r w:rsidR="00C63E53">
        <w:rPr>
          <w:rFonts w:cs="Times New Roman"/>
          <w:szCs w:val="24"/>
        </w:rPr>
        <w:t xml:space="preserve"> </w:t>
      </w:r>
      <w:r w:rsidR="00C63E53">
        <w:rPr>
          <w:rFonts w:cs="Times New Roman"/>
          <w:szCs w:val="24"/>
        </w:rPr>
        <w:fldChar w:fldCharType="begin"/>
      </w:r>
      <w:r w:rsidR="00C63E53">
        <w:rPr>
          <w:rFonts w:cs="Times New Roman"/>
          <w:szCs w:val="24"/>
        </w:rPr>
        <w:instrText xml:space="preserve"> REF _Ref131619889 \r \h </w:instrText>
      </w:r>
      <w:r w:rsidR="0062070C">
        <w:rPr>
          <w:rFonts w:cs="Times New Roman"/>
          <w:szCs w:val="24"/>
        </w:rPr>
        <w:instrText xml:space="preserve"> \* MERGEFORMAT </w:instrText>
      </w:r>
      <w:r w:rsidR="00C63E53">
        <w:rPr>
          <w:rFonts w:cs="Times New Roman"/>
          <w:szCs w:val="24"/>
        </w:rPr>
      </w:r>
      <w:r w:rsidR="00C63E53">
        <w:rPr>
          <w:rFonts w:cs="Times New Roman"/>
          <w:szCs w:val="24"/>
        </w:rPr>
        <w:fldChar w:fldCharType="separate"/>
      </w:r>
      <w:r w:rsidR="00C63E53">
        <w:rPr>
          <w:rFonts w:cs="Times New Roman"/>
          <w:szCs w:val="24"/>
        </w:rPr>
        <w:t>Рис. 8</w:t>
      </w:r>
      <w:r w:rsidR="00C63E53">
        <w:rPr>
          <w:rFonts w:cs="Times New Roman"/>
          <w:szCs w:val="24"/>
        </w:rPr>
        <w:fldChar w:fldCharType="end"/>
      </w:r>
      <w:r w:rsidR="00AF0C3F">
        <w:rPr>
          <w:rFonts w:cs="Times New Roman"/>
          <w:szCs w:val="24"/>
        </w:rPr>
        <w:t xml:space="preserve"> </w:t>
      </w:r>
      <w:r w:rsidR="002C2FBF">
        <w:rPr>
          <w:rFonts w:cs="Times New Roman"/>
          <w:szCs w:val="24"/>
        </w:rPr>
        <w:t>видно, что доля таких</w:t>
      </w:r>
      <w:r w:rsidR="00FA4098">
        <w:rPr>
          <w:rFonts w:cs="Times New Roman"/>
          <w:szCs w:val="24"/>
        </w:rPr>
        <w:t xml:space="preserve"> </w:t>
      </w:r>
      <w:r w:rsidR="003C4632">
        <w:rPr>
          <w:rFonts w:cs="Times New Roman"/>
          <w:szCs w:val="24"/>
        </w:rPr>
        <w:t xml:space="preserve">директоров </w:t>
      </w:r>
      <w:r w:rsidR="00FA4098">
        <w:rPr>
          <w:rFonts w:cs="Times New Roman"/>
          <w:szCs w:val="24"/>
        </w:rPr>
        <w:t>незначительно</w:t>
      </w:r>
      <w:r w:rsidR="002C2FBF">
        <w:rPr>
          <w:rFonts w:cs="Times New Roman"/>
          <w:szCs w:val="24"/>
        </w:rPr>
        <w:t xml:space="preserve"> </w:t>
      </w:r>
      <w:r w:rsidR="00FA4098">
        <w:rPr>
          <w:rFonts w:cs="Times New Roman"/>
          <w:szCs w:val="24"/>
        </w:rPr>
        <w:t>увеличилась в 2015 году, после чего снизилась и постепенно росла</w:t>
      </w:r>
      <w:r w:rsidR="002C2FBF">
        <w:rPr>
          <w:rFonts w:cs="Times New Roman"/>
          <w:szCs w:val="24"/>
        </w:rPr>
        <w:t xml:space="preserve"> до 2019 года, после которого начал</w:t>
      </w:r>
      <w:r w:rsidR="00AF0C3F">
        <w:rPr>
          <w:rFonts w:cs="Times New Roman"/>
          <w:szCs w:val="24"/>
        </w:rPr>
        <w:t>а снижаться</w:t>
      </w:r>
      <w:r w:rsidR="002C2FBF">
        <w:rPr>
          <w:rFonts w:cs="Times New Roman"/>
          <w:szCs w:val="24"/>
        </w:rPr>
        <w:t>. Наибольшая доля директоров с опытом работы в госорганах зафиксирована в ПАО «</w:t>
      </w:r>
      <w:r w:rsidR="00FA4098">
        <w:rPr>
          <w:rFonts w:cs="Times New Roman"/>
          <w:szCs w:val="24"/>
        </w:rPr>
        <w:t>АЛРОСА</w:t>
      </w:r>
      <w:r w:rsidR="002C2FBF">
        <w:rPr>
          <w:rFonts w:cs="Times New Roman"/>
          <w:szCs w:val="24"/>
        </w:rPr>
        <w:t xml:space="preserve">» - </w:t>
      </w:r>
      <w:r w:rsidR="00FA4098">
        <w:rPr>
          <w:rFonts w:cs="Times New Roman"/>
          <w:szCs w:val="24"/>
        </w:rPr>
        <w:t>66</w:t>
      </w:r>
      <w:r w:rsidR="002C2FBF">
        <w:rPr>
          <w:rFonts w:cs="Times New Roman"/>
          <w:szCs w:val="24"/>
        </w:rPr>
        <w:t>%. В компаниях ПАО «Транснефть»</w:t>
      </w:r>
      <w:r w:rsidR="00FA4098">
        <w:rPr>
          <w:rFonts w:cs="Times New Roman"/>
          <w:szCs w:val="24"/>
        </w:rPr>
        <w:t xml:space="preserve"> и ПАО «Аэрофлот» </w:t>
      </w:r>
      <w:r w:rsidR="002C2FBF">
        <w:rPr>
          <w:rFonts w:cs="Times New Roman"/>
          <w:szCs w:val="24"/>
        </w:rPr>
        <w:t xml:space="preserve">доля таких директоров составляет более 60%. </w:t>
      </w:r>
    </w:p>
    <w:p w14:paraId="2D85E4D3" w14:textId="3116B3EE" w:rsidR="002C2FBF" w:rsidRDefault="00FA4098" w:rsidP="00D3116D">
      <w:pPr>
        <w:pStyle w:val="aff"/>
      </w:pPr>
      <w:r>
        <w:lastRenderedPageBreak/>
        <w:drawing>
          <wp:inline distT="0" distB="0" distL="0" distR="0" wp14:anchorId="4F0181EF" wp14:editId="04D523E3">
            <wp:extent cx="4320000" cy="2160000"/>
            <wp:effectExtent l="0" t="0" r="4445" b="12065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6FB346D4-2848-FCE9-3E43-6BCB373031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FF4C3BA" w14:textId="13FC03E9" w:rsidR="00AF0C3F" w:rsidRPr="00D53E6A" w:rsidRDefault="00AF0C3F" w:rsidP="00D53E6A">
      <w:pPr>
        <w:pStyle w:val="a1"/>
      </w:pPr>
      <w:bookmarkStart w:id="100" w:name="_Ref131619889"/>
      <w:r w:rsidRPr="00D53E6A">
        <w:t xml:space="preserve">Изменение доли директоров с опытом работы в органах госвласти, </w:t>
      </w:r>
      <w:r w:rsidRPr="00D53E6A">
        <w:br/>
        <w:t>201</w:t>
      </w:r>
      <w:r w:rsidR="00335F23" w:rsidRPr="00D53E6A">
        <w:t>4</w:t>
      </w:r>
      <w:r w:rsidRPr="00D53E6A">
        <w:t>–2021 гг.</w:t>
      </w:r>
      <w:bookmarkEnd w:id="100"/>
    </w:p>
    <w:p w14:paraId="12604727" w14:textId="4B651B44" w:rsidR="005C6B87" w:rsidRDefault="00FC52DC" w:rsidP="0062070C">
      <w:pPr>
        <w:pStyle w:val="aff0"/>
        <w:rPr>
          <w:color w:val="000000" w:themeColor="text1"/>
        </w:rPr>
      </w:pPr>
      <w:r w:rsidRPr="00CF1D24">
        <w:rPr>
          <w:color w:val="000000" w:themeColor="text1"/>
        </w:rPr>
        <w:t xml:space="preserve">Что касается множественности директорских </w:t>
      </w:r>
      <w:r>
        <w:t xml:space="preserve">позиций в компаниях с государственным участием, то в среднем в других компаниях </w:t>
      </w:r>
      <w:r w:rsidR="00AF0C3F">
        <w:t xml:space="preserve">должность </w:t>
      </w:r>
      <w:r>
        <w:t>члена Совета занимает 6</w:t>
      </w:r>
      <w:r w:rsidR="00FA4098">
        <w:t>2</w:t>
      </w:r>
      <w:r>
        <w:t>% директоров</w:t>
      </w:r>
      <w:r w:rsidR="001934BE" w:rsidRPr="001934BE">
        <w:t xml:space="preserve">. </w:t>
      </w:r>
      <w:r w:rsidR="00E24C28">
        <w:t xml:space="preserve">Ряд компаний, преимущественно отрасли </w:t>
      </w:r>
      <w:r w:rsidR="001934BE">
        <w:t xml:space="preserve">нефтегазодобычи и </w:t>
      </w:r>
      <w:r w:rsidR="00E24C28">
        <w:t xml:space="preserve">электроэнергетики имеют более 90% директоров, занимающих позиции членов Совета в других компаниях: это </w:t>
      </w:r>
      <w:r w:rsidR="001934BE">
        <w:t xml:space="preserve">ПАО «Газпром», ПАО «Транснефть», ПАО «Интер РАО», </w:t>
      </w:r>
      <w:r w:rsidR="00E24C28" w:rsidRPr="00E24C28">
        <w:t>ПАО "Р</w:t>
      </w:r>
      <w:r w:rsidR="00E24C28">
        <w:t>оссети</w:t>
      </w:r>
      <w:r w:rsidR="001934BE">
        <w:t xml:space="preserve">» </w:t>
      </w:r>
      <w:r w:rsidR="00E24C28">
        <w:t>и другие дочерние организации ПАО «Россети»</w:t>
      </w:r>
      <w:r w:rsidR="001934BE">
        <w:t xml:space="preserve">. </w:t>
      </w:r>
      <w:r w:rsidR="007820C6">
        <w:t>Есть компании, у которых отсутствуют такие директора: это ПАО «</w:t>
      </w:r>
      <w:proofErr w:type="spellStart"/>
      <w:r w:rsidR="007820C6">
        <w:t>Таттелеком</w:t>
      </w:r>
      <w:proofErr w:type="spellEnd"/>
      <w:r w:rsidR="007820C6">
        <w:t>» и ПАО «ТГК-1» в 2015 год</w:t>
      </w:r>
      <w:r w:rsidR="00815672">
        <w:t>у</w:t>
      </w:r>
      <w:r w:rsidR="007820C6">
        <w:t xml:space="preserve">. </w:t>
      </w:r>
      <w:r w:rsidR="00374556">
        <w:t xml:space="preserve">На </w:t>
      </w:r>
      <w:r w:rsidR="00C63E53">
        <w:fldChar w:fldCharType="begin"/>
      </w:r>
      <w:r w:rsidR="00C63E53">
        <w:instrText xml:space="preserve"> REF _Ref131620238 \r \h </w:instrText>
      </w:r>
      <w:r w:rsidR="0062070C">
        <w:instrText xml:space="preserve"> \* MERGEFORMAT </w:instrText>
      </w:r>
      <w:r w:rsidR="00C63E53">
        <w:fldChar w:fldCharType="separate"/>
      </w:r>
      <w:r w:rsidR="00C63E53">
        <w:t>Рис. 9</w:t>
      </w:r>
      <w:r w:rsidR="00C63E53">
        <w:fldChar w:fldCharType="end"/>
      </w:r>
      <w:r w:rsidR="00C63E53">
        <w:t xml:space="preserve"> </w:t>
      </w:r>
      <w:r w:rsidR="00374556">
        <w:t xml:space="preserve">отражено изменение множественности директорских позиций в </w:t>
      </w:r>
      <w:r w:rsidR="00083A5F">
        <w:t>компаниях</w:t>
      </w:r>
      <w:r w:rsidR="00374556">
        <w:t>.</w:t>
      </w:r>
      <w:r w:rsidR="00CF1D24" w:rsidRPr="00CF1D24">
        <w:rPr>
          <w:color w:val="000000" w:themeColor="text1"/>
        </w:rPr>
        <w:t xml:space="preserve"> </w:t>
      </w:r>
      <w:r w:rsidR="00CF1D24">
        <w:rPr>
          <w:color w:val="000000" w:themeColor="text1"/>
        </w:rPr>
        <w:t>Можно заметить</w:t>
      </w:r>
      <w:r w:rsidR="00722AAD">
        <w:rPr>
          <w:color w:val="000000" w:themeColor="text1"/>
        </w:rPr>
        <w:t xml:space="preserve"> </w:t>
      </w:r>
      <w:r w:rsidR="005C6B87">
        <w:rPr>
          <w:color w:val="000000" w:themeColor="text1"/>
        </w:rPr>
        <w:t xml:space="preserve">постепенный рост показателя на протяжении всего горизонта исследования. </w:t>
      </w:r>
    </w:p>
    <w:p w14:paraId="4ABD9B1A" w14:textId="4326C5F2" w:rsidR="00CF1D24" w:rsidRDefault="005C6B87" w:rsidP="00D3116D">
      <w:pPr>
        <w:pStyle w:val="aff"/>
      </w:pPr>
      <w:r>
        <w:drawing>
          <wp:inline distT="0" distB="0" distL="0" distR="0" wp14:anchorId="4184A4B7" wp14:editId="6FB91D3E">
            <wp:extent cx="4320000" cy="2160000"/>
            <wp:effectExtent l="0" t="0" r="4445" b="12065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14BB7EB9-DB91-81F7-99F4-0A6EFE574E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7AB145" w14:textId="45EF010C" w:rsidR="00D43E43" w:rsidRPr="00D53E6A" w:rsidRDefault="00AF0C3F" w:rsidP="00D53E6A">
      <w:pPr>
        <w:pStyle w:val="a1"/>
      </w:pPr>
      <w:bookmarkStart w:id="101" w:name="_Ref131620238"/>
      <w:r w:rsidRPr="00D53E6A">
        <w:t xml:space="preserve">Изменение доли «занятых» </w:t>
      </w:r>
      <w:r w:rsidR="00D43E43" w:rsidRPr="00D53E6A">
        <w:t>директоров, 20</w:t>
      </w:r>
      <w:r w:rsidR="00335F23" w:rsidRPr="00D53E6A">
        <w:t>14</w:t>
      </w:r>
      <w:r w:rsidR="00D43E43" w:rsidRPr="00D53E6A">
        <w:t>–2021 гг.</w:t>
      </w:r>
      <w:bookmarkEnd w:id="101"/>
    </w:p>
    <w:p w14:paraId="2E6B1082" w14:textId="73D42EA6" w:rsidR="00374556" w:rsidRPr="007322AF" w:rsidRDefault="00374556" w:rsidP="0062070C">
      <w:pPr>
        <w:pStyle w:val="aff0"/>
      </w:pPr>
      <w:r>
        <w:t xml:space="preserve">Доля директоров, вовлеченных в деятельность экологических и социальных некоммерческих организаций, в среднем составляла </w:t>
      </w:r>
      <w:r w:rsidR="005C6B87">
        <w:t>6,8</w:t>
      </w:r>
      <w:r w:rsidR="00677A18">
        <w:t xml:space="preserve">%, что следует из </w:t>
      </w:r>
      <w:r w:rsidR="00D43E43">
        <w:fldChar w:fldCharType="begin"/>
      </w:r>
      <w:r w:rsidR="00D43E43">
        <w:instrText xml:space="preserve"> REF _Ref131618421 \r \h </w:instrText>
      </w:r>
      <w:r w:rsidR="0062070C">
        <w:instrText xml:space="preserve"> \* MERGEFORMAT </w:instrText>
      </w:r>
      <w:r w:rsidR="00D43E43">
        <w:fldChar w:fldCharType="separate"/>
      </w:r>
      <w:r w:rsidR="00D43E43">
        <w:t>Таблицы 2</w:t>
      </w:r>
      <w:r w:rsidR="00D43E43">
        <w:fldChar w:fldCharType="end"/>
      </w:r>
      <w:r w:rsidR="00677A18">
        <w:t xml:space="preserve">. </w:t>
      </w:r>
      <w:r w:rsidR="00B463AD">
        <w:t xml:space="preserve">Максимальная доля таких директоров была выявлена </w:t>
      </w:r>
      <w:r w:rsidR="00083A5F">
        <w:t>у</w:t>
      </w:r>
      <w:r w:rsidR="00B463AD">
        <w:t xml:space="preserve"> ПАО «НК «Роснефть» и ПАО «Интер РАО» на уровне 36%. Высокая доля также наблюдалась в ПАО «</w:t>
      </w:r>
      <w:r w:rsidR="005C6B87">
        <w:t>Россети</w:t>
      </w:r>
      <w:r w:rsidR="00B463AD">
        <w:t xml:space="preserve">» и ПАО </w:t>
      </w:r>
      <w:r w:rsidR="00B463AD">
        <w:lastRenderedPageBreak/>
        <w:t xml:space="preserve">«Татнефть» - 33%. У половины компаний не было выявлено наличие директоров, участвующих в </w:t>
      </w:r>
      <w:r w:rsidR="00083A5F">
        <w:t xml:space="preserve">экологических и социальных </w:t>
      </w:r>
      <w:r w:rsidR="00B463AD">
        <w:t xml:space="preserve">некоммерческих организациях. На </w:t>
      </w:r>
      <w:r w:rsidR="00A027BA">
        <w:fldChar w:fldCharType="begin"/>
      </w:r>
      <w:r w:rsidR="00A027BA">
        <w:instrText xml:space="preserve"> REF _Ref131620607 \r \h </w:instrText>
      </w:r>
      <w:r w:rsidR="0062070C">
        <w:instrText xml:space="preserve"> \* MERGEFORMAT </w:instrText>
      </w:r>
      <w:r w:rsidR="00A027BA">
        <w:fldChar w:fldCharType="separate"/>
      </w:r>
      <w:r w:rsidR="00A027BA">
        <w:t>Рис. 10</w:t>
      </w:r>
      <w:r w:rsidR="00A027BA">
        <w:fldChar w:fldCharType="end"/>
      </w:r>
      <w:r w:rsidR="00A027BA">
        <w:t xml:space="preserve"> </w:t>
      </w:r>
      <w:r w:rsidR="00B463AD">
        <w:t xml:space="preserve">отражена динамика изменения доли таких директоров. Можно сделать вывод, что до 2020 года доля директоров, вовлеченных </w:t>
      </w:r>
      <w:r w:rsidR="00D43E43">
        <w:t>в экологическую и социальную деятельность,</w:t>
      </w:r>
      <w:r w:rsidR="00B463AD">
        <w:t xml:space="preserve"> росла. Тем не менее, в 2021 году эта доля упала до значений 2018 года. </w:t>
      </w:r>
    </w:p>
    <w:p w14:paraId="106B2D43" w14:textId="728B796D" w:rsidR="00B463AD" w:rsidRDefault="005C6B87" w:rsidP="00D3116D">
      <w:pPr>
        <w:pStyle w:val="aff"/>
      </w:pPr>
      <w:r>
        <w:drawing>
          <wp:inline distT="0" distB="0" distL="0" distR="0" wp14:anchorId="6BBE34C5" wp14:editId="0F0E0745">
            <wp:extent cx="4320000" cy="2160000"/>
            <wp:effectExtent l="0" t="0" r="4445" b="12065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628AC786-FF02-4B75-AA6C-018471E3B3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C299679" w14:textId="3D10E23F" w:rsidR="00571ECA" w:rsidRPr="00D53E6A" w:rsidRDefault="00D43E43" w:rsidP="00D53E6A">
      <w:pPr>
        <w:pStyle w:val="a1"/>
      </w:pPr>
      <w:bookmarkStart w:id="102" w:name="_Ref131620607"/>
      <w:r w:rsidRPr="00D53E6A">
        <w:t>Изменение доли директоров, вовлеченных в экологическую и социальную деятельность, 201</w:t>
      </w:r>
      <w:r w:rsidR="005C6B87" w:rsidRPr="00D53E6A">
        <w:t>4</w:t>
      </w:r>
      <w:r w:rsidRPr="00D53E6A">
        <w:t>–2021 гг.</w:t>
      </w:r>
      <w:bookmarkEnd w:id="102"/>
    </w:p>
    <w:p w14:paraId="135662E4" w14:textId="2F7454EF" w:rsidR="00610AAE" w:rsidRDefault="00610AAE" w:rsidP="0079779D">
      <w:pPr>
        <w:pStyle w:val="2"/>
      </w:pPr>
      <w:bookmarkStart w:id="103" w:name="_Toc136001551"/>
      <w:r>
        <w:t>3.3 Результаты регрессионного анализа</w:t>
      </w:r>
      <w:bookmarkEnd w:id="103"/>
    </w:p>
    <w:p w14:paraId="5C0A71F7" w14:textId="13BBD7AC" w:rsidR="00F87696" w:rsidRPr="00DB628A" w:rsidRDefault="00E77AB5" w:rsidP="0062070C">
      <w:pPr>
        <w:pStyle w:val="aff0"/>
        <w:rPr>
          <w:color w:val="FF0000"/>
        </w:rPr>
      </w:pPr>
      <w:r>
        <w:t xml:space="preserve">В </w:t>
      </w:r>
      <w:r w:rsidR="00D43E43">
        <w:fldChar w:fldCharType="begin"/>
      </w:r>
      <w:r w:rsidR="00D43E43">
        <w:instrText xml:space="preserve"> REF _Ref131620690 \r \h </w:instrText>
      </w:r>
      <w:r w:rsidR="0062070C">
        <w:instrText xml:space="preserve"> \* MERGEFORMAT </w:instrText>
      </w:r>
      <w:r w:rsidR="00D43E43">
        <w:fldChar w:fldCharType="separate"/>
      </w:r>
      <w:r w:rsidR="00D43E43">
        <w:t>Таблице 3</w:t>
      </w:r>
      <w:r w:rsidR="00D43E43">
        <w:fldChar w:fldCharType="end"/>
      </w:r>
      <w:r w:rsidR="00D018D3">
        <w:t xml:space="preserve"> </w:t>
      </w:r>
      <w:r>
        <w:t xml:space="preserve">представлены результаты регрессионного анализа </w:t>
      </w:r>
      <w:r w:rsidR="005C6B87">
        <w:t>пяти</w:t>
      </w:r>
      <w:r w:rsidR="00A969E7">
        <w:t xml:space="preserve"> </w:t>
      </w:r>
      <w:r>
        <w:t xml:space="preserve">моделей, в которых в качестве зависимых переменных были использованы бухгалтерские </w:t>
      </w:r>
      <w:r w:rsidR="005C6B87">
        <w:t xml:space="preserve">и рыночные </w:t>
      </w:r>
      <w:r>
        <w:t>показатели</w:t>
      </w:r>
      <w:r w:rsidR="00D43E43">
        <w:t xml:space="preserve"> финансовой результативности</w:t>
      </w:r>
      <w:r>
        <w:t xml:space="preserve"> (</w:t>
      </w:r>
      <w:r>
        <w:rPr>
          <w:lang w:val="en-US"/>
        </w:rPr>
        <w:t>ROA</w:t>
      </w:r>
      <w:r w:rsidRPr="00E77AB5">
        <w:t xml:space="preserve">, </w:t>
      </w:r>
      <w:r>
        <w:rPr>
          <w:lang w:val="en-US"/>
        </w:rPr>
        <w:t>ROE</w:t>
      </w:r>
      <w:r w:rsidRPr="00E77AB5">
        <w:t xml:space="preserve">, </w:t>
      </w:r>
      <w:r>
        <w:rPr>
          <w:lang w:val="en-US"/>
        </w:rPr>
        <w:t>ROIC</w:t>
      </w:r>
      <w:r w:rsidR="005C6B87">
        <w:t xml:space="preserve">, </w:t>
      </w:r>
      <w:r w:rsidR="005C6B87">
        <w:rPr>
          <w:lang w:val="en-US"/>
        </w:rPr>
        <w:t>Tobin</w:t>
      </w:r>
      <w:r w:rsidR="005C6B87" w:rsidRPr="005C6B87">
        <w:t>’</w:t>
      </w:r>
      <w:r w:rsidR="005C6B87">
        <w:rPr>
          <w:lang w:val="en-US"/>
        </w:rPr>
        <w:t>s</w:t>
      </w:r>
      <w:r w:rsidR="005C6B87" w:rsidRPr="005C6B87">
        <w:t xml:space="preserve"> </w:t>
      </w:r>
      <w:r w:rsidR="005C6B87">
        <w:rPr>
          <w:lang w:val="en-US"/>
        </w:rPr>
        <w:t>Q</w:t>
      </w:r>
      <w:r w:rsidR="00622063">
        <w:t xml:space="preserve"> и</w:t>
      </w:r>
      <w:r w:rsidR="005C6B87" w:rsidRPr="005C6B87">
        <w:t xml:space="preserve"> </w:t>
      </w:r>
      <w:r w:rsidR="005C6B87">
        <w:rPr>
          <w:lang w:val="en-US"/>
        </w:rPr>
        <w:t>M</w:t>
      </w:r>
      <w:r w:rsidR="005C6B87" w:rsidRPr="005C6B87">
        <w:t>/</w:t>
      </w:r>
      <w:r w:rsidR="005C6B87">
        <w:rPr>
          <w:lang w:val="en-US"/>
        </w:rPr>
        <w:t>B</w:t>
      </w:r>
      <w:r w:rsidR="005C6B87" w:rsidRPr="005C6B87">
        <w:t xml:space="preserve"> </w:t>
      </w:r>
      <w:r w:rsidR="005C6B87">
        <w:rPr>
          <w:lang w:val="en-US"/>
        </w:rPr>
        <w:t>ratio</w:t>
      </w:r>
      <w:r>
        <w:t>). При анализе панельных данных необходимо определить</w:t>
      </w:r>
      <w:r w:rsidR="00B03AC9">
        <w:t>,</w:t>
      </w:r>
      <w:r>
        <w:t xml:space="preserve"> модель с фиксированными, со случайными или со сквозными эффектами наиболее адекватно опишет рассматриваемые данные. </w:t>
      </w:r>
      <w:r w:rsidR="002C451B">
        <w:t xml:space="preserve">Тест </w:t>
      </w:r>
      <w:proofErr w:type="spellStart"/>
      <w:r w:rsidR="002C451B">
        <w:t>Хаусмана</w:t>
      </w:r>
      <w:proofErr w:type="spellEnd"/>
      <w:r w:rsidR="002C451B">
        <w:t xml:space="preserve"> показал, что модель с фиксированными эффектами лучше подойдет для </w:t>
      </w:r>
      <w:r w:rsidR="002C4240">
        <w:t xml:space="preserve">описания </w:t>
      </w:r>
      <w:r w:rsidR="002C451B">
        <w:t>моделей</w:t>
      </w:r>
      <w:r w:rsidR="002C4240">
        <w:t xml:space="preserve">. </w:t>
      </w:r>
      <w:r w:rsidR="002C451B">
        <w:t xml:space="preserve">Тест </w:t>
      </w:r>
      <w:proofErr w:type="spellStart"/>
      <w:r w:rsidR="002C451B">
        <w:t>Бро</w:t>
      </w:r>
      <w:r w:rsidR="00D43E43">
        <w:t>й</w:t>
      </w:r>
      <w:r w:rsidR="002C451B">
        <w:t>ша-Пагана</w:t>
      </w:r>
      <w:proofErr w:type="spellEnd"/>
      <w:r w:rsidR="002C451B">
        <w:t xml:space="preserve"> показал наличие </w:t>
      </w:r>
      <w:proofErr w:type="spellStart"/>
      <w:r w:rsidR="00D43E43">
        <w:t>г</w:t>
      </w:r>
      <w:r w:rsidR="00D43E43" w:rsidRPr="00D43E43">
        <w:t>етероскедастичност</w:t>
      </w:r>
      <w:r w:rsidR="00D43E43">
        <w:t>и</w:t>
      </w:r>
      <w:proofErr w:type="spellEnd"/>
      <w:r w:rsidR="002C451B">
        <w:t xml:space="preserve"> во всех моделях</w:t>
      </w:r>
      <w:r w:rsidR="00F87696">
        <w:t xml:space="preserve"> (</w:t>
      </w:r>
      <w:r w:rsidR="00F87696">
        <w:rPr>
          <w:lang w:val="en-US"/>
        </w:rPr>
        <w:t>p</w:t>
      </w:r>
      <w:r w:rsidR="00F87696" w:rsidRPr="00F87696">
        <w:t>-</w:t>
      </w:r>
      <w:r w:rsidR="00F87696">
        <w:rPr>
          <w:lang w:val="en-US"/>
        </w:rPr>
        <w:t>value</w:t>
      </w:r>
      <w:r w:rsidR="00F87696" w:rsidRPr="00F87696">
        <w:t xml:space="preserve"> </w:t>
      </w:r>
      <w:r w:rsidR="00D03B41" w:rsidRPr="00F87696">
        <w:t>&lt;0</w:t>
      </w:r>
      <w:r w:rsidR="00F87696" w:rsidRPr="00F87696">
        <w:t>,05</w:t>
      </w:r>
      <w:r w:rsidR="00F87696">
        <w:t>)</w:t>
      </w:r>
      <w:r w:rsidR="002C451B">
        <w:t>, поэтому для более надежных выводов были использованы робастные стандартные ошибки</w:t>
      </w:r>
      <w:r w:rsidR="002C451B" w:rsidRPr="002C451B">
        <w:rPr>
          <w:i/>
          <w:iCs/>
        </w:rPr>
        <w:t xml:space="preserve">. </w:t>
      </w:r>
      <w:r w:rsidR="006957CD" w:rsidRPr="00D03B41">
        <w:rPr>
          <w:color w:val="000000" w:themeColor="text1"/>
        </w:rPr>
        <w:t>В моделях отсутствует мультиколл</w:t>
      </w:r>
      <w:r w:rsidR="00F87696" w:rsidRPr="00D03B41">
        <w:rPr>
          <w:color w:val="000000" w:themeColor="text1"/>
        </w:rPr>
        <w:t>и</w:t>
      </w:r>
      <w:r w:rsidR="006957CD" w:rsidRPr="00D03B41">
        <w:rPr>
          <w:color w:val="000000" w:themeColor="text1"/>
        </w:rPr>
        <w:t>н</w:t>
      </w:r>
      <w:r w:rsidR="00F87696" w:rsidRPr="00D03B41">
        <w:rPr>
          <w:color w:val="000000" w:themeColor="text1"/>
        </w:rPr>
        <w:t>е</w:t>
      </w:r>
      <w:r w:rsidR="006957CD" w:rsidRPr="00D03B41">
        <w:rPr>
          <w:color w:val="000000" w:themeColor="text1"/>
        </w:rPr>
        <w:t xml:space="preserve">арность, так как в </w:t>
      </w:r>
      <w:r w:rsidR="006957CD" w:rsidRPr="003B5693">
        <w:rPr>
          <w:color w:val="000000" w:themeColor="text1"/>
        </w:rPr>
        <w:t>корреляционной матрице</w:t>
      </w:r>
      <w:r w:rsidR="006957CD" w:rsidRPr="00D03B41">
        <w:rPr>
          <w:color w:val="000000" w:themeColor="text1"/>
        </w:rPr>
        <w:t xml:space="preserve"> (</w:t>
      </w:r>
      <w:r w:rsidR="00D03B41">
        <w:rPr>
          <w:color w:val="000000" w:themeColor="text1"/>
        </w:rPr>
        <w:fldChar w:fldCharType="begin"/>
      </w:r>
      <w:r w:rsidR="00D03B41">
        <w:rPr>
          <w:color w:val="000000" w:themeColor="text1"/>
        </w:rPr>
        <w:instrText xml:space="preserve"> REF _Ref131877064 \r \h </w:instrText>
      </w:r>
      <w:r w:rsidR="0062070C">
        <w:rPr>
          <w:color w:val="000000" w:themeColor="text1"/>
        </w:rPr>
        <w:instrText xml:space="preserve"> \* MERGEFORMAT </w:instrText>
      </w:r>
      <w:r w:rsidR="00D03B41">
        <w:rPr>
          <w:color w:val="000000" w:themeColor="text1"/>
        </w:rPr>
      </w:r>
      <w:r w:rsidR="00D03B41">
        <w:rPr>
          <w:color w:val="000000" w:themeColor="text1"/>
        </w:rPr>
        <w:fldChar w:fldCharType="separate"/>
      </w:r>
      <w:r w:rsidR="00D03B41">
        <w:rPr>
          <w:color w:val="000000" w:themeColor="text1"/>
        </w:rPr>
        <w:t>Приложение 1</w:t>
      </w:r>
      <w:r w:rsidR="00D03B41">
        <w:rPr>
          <w:color w:val="000000" w:themeColor="text1"/>
        </w:rPr>
        <w:fldChar w:fldCharType="end"/>
      </w:r>
      <w:r w:rsidR="006957CD" w:rsidRPr="00D03B41">
        <w:rPr>
          <w:color w:val="000000" w:themeColor="text1"/>
        </w:rPr>
        <w:t xml:space="preserve">), отсутствуют высокие значимые коэффициенты корреляции между </w:t>
      </w:r>
      <w:r w:rsidR="003B5693">
        <w:rPr>
          <w:color w:val="000000" w:themeColor="text1"/>
        </w:rPr>
        <w:t xml:space="preserve">объясняющими </w:t>
      </w:r>
      <w:r w:rsidR="006957CD" w:rsidRPr="00D03B41">
        <w:rPr>
          <w:color w:val="000000" w:themeColor="text1"/>
        </w:rPr>
        <w:t xml:space="preserve">переменными. </w:t>
      </w:r>
      <w:r w:rsidR="00D03B41" w:rsidRPr="00D018D3">
        <w:t>Стоит отметить, что</w:t>
      </w:r>
      <w:r w:rsidR="00D03B41">
        <w:rPr>
          <w:i/>
          <w:iCs/>
        </w:rPr>
        <w:t xml:space="preserve"> </w:t>
      </w:r>
      <w:r w:rsidR="00D03B41">
        <w:t>оценки коэффициентов при регрессорах, не изменяющихся во времени (принадлежность к определенной отрасли), по методу фиксированных эффектов получить невозможно</w:t>
      </w:r>
      <w:r w:rsidR="00D03B41" w:rsidRPr="00D03B41">
        <w:rPr>
          <w:color w:val="000000" w:themeColor="text1"/>
        </w:rPr>
        <w:t>.</w:t>
      </w:r>
      <w:r w:rsidR="0060716A">
        <w:rPr>
          <w:color w:val="000000" w:themeColor="text1"/>
        </w:rPr>
        <w:t xml:space="preserve"> </w:t>
      </w:r>
      <w:r w:rsidR="0060716A" w:rsidRPr="00DB628A">
        <w:rPr>
          <w:color w:val="000000" w:themeColor="text1"/>
        </w:rPr>
        <w:t xml:space="preserve">Более того, </w:t>
      </w:r>
      <w:r w:rsidR="00DB628A" w:rsidRPr="00DB628A">
        <w:rPr>
          <w:color w:val="000000" w:themeColor="text1"/>
        </w:rPr>
        <w:t>с помощью графического способа и тестов Колмогорова-Смирнова и Шапиро-</w:t>
      </w:r>
      <w:proofErr w:type="spellStart"/>
      <w:r w:rsidR="00DB628A" w:rsidRPr="00DB628A">
        <w:rPr>
          <w:color w:val="000000" w:themeColor="text1"/>
        </w:rPr>
        <w:t>Уилка</w:t>
      </w:r>
      <w:proofErr w:type="spellEnd"/>
      <w:r w:rsidR="00DB628A" w:rsidRPr="00DB628A">
        <w:rPr>
          <w:color w:val="000000" w:themeColor="text1"/>
        </w:rPr>
        <w:t xml:space="preserve"> было </w:t>
      </w:r>
      <w:r w:rsidR="003B5693" w:rsidRPr="00DB628A">
        <w:rPr>
          <w:color w:val="000000" w:themeColor="text1"/>
        </w:rPr>
        <w:t xml:space="preserve">выявлено, что распределение рыночных </w:t>
      </w:r>
      <w:r w:rsidR="0060716A" w:rsidRPr="00DB628A">
        <w:rPr>
          <w:color w:val="000000" w:themeColor="text1"/>
        </w:rPr>
        <w:t>показател</w:t>
      </w:r>
      <w:r w:rsidR="003B5693" w:rsidRPr="00DB628A">
        <w:rPr>
          <w:color w:val="000000" w:themeColor="text1"/>
        </w:rPr>
        <w:t>ей</w:t>
      </w:r>
      <w:r w:rsidR="0060716A" w:rsidRPr="00DB628A">
        <w:rPr>
          <w:color w:val="000000" w:themeColor="text1"/>
        </w:rPr>
        <w:t xml:space="preserve"> </w:t>
      </w:r>
      <w:r w:rsidR="0060716A" w:rsidRPr="00DB628A">
        <w:rPr>
          <w:color w:val="000000" w:themeColor="text1"/>
          <w:lang w:val="en-US"/>
        </w:rPr>
        <w:t>Tobin</w:t>
      </w:r>
      <w:r w:rsidR="0060716A" w:rsidRPr="00DB628A">
        <w:rPr>
          <w:color w:val="000000" w:themeColor="text1"/>
        </w:rPr>
        <w:t>’</w:t>
      </w:r>
      <w:r w:rsidR="0060716A" w:rsidRPr="00DB628A">
        <w:rPr>
          <w:color w:val="000000" w:themeColor="text1"/>
          <w:lang w:val="en-US"/>
        </w:rPr>
        <w:t>s</w:t>
      </w:r>
      <w:r w:rsidR="0060716A" w:rsidRPr="00DB628A">
        <w:rPr>
          <w:color w:val="000000" w:themeColor="text1"/>
        </w:rPr>
        <w:t xml:space="preserve"> </w:t>
      </w:r>
      <w:r w:rsidR="0060716A" w:rsidRPr="00DB628A">
        <w:rPr>
          <w:color w:val="000000" w:themeColor="text1"/>
          <w:lang w:val="en-US"/>
        </w:rPr>
        <w:t>Q</w:t>
      </w:r>
      <w:r w:rsidR="0060716A" w:rsidRPr="00DB628A">
        <w:rPr>
          <w:color w:val="000000" w:themeColor="text1"/>
        </w:rPr>
        <w:t xml:space="preserve"> и </w:t>
      </w:r>
      <w:r w:rsidR="0060716A" w:rsidRPr="00DB628A">
        <w:rPr>
          <w:color w:val="000000" w:themeColor="text1"/>
          <w:lang w:val="en-US"/>
        </w:rPr>
        <w:t>M</w:t>
      </w:r>
      <w:r w:rsidR="0060716A" w:rsidRPr="00DB628A">
        <w:rPr>
          <w:color w:val="000000" w:themeColor="text1"/>
        </w:rPr>
        <w:t>/</w:t>
      </w:r>
      <w:r w:rsidR="0060716A" w:rsidRPr="00DB628A">
        <w:rPr>
          <w:color w:val="000000" w:themeColor="text1"/>
          <w:lang w:val="en-US"/>
        </w:rPr>
        <w:t>B</w:t>
      </w:r>
      <w:r w:rsidR="0060716A" w:rsidRPr="00DB628A">
        <w:rPr>
          <w:color w:val="000000" w:themeColor="text1"/>
        </w:rPr>
        <w:t xml:space="preserve"> </w:t>
      </w:r>
      <w:r w:rsidR="0060716A" w:rsidRPr="00DB628A">
        <w:rPr>
          <w:color w:val="000000" w:themeColor="text1"/>
          <w:lang w:val="en-US"/>
        </w:rPr>
        <w:t>ratio</w:t>
      </w:r>
      <w:r w:rsidR="0060716A" w:rsidRPr="00DB628A">
        <w:rPr>
          <w:color w:val="000000" w:themeColor="text1"/>
        </w:rPr>
        <w:t xml:space="preserve"> </w:t>
      </w:r>
      <w:r w:rsidR="003B5693" w:rsidRPr="00DB628A">
        <w:rPr>
          <w:color w:val="000000" w:themeColor="text1"/>
        </w:rPr>
        <w:t>не является нормальным</w:t>
      </w:r>
      <w:r w:rsidR="00DB628A" w:rsidRPr="00DB628A">
        <w:rPr>
          <w:color w:val="000000" w:themeColor="text1"/>
        </w:rPr>
        <w:t>. Было принято решение логарифмировать эти переменные для получения более надежных выводов.</w:t>
      </w:r>
      <w:r w:rsidR="00DB628A">
        <w:rPr>
          <w:color w:val="000000" w:themeColor="text1"/>
        </w:rPr>
        <w:t xml:space="preserve"> </w:t>
      </w:r>
      <w:r w:rsidR="003B5693">
        <w:rPr>
          <w:color w:val="000000" w:themeColor="text1"/>
        </w:rPr>
        <w:t xml:space="preserve"> </w:t>
      </w:r>
    </w:p>
    <w:p w14:paraId="0CC8B62B" w14:textId="432922E6" w:rsidR="002C2C7E" w:rsidRDefault="00BF290D" w:rsidP="0062070C">
      <w:pPr>
        <w:pStyle w:val="aff0"/>
      </w:pPr>
      <w:r>
        <w:lastRenderedPageBreak/>
        <w:t xml:space="preserve">В качестве </w:t>
      </w:r>
      <w:r w:rsidR="00416A4F">
        <w:t xml:space="preserve">показателей финансово-экономической деятельности </w:t>
      </w:r>
      <w:r>
        <w:t>были использованы</w:t>
      </w:r>
      <w:r w:rsidR="00416A4F">
        <w:t xml:space="preserve"> переменные</w:t>
      </w:r>
      <w:r>
        <w:t xml:space="preserve">, характеризующие возраст </w:t>
      </w:r>
      <w:r w:rsidR="000C6CB7">
        <w:t xml:space="preserve">и размер </w:t>
      </w:r>
      <w:r>
        <w:t>компании,</w:t>
      </w:r>
      <w:r w:rsidR="000C6CB7">
        <w:t xml:space="preserve"> как показатели отражающие масштабы деятельности;</w:t>
      </w:r>
      <w:r>
        <w:t xml:space="preserve"> </w:t>
      </w:r>
      <w:r w:rsidR="00416A4F">
        <w:t>структуру капитала</w:t>
      </w:r>
      <w:r>
        <w:t xml:space="preserve">, </w:t>
      </w:r>
      <w:r w:rsidR="00527B49">
        <w:t xml:space="preserve">отражающую </w:t>
      </w:r>
      <w:r w:rsidR="00DA787D">
        <w:t xml:space="preserve">финансовую устойчивость, политику в области финансирования развития и рискованность инвестиций в активы; </w:t>
      </w:r>
      <w:r>
        <w:t>эффективную долю государства в капитале,</w:t>
      </w:r>
      <w:r w:rsidR="00DA787D">
        <w:t xml:space="preserve"> как показатель структуры собственности;</w:t>
      </w:r>
      <w:r>
        <w:t xml:space="preserve"> и влияние кризиса. </w:t>
      </w:r>
      <w:r w:rsidR="000C6CB7">
        <w:t xml:space="preserve">Выбранные контрольные переменные отражают структурные характеристики компании, которые необходимо учитывать при анализе эффективности ее деятельности [Ивашковская, Степанова, 2009]. </w:t>
      </w:r>
    </w:p>
    <w:p w14:paraId="49E27D4B" w14:textId="327E4F9D" w:rsidR="0096090C" w:rsidRDefault="00DA787D" w:rsidP="0062070C">
      <w:pPr>
        <w:pStyle w:val="aff0"/>
      </w:pPr>
      <w:r>
        <w:t xml:space="preserve">В начале были построены базовые модели, в которых анализировалась взаимосвязь между показателями финансовой результативности и показателями финансово-экономической деятельности (контрольными переменными). </w:t>
      </w:r>
      <w:r w:rsidR="00A969E7">
        <w:t xml:space="preserve">Результаты базовых регрессионных моделей можно увидеть в </w:t>
      </w:r>
      <w:r w:rsidR="00D03B41">
        <w:fldChar w:fldCharType="begin"/>
      </w:r>
      <w:r w:rsidR="00D03B41">
        <w:instrText xml:space="preserve"> REF _Ref131877084 \r \h </w:instrText>
      </w:r>
      <w:r w:rsidR="0062070C">
        <w:instrText xml:space="preserve"> \* MERGEFORMAT </w:instrText>
      </w:r>
      <w:r w:rsidR="00D03B41">
        <w:fldChar w:fldCharType="separate"/>
      </w:r>
      <w:r w:rsidR="00D03B41">
        <w:t>Приложении 2</w:t>
      </w:r>
      <w:r w:rsidR="00D03B41">
        <w:fldChar w:fldCharType="end"/>
      </w:r>
      <w:r w:rsidR="00D03B41">
        <w:t xml:space="preserve"> - </w:t>
      </w:r>
      <w:r w:rsidR="00DB628A" w:rsidRPr="009435A7">
        <w:t>6</w:t>
      </w:r>
      <w:r w:rsidR="00BF290D">
        <w:t>.</w:t>
      </w:r>
      <w:r w:rsidR="00F87696" w:rsidRPr="00F87696">
        <w:t xml:space="preserve"> </w:t>
      </w:r>
      <w:r w:rsidR="00BF290D">
        <w:t xml:space="preserve">На втором этапе, к контрольным переменным были добавлены независимые, необходимые для проверки ранее выдвинутых гипотез. </w:t>
      </w:r>
      <w:r w:rsidR="0096090C">
        <w:t xml:space="preserve">Итоговые результаты регрессионного анализа представлены в </w:t>
      </w:r>
      <w:r w:rsidR="00416A4F">
        <w:fldChar w:fldCharType="begin"/>
      </w:r>
      <w:r w:rsidR="00416A4F">
        <w:instrText xml:space="preserve"> REF _Ref131620690 \r \h </w:instrText>
      </w:r>
      <w:r w:rsidR="0062070C">
        <w:instrText xml:space="preserve"> \* MERGEFORMAT </w:instrText>
      </w:r>
      <w:r w:rsidR="00416A4F">
        <w:fldChar w:fldCharType="separate"/>
      </w:r>
      <w:r w:rsidR="00416A4F">
        <w:t>Таблице 3</w:t>
      </w:r>
      <w:r w:rsidR="00416A4F">
        <w:fldChar w:fldCharType="end"/>
      </w:r>
      <w:r w:rsidR="0096090C">
        <w:t xml:space="preserve">. </w:t>
      </w:r>
    </w:p>
    <w:p w14:paraId="06925B03" w14:textId="302E44D4" w:rsidR="008A4EDB" w:rsidRPr="006372D2" w:rsidRDefault="006372D2" w:rsidP="00D43E43">
      <w:pPr>
        <w:pStyle w:val="a"/>
      </w:pPr>
      <w:bookmarkStart w:id="104" w:name="_Ref131620690"/>
      <w:r w:rsidRPr="006372D2">
        <w:t>Результаты регрессионного анализа</w:t>
      </w:r>
      <w:bookmarkEnd w:id="104"/>
      <w:r w:rsidRPr="006372D2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57"/>
        <w:gridCol w:w="1559"/>
        <w:gridCol w:w="1557"/>
        <w:gridCol w:w="1557"/>
        <w:gridCol w:w="1559"/>
      </w:tblGrid>
      <w:tr w:rsidR="00F65C9D" w:rsidRPr="00B6420C" w14:paraId="6CE9BED9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2177B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Переменная</w:t>
            </w:r>
            <w:proofErr w:type="spellEnd"/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BB19D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ROA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9850B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ROE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1A287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ROIC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51A56" w14:textId="43FF2B8A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LN</w:t>
            </w:r>
            <w:r w:rsidR="00B03AC9" w:rsidRPr="00B6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  <w:r w:rsidRPr="00B6420C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05AD8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LN_MB</w:t>
            </w:r>
          </w:p>
        </w:tc>
      </w:tr>
      <w:tr w:rsidR="001D658E" w:rsidRPr="00B6420C" w14:paraId="4837854D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B7561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2EF78" w14:textId="01EC6ED1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-0.0173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9148" w14:textId="73BE4539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-0.1369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743F5" w14:textId="7655F3A3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-0.0101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6EED0" w14:textId="30B7DF5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0.4763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46F1D" w14:textId="2B949C7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1.3500 **</w:t>
            </w:r>
          </w:p>
        </w:tc>
      </w:tr>
      <w:tr w:rsidR="001D658E" w:rsidRPr="00B6420C" w14:paraId="30E36190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1A5AE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BB5B" w14:textId="6DAED615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0.0013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98647" w14:textId="2EA7585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0.0086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0FAC7" w14:textId="1C40C7E1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0.0010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18BD8" w14:textId="5B97F6C3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-0.0192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EB85C" w14:textId="5CE7166F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-0.0598 *</w:t>
            </w:r>
          </w:p>
        </w:tc>
      </w:tr>
      <w:tr w:rsidR="001D658E" w:rsidRPr="00B6420C" w14:paraId="5A2251D1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2975F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Independent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5EAFC" w14:textId="6D0C2FEC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0.0929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4865C" w14:textId="52EF3152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0.2100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355D6" w14:textId="727BC1C5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0.1253 **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0A11F" w14:textId="0716A75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0.5789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20CD0" w14:textId="4198BEC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1.0137 *</w:t>
            </w:r>
          </w:p>
        </w:tc>
      </w:tr>
      <w:tr w:rsidR="001D658E" w:rsidRPr="00B6420C" w14:paraId="17354B39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98FD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Executive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F087D" w14:textId="4132513F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0.2201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57082" w14:textId="044D461C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0.2891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A27E9" w14:textId="1C5879AF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0.2659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9D2B7" w14:textId="19215EEA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0.1982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56B62" w14:textId="14918D0C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1.5403</w:t>
            </w:r>
          </w:p>
        </w:tc>
      </w:tr>
      <w:tr w:rsidR="001D658E" w:rsidRPr="00B6420C" w14:paraId="3ACC0509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37B28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Women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8A93D" w14:textId="1F2EEC31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0.0126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15ECD" w14:textId="216D8570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-0.0013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ECFEA" w14:textId="2D76125E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-0.0111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1DFF" w14:textId="3B4640AF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0.5706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9F3F" w14:textId="6B371A5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1.9222</w:t>
            </w:r>
          </w:p>
        </w:tc>
      </w:tr>
      <w:tr w:rsidR="001D658E" w:rsidRPr="00B6420C" w14:paraId="3715C27A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F93F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Gov_exp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BAA99" w14:textId="7B82A044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0.1071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78B6" w14:textId="2E34DCFA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0.2251 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FC2BF" w14:textId="6437683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0.1237 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EF120" w14:textId="43C75E9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-0.0723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54D5D" w14:textId="5C737135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-0.1857</w:t>
            </w:r>
          </w:p>
        </w:tc>
      </w:tr>
      <w:tr w:rsidR="001D658E" w:rsidRPr="00B6420C" w14:paraId="6FA92AAF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2860E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Multi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DA8B8" w14:textId="6757D8A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0.0114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E6852" w14:textId="3DA763FE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0.0358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E495" w14:textId="662BB78E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0.0343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21D51" w14:textId="148831B4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-0.2315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B898F" w14:textId="19404889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-0.0360</w:t>
            </w:r>
          </w:p>
        </w:tc>
      </w:tr>
      <w:tr w:rsidR="001D658E" w:rsidRPr="00B6420C" w14:paraId="329B16F1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75F74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ES_factor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5C3ED" w14:textId="71B9C1A8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-0.0453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A2C52" w14:textId="0FEF11DC" w:rsidR="001D658E" w:rsidRPr="00970971" w:rsidRDefault="001D658E" w:rsidP="00D53E6A">
            <w:pPr>
              <w:spacing w:after="0" w:line="240" w:lineRule="auto"/>
              <w:jc w:val="center"/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0.0317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31BBA" w14:textId="75227E08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-0.0068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BBBE3" w14:textId="7AC1461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0.2563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3BD1E" w14:textId="452F6E5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0.9045</w:t>
            </w:r>
          </w:p>
        </w:tc>
      </w:tr>
      <w:tr w:rsidR="001D658E" w:rsidRPr="00B6420C" w14:paraId="6888FC65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BFCBD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Age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B8253" w14:textId="3BBD74E2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-0.0081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395AD" w14:textId="207850ED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-0.0120 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F16D" w14:textId="251B46C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-0.0105 **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7CBCC" w14:textId="60D8E53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0.0447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22BD9" w14:textId="1715AF10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0.0866 ***</w:t>
            </w:r>
          </w:p>
        </w:tc>
      </w:tr>
      <w:tr w:rsidR="001D658E" w:rsidRPr="00B6420C" w14:paraId="196A94D3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7A35A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State_share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2ACC7" w14:textId="725C20BC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-14.2720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B3C83" w14:textId="423EEB82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-20.5885 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4ED9" w14:textId="0D6EAC11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-8.5536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6ABD5" w14:textId="4AA55EE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-34.6785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ACB6A" w14:textId="70487B91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7.4306</w:t>
            </w:r>
          </w:p>
        </w:tc>
      </w:tr>
      <w:tr w:rsidR="001D658E" w:rsidRPr="00B6420C" w14:paraId="6A142C4D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2B09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Leverage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BBD95" w14:textId="486A940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-0.0123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4B148" w14:textId="578A7965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-0.0327 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1DAD0" w14:textId="5C6B016D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-0.0101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45E97" w14:textId="1B80532F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0.1265 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D989B" w14:textId="25F6B0F1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0.1608 **</w:t>
            </w:r>
          </w:p>
        </w:tc>
      </w:tr>
      <w:tr w:rsidR="001D658E" w:rsidRPr="00B6420C" w14:paraId="5D141234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47671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Size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0992E" w14:textId="6E39DF9C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0.1376 **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422A" w14:textId="1377D846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0.1493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437E7" w14:textId="4FBCB8E9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0.1323 **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148F3" w14:textId="4870DFE9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-0.0766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85651" w14:textId="2883355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-0.7586</w:t>
            </w:r>
          </w:p>
        </w:tc>
      </w:tr>
      <w:tr w:rsidR="001D658E" w:rsidRPr="00B6420C" w14:paraId="019E25F7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B383E" w14:textId="56DC65ED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C</w:t>
            </w:r>
            <w:proofErr w:type="spellStart"/>
            <w:r w:rsidRPr="00B6420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risis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99D2E" w14:textId="3D4457E3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-0.0156 **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FD4CF" w14:textId="5C2B002B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-0.0200 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40700" w14:textId="6D58C4C4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-0.0213 ***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D8A4D" w14:textId="61969ED2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-0.0071</w:t>
            </w:r>
          </w:p>
        </w:tc>
        <w:tc>
          <w:tcPr>
            <w:tcW w:w="83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9D31" w14:textId="464D5870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-0.1070</w:t>
            </w:r>
          </w:p>
        </w:tc>
      </w:tr>
      <w:tr w:rsidR="001D658E" w:rsidRPr="00B6420C" w14:paraId="227DBF17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31AF2" w14:textId="77777777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R^2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D81D0" w14:textId="30D6FCB0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0.2734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A1457" w14:textId="5CBB975D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0.2083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B34EE" w14:textId="67B63A8D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0.2468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A7AE2" w14:textId="3ED9AD1F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0.1837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903A5" w14:textId="2B072230" w:rsidR="001D658E" w:rsidRPr="00B6420C" w:rsidRDefault="001D658E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0.4045</w:t>
            </w:r>
          </w:p>
        </w:tc>
      </w:tr>
      <w:tr w:rsidR="00D64B5D" w:rsidRPr="00B6420C" w14:paraId="578AF5F9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88948" w14:textId="77777777" w:rsidR="00D64B5D" w:rsidRPr="00B6420C" w:rsidRDefault="00D64B5D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Adj</w:t>
            </w:r>
            <w:proofErr w:type="spellEnd"/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 R^2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76446" w14:textId="3E8C85D6" w:rsidR="00D64B5D" w:rsidRPr="00B6420C" w:rsidRDefault="00D64B5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0.1149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EB875" w14:textId="3AF2F0C4" w:rsidR="00D64B5D" w:rsidRPr="00B6420C" w:rsidRDefault="00D64B5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0.0256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730FA" w14:textId="72875421" w:rsidR="00D64B5D" w:rsidRPr="00B6420C" w:rsidRDefault="00D64B5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0.0748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EC3CF" w14:textId="1B348E46" w:rsidR="00D64B5D" w:rsidRPr="00B6420C" w:rsidRDefault="00D64B5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0.1043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9FA3" w14:textId="032DF1E8" w:rsidR="00D64B5D" w:rsidRPr="00B6420C" w:rsidRDefault="00D64B5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0.2635</w:t>
            </w:r>
          </w:p>
        </w:tc>
      </w:tr>
      <w:tr w:rsidR="00F65C9D" w:rsidRPr="00B6420C" w14:paraId="21094B2A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B2F6C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p-value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6ED2C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6420C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0,0001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56789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0,0001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1AF3D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C810B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F3A38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0,0001</w:t>
            </w:r>
          </w:p>
        </w:tc>
      </w:tr>
      <w:tr w:rsidR="00F65C9D" w:rsidRPr="00B6420C" w14:paraId="7619AF26" w14:textId="77777777" w:rsidTr="00D53E6A">
        <w:trPr>
          <w:trHeight w:val="170"/>
        </w:trPr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55568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Num</w:t>
            </w:r>
            <w:proofErr w:type="spellEnd"/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obs</w:t>
            </w:r>
            <w:proofErr w:type="spellEnd"/>
            <w:r w:rsidRPr="00B6420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A7E1B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257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48715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257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F1017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257</w:t>
            </w:r>
          </w:p>
        </w:tc>
        <w:tc>
          <w:tcPr>
            <w:tcW w:w="83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90591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257</w:t>
            </w:r>
          </w:p>
        </w:tc>
        <w:tc>
          <w:tcPr>
            <w:tcW w:w="83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762E4" w14:textId="77777777" w:rsidR="00F65C9D" w:rsidRPr="00B6420C" w:rsidRDefault="00F65C9D" w:rsidP="00D53E6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B6420C">
              <w:rPr>
                <w:rFonts w:cs="Times New Roman"/>
                <w:color w:val="333333"/>
                <w:sz w:val="20"/>
                <w:szCs w:val="20"/>
              </w:rPr>
              <w:t>257</w:t>
            </w:r>
          </w:p>
        </w:tc>
      </w:tr>
    </w:tbl>
    <w:p w14:paraId="5A1D186A" w14:textId="6B75CFA3" w:rsidR="00D018D3" w:rsidRPr="00EC0571" w:rsidRDefault="006372D2" w:rsidP="00416A4F">
      <w:pPr>
        <w:spacing w:line="240" w:lineRule="auto"/>
        <w:rPr>
          <w:i/>
          <w:iCs/>
          <w:sz w:val="20"/>
          <w:szCs w:val="18"/>
        </w:rPr>
      </w:pPr>
      <w:r w:rsidRPr="00EC0571">
        <w:rPr>
          <w:i/>
          <w:iCs/>
          <w:sz w:val="20"/>
          <w:szCs w:val="18"/>
        </w:rPr>
        <w:t>Символы ***, ** и * обозначают значимость коэффициентов на 0,1%, 1% и 5% уровнях значимости соответственно</w:t>
      </w:r>
    </w:p>
    <w:p w14:paraId="2F8DB509" w14:textId="50513BA5" w:rsidR="00F954BF" w:rsidRDefault="005C28F8" w:rsidP="0062070C">
      <w:pPr>
        <w:pStyle w:val="aff0"/>
      </w:pPr>
      <w:r>
        <w:lastRenderedPageBreak/>
        <w:t>Все три модели, представленные в Таблице 3, являются статистически значимыми (</w:t>
      </w:r>
      <w:r>
        <w:rPr>
          <w:lang w:val="en-US"/>
        </w:rPr>
        <w:t>p</w:t>
      </w:r>
      <w:r w:rsidRPr="005C28F8">
        <w:t>-</w:t>
      </w:r>
      <w:r>
        <w:rPr>
          <w:lang w:val="en-US"/>
        </w:rPr>
        <w:t>value</w:t>
      </w:r>
      <w:r w:rsidRPr="005C28F8">
        <w:t xml:space="preserve"> </w:t>
      </w:r>
      <w:r w:rsidR="006833EB" w:rsidRPr="005C28F8">
        <w:t>&lt;0</w:t>
      </w:r>
      <w:r w:rsidRPr="005C28F8">
        <w:t>,05)</w:t>
      </w:r>
      <w:r>
        <w:t xml:space="preserve">. </w:t>
      </w:r>
      <w:r w:rsidR="00F954BF">
        <w:t>В регрессионных моделях оказал</w:t>
      </w:r>
      <w:r w:rsidR="00356879">
        <w:t>а</w:t>
      </w:r>
      <w:r w:rsidR="00F954BF">
        <w:t>сь значим</w:t>
      </w:r>
      <w:r w:rsidR="00356879">
        <w:t>а</w:t>
      </w:r>
      <w:r w:rsidR="00F954BF">
        <w:t xml:space="preserve"> переменн</w:t>
      </w:r>
      <w:r w:rsidR="00356879">
        <w:t>ая</w:t>
      </w:r>
      <w:r w:rsidR="00F954BF">
        <w:t>, характеризующ</w:t>
      </w:r>
      <w:r w:rsidR="00356879">
        <w:t>ая</w:t>
      </w:r>
      <w:r w:rsidR="00F954BF">
        <w:t xml:space="preserve"> размер совета директоров, </w:t>
      </w:r>
      <w:r w:rsidR="00356879">
        <w:t xml:space="preserve">и </w:t>
      </w:r>
      <w:r w:rsidR="00F954BF">
        <w:t>переменн</w:t>
      </w:r>
      <w:r w:rsidR="00356879">
        <w:t>ые</w:t>
      </w:r>
      <w:r w:rsidR="00F954BF">
        <w:t>, отражающ</w:t>
      </w:r>
      <w:r w:rsidR="00356879">
        <w:t>ие</w:t>
      </w:r>
      <w:r w:rsidR="00F954BF">
        <w:t xml:space="preserve"> долю независимых директоров и долю директоров с опытом работы в органах государственной</w:t>
      </w:r>
      <w:r w:rsidR="00686895">
        <w:t xml:space="preserve"> власти</w:t>
      </w:r>
      <w:r w:rsidR="001D658E" w:rsidRPr="001D658E">
        <w:t xml:space="preserve">. </w:t>
      </w:r>
      <w:r w:rsidR="00F954BF">
        <w:t xml:space="preserve">Результаты регрессионного анализа подтверждают предположение, выдвинутое в </w:t>
      </w:r>
      <w:r w:rsidR="00F954BF">
        <w:fldChar w:fldCharType="begin"/>
      </w:r>
      <w:r w:rsidR="00F954BF">
        <w:instrText xml:space="preserve"> REF _Ref131877953 \r \h </w:instrText>
      </w:r>
      <w:r w:rsidR="0062070C">
        <w:instrText xml:space="preserve"> \* MERGEFORMAT </w:instrText>
      </w:r>
      <w:r w:rsidR="00F954BF">
        <w:fldChar w:fldCharType="separate"/>
      </w:r>
      <w:r w:rsidR="00F954BF">
        <w:t>Гипотезе 1</w:t>
      </w:r>
      <w:r w:rsidR="00F954BF">
        <w:fldChar w:fldCharType="end"/>
      </w:r>
      <w:r w:rsidR="00F954BF">
        <w:t xml:space="preserve"> о наличии нелинейной зависимости между количеством членов в совете директоров и показателями финансовой результативности</w:t>
      </w:r>
      <w:r w:rsidR="001D658E">
        <w:t xml:space="preserve"> (</w:t>
      </w:r>
      <w:r w:rsidR="001D658E">
        <w:rPr>
          <w:lang w:val="en-US"/>
        </w:rPr>
        <w:t>Market</w:t>
      </w:r>
      <w:r w:rsidR="001D658E" w:rsidRPr="001D658E">
        <w:t>-</w:t>
      </w:r>
      <w:r w:rsidR="001D658E">
        <w:rPr>
          <w:lang w:val="en-US"/>
        </w:rPr>
        <w:t>To</w:t>
      </w:r>
      <w:r w:rsidR="001D658E" w:rsidRPr="001D658E">
        <w:t>-</w:t>
      </w:r>
      <w:r w:rsidR="001D658E">
        <w:rPr>
          <w:lang w:val="en-US"/>
        </w:rPr>
        <w:t>Book</w:t>
      </w:r>
      <w:r w:rsidR="001D658E" w:rsidRPr="001D658E">
        <w:t xml:space="preserve"> </w:t>
      </w:r>
      <w:r w:rsidR="001D658E">
        <w:rPr>
          <w:lang w:val="en-US"/>
        </w:rPr>
        <w:t>Ratio</w:t>
      </w:r>
      <w:r w:rsidR="001D658E" w:rsidRPr="001D658E">
        <w:t xml:space="preserve">). </w:t>
      </w:r>
      <w:r w:rsidR="006A5E41">
        <w:t>С</w:t>
      </w:r>
      <w:r w:rsidR="00F954BF">
        <w:t xml:space="preserve">огласно результатам регрессионного анализа, оценки параметров перед переменной </w:t>
      </w:r>
      <w:r w:rsidR="001D658E" w:rsidRPr="001D658E">
        <w:rPr>
          <w:i/>
          <w:iCs/>
          <w:lang w:val="en-US"/>
        </w:rPr>
        <w:t>Independent</w:t>
      </w:r>
      <w:r w:rsidR="001D658E" w:rsidRPr="001D658E">
        <w:rPr>
          <w:i/>
          <w:iCs/>
        </w:rPr>
        <w:t xml:space="preserve"> </w:t>
      </w:r>
      <w:r w:rsidR="001D658E" w:rsidRPr="001D658E">
        <w:t>являются положительными</w:t>
      </w:r>
      <w:r w:rsidR="001D658E">
        <w:rPr>
          <w:i/>
          <w:iCs/>
        </w:rPr>
        <w:t xml:space="preserve">, </w:t>
      </w:r>
      <w:r w:rsidR="001D658E">
        <w:t xml:space="preserve">что дает основания принять Гипотезу 2 о наличии прямой взаимосвязи между долей независимых директоров и финансовыми показателями. </w:t>
      </w:r>
      <w:r w:rsidR="006A5E41">
        <w:t xml:space="preserve">Кроме того, </w:t>
      </w:r>
      <w:r w:rsidR="00F954BF">
        <w:t>при увеличении доли директоров с опытом работы в органах государственной власти</w:t>
      </w:r>
      <w:r w:rsidR="006A5E41">
        <w:t xml:space="preserve"> (</w:t>
      </w:r>
      <w:r w:rsidR="006A5E41" w:rsidRPr="00686895">
        <w:rPr>
          <w:i/>
          <w:iCs/>
          <w:lang w:val="en-US"/>
        </w:rPr>
        <w:t>Gov</w:t>
      </w:r>
      <w:r w:rsidR="006A5E41" w:rsidRPr="00686895">
        <w:rPr>
          <w:i/>
          <w:iCs/>
        </w:rPr>
        <w:t>_</w:t>
      </w:r>
      <w:r w:rsidR="006A5E41" w:rsidRPr="00686895">
        <w:rPr>
          <w:i/>
          <w:iCs/>
          <w:lang w:val="en-US"/>
        </w:rPr>
        <w:t>exp</w:t>
      </w:r>
      <w:r w:rsidR="006A5E41" w:rsidRPr="006A5E41">
        <w:t>)</w:t>
      </w:r>
      <w:r w:rsidR="00F954BF">
        <w:t xml:space="preserve">, бухгалтерские показатели будут </w:t>
      </w:r>
      <w:r w:rsidR="006A5E41">
        <w:t>увеличиваться</w:t>
      </w:r>
      <w:r w:rsidR="00F954BF">
        <w:t xml:space="preserve">.  Таким образом, была принята </w:t>
      </w:r>
      <w:r w:rsidR="00F954BF">
        <w:fldChar w:fldCharType="begin"/>
      </w:r>
      <w:r w:rsidR="00F954BF">
        <w:instrText xml:space="preserve"> REF _Ref131877969 \r \h </w:instrText>
      </w:r>
      <w:r w:rsidR="0062070C">
        <w:instrText xml:space="preserve"> \* MERGEFORMAT </w:instrText>
      </w:r>
      <w:r w:rsidR="00F954BF">
        <w:fldChar w:fldCharType="separate"/>
      </w:r>
      <w:r w:rsidR="00F954BF">
        <w:t>Гипотеза 5</w:t>
      </w:r>
      <w:r w:rsidR="00F954BF">
        <w:fldChar w:fldCharType="end"/>
      </w:r>
      <w:r w:rsidR="00F954BF">
        <w:t xml:space="preserve"> о существовании </w:t>
      </w:r>
      <w:r w:rsidR="006A5E41">
        <w:t>прямой</w:t>
      </w:r>
      <w:r w:rsidR="00F954BF">
        <w:t xml:space="preserve"> взаимосвязи между долей таких директоров и показателями финансовой результативности компаний</w:t>
      </w:r>
      <w:r w:rsidR="006A5E41">
        <w:t xml:space="preserve">, выраженными показателями рентабельности. </w:t>
      </w:r>
    </w:p>
    <w:p w14:paraId="6A66F588" w14:textId="0255DAAF" w:rsidR="00F954BF" w:rsidRPr="005C28F8" w:rsidRDefault="00F954BF" w:rsidP="0062070C">
      <w:pPr>
        <w:pStyle w:val="aff0"/>
      </w:pPr>
      <w:r>
        <w:t>Однако, коэффициенты при независимых переменных</w:t>
      </w:r>
      <w:r w:rsidR="006A5E41">
        <w:t xml:space="preserve">, характеризующих долю исполнительных директоров, долю женщин-директоров, долю «занятых» директоров и долю директоров, вовлеченных в деятельность экологических и социальных некоммерческих организаций, </w:t>
      </w:r>
      <w:r>
        <w:t>оказались незначимы</w:t>
      </w:r>
      <w:r w:rsidR="006A5E41">
        <w:t xml:space="preserve"> на уровне 0,1%, 1% и 5%</w:t>
      </w:r>
      <w:r>
        <w:t>, что не дает оснований для принятия или отвержения гипотез.</w:t>
      </w:r>
    </w:p>
    <w:p w14:paraId="589B0A11" w14:textId="7F9F08B6" w:rsidR="00BF43E1" w:rsidRDefault="00D03B41" w:rsidP="0062070C">
      <w:pPr>
        <w:pStyle w:val="aff0"/>
      </w:pPr>
      <w:r>
        <w:t xml:space="preserve">Коэффициенты при некоторых контрольных переменных оказались статистически незначимы. </w:t>
      </w:r>
      <w:r w:rsidR="00611F98">
        <w:t>Однако, в</w:t>
      </w:r>
      <w:r w:rsidR="00DC1586">
        <w:t>озраст компании имеет обратную зависимость с бухгалтерским</w:t>
      </w:r>
      <w:r w:rsidR="00D64B5D">
        <w:t xml:space="preserve">и </w:t>
      </w:r>
      <w:r w:rsidR="00DC1586">
        <w:t>показател</w:t>
      </w:r>
      <w:r w:rsidR="00D64B5D">
        <w:t>ями</w:t>
      </w:r>
      <w:r w:rsidR="00DC1586">
        <w:t>.</w:t>
      </w:r>
      <w:r w:rsidR="00DC1586" w:rsidRPr="008D1FEF">
        <w:t xml:space="preserve"> </w:t>
      </w:r>
      <w:r w:rsidR="00DC1586">
        <w:t xml:space="preserve">То есть молодые компании демонстрируют лучшие бухгалтерские показатели в сравнении с более зрелыми. Это можно объяснить тем, что молодые компании стремительно развиваются в начале своего пути, именно поэтому в таких фирмах отдача на вложенные инвестиции может быть значительно выше, чем у более зрелых компаний. Однако, возраст компании имеет положительную взаимосвязь с рыночным показателем </w:t>
      </w:r>
      <w:r w:rsidR="00DC1586">
        <w:rPr>
          <w:lang w:val="en-US"/>
        </w:rPr>
        <w:t>Market</w:t>
      </w:r>
      <w:r w:rsidR="00DC1586" w:rsidRPr="001B4F1D">
        <w:t>-</w:t>
      </w:r>
      <w:r w:rsidR="00DC1586">
        <w:rPr>
          <w:lang w:val="en-US"/>
        </w:rPr>
        <w:t>to</w:t>
      </w:r>
      <w:r w:rsidR="00DC1586" w:rsidRPr="001B4F1D">
        <w:t>-</w:t>
      </w:r>
      <w:r w:rsidR="00DC1586">
        <w:rPr>
          <w:lang w:val="en-US"/>
        </w:rPr>
        <w:t>Book</w:t>
      </w:r>
      <w:r w:rsidR="00DC1586" w:rsidRPr="001B4F1D">
        <w:t xml:space="preserve"> </w:t>
      </w:r>
      <w:r w:rsidR="00DC1586">
        <w:rPr>
          <w:lang w:val="en-US"/>
        </w:rPr>
        <w:t>Ratio</w:t>
      </w:r>
      <w:r w:rsidR="00DC1586">
        <w:t xml:space="preserve">, что может быть связано с тем, что молодые компании имеют меньше опыта на рынке, занимают не такие устойчивые позиции </w:t>
      </w:r>
      <w:r w:rsidR="00D64B5D">
        <w:t xml:space="preserve">в отрасли </w:t>
      </w:r>
      <w:r w:rsidR="00DC1586">
        <w:t>и могут иметь сравнительно меньшие доходы [</w:t>
      </w:r>
      <w:proofErr w:type="spellStart"/>
      <w:r w:rsidR="00DC1586">
        <w:t>Lipczinsky</w:t>
      </w:r>
      <w:proofErr w:type="spellEnd"/>
      <w:r w:rsidR="00DC1586">
        <w:t xml:space="preserve">, </w:t>
      </w:r>
      <w:proofErr w:type="spellStart"/>
      <w:r w:rsidR="00DC1586">
        <w:t>Wilson</w:t>
      </w:r>
      <w:proofErr w:type="spellEnd"/>
      <w:r w:rsidR="00DC1586">
        <w:t>, 2001].</w:t>
      </w:r>
      <w:r w:rsidR="000F7B00">
        <w:t xml:space="preserve"> </w:t>
      </w:r>
      <w:r>
        <w:t xml:space="preserve">Эффективная доля государства в структуре собственности </w:t>
      </w:r>
      <w:r w:rsidR="00BF43E1">
        <w:t>имеет обратную</w:t>
      </w:r>
      <w:r>
        <w:t xml:space="preserve"> взаимосвяз</w:t>
      </w:r>
      <w:r w:rsidR="00BF43E1">
        <w:t>ь</w:t>
      </w:r>
      <w:r>
        <w:t xml:space="preserve"> с бухгалтерскими показателями</w:t>
      </w:r>
      <w:r w:rsidR="00BF43E1">
        <w:t>, то есть чем большая доля государства в структуре собственности, тем хуже будут у нее бухгалтерские показатели. Что можно объяснить тем, что компании, у которых контрольный пакет акций принадлежит государству,</w:t>
      </w:r>
      <w:r w:rsidR="00DC1586">
        <w:t xml:space="preserve"> могут преследовать иные цели, отличные от повышения ценности компании и достижения высоких финансовых показателей. </w:t>
      </w:r>
      <w:r w:rsidR="00D44E83">
        <w:t xml:space="preserve">Что касается переменной, характеризующей структуру капитала компании, то </w:t>
      </w:r>
      <w:r w:rsidR="00D44E83">
        <w:lastRenderedPageBreak/>
        <w:t>она имеет положительную взаимосвязь с рыночными показател</w:t>
      </w:r>
      <w:r w:rsidR="00686895">
        <w:t>ями</w:t>
      </w:r>
      <w:r w:rsidR="00D44E83">
        <w:t xml:space="preserve"> финансовой результативности, что может быть связано с тем, что </w:t>
      </w:r>
      <w:r w:rsidR="00836495">
        <w:t xml:space="preserve">увеличение заемных средств свидетельствует о потенциале развития компании и повышении результативности, достаточной для покрытия стоимости привлечения дополнительного капитала </w:t>
      </w:r>
      <w:r w:rsidR="00836495" w:rsidRPr="00836495">
        <w:t>[</w:t>
      </w:r>
      <w:r w:rsidR="00836495">
        <w:rPr>
          <w:lang w:val="en-US"/>
        </w:rPr>
        <w:t>Black</w:t>
      </w:r>
      <w:r w:rsidR="00836495" w:rsidRPr="00836495">
        <w:t xml:space="preserve">, </w:t>
      </w:r>
      <w:r w:rsidR="00836495">
        <w:rPr>
          <w:lang w:val="en-US"/>
        </w:rPr>
        <w:t>Love</w:t>
      </w:r>
      <w:r w:rsidR="00836495" w:rsidRPr="00836495">
        <w:t xml:space="preserve">, </w:t>
      </w:r>
      <w:proofErr w:type="spellStart"/>
      <w:r w:rsidR="00836495">
        <w:rPr>
          <w:lang w:val="en-US"/>
        </w:rPr>
        <w:t>Rachinsky</w:t>
      </w:r>
      <w:proofErr w:type="spellEnd"/>
      <w:r w:rsidR="00836495" w:rsidRPr="00836495">
        <w:t xml:space="preserve">, 2006]. </w:t>
      </w:r>
      <w:r w:rsidR="00836495">
        <w:t xml:space="preserve">К подобным результатам </w:t>
      </w:r>
      <w:r w:rsidR="00F82ACB">
        <w:t xml:space="preserve">приходят и другие авторы </w:t>
      </w:r>
      <w:r w:rsidR="00F82ACB" w:rsidRPr="00F82ACB">
        <w:t>[</w:t>
      </w:r>
      <w:r w:rsidR="00F82ACB">
        <w:t>Березинец, Ильина, Черкасская, 2013</w:t>
      </w:r>
      <w:r w:rsidR="00F82ACB" w:rsidRPr="00F82ACB">
        <w:t>]</w:t>
      </w:r>
      <w:r w:rsidR="000F7B00">
        <w:t xml:space="preserve">. </w:t>
      </w:r>
      <w:r w:rsidR="00F82ACB">
        <w:t xml:space="preserve">Однако, коэффициент соотношения заемных средств к собственным </w:t>
      </w:r>
      <w:r w:rsidR="00BF43E1">
        <w:t xml:space="preserve">имеет обратную взаимосвязь с показателем </w:t>
      </w:r>
      <w:r w:rsidR="00F82ACB">
        <w:rPr>
          <w:lang w:val="en-US"/>
        </w:rPr>
        <w:t>ROA</w:t>
      </w:r>
      <w:r w:rsidR="00F82ACB">
        <w:t xml:space="preserve"> и </w:t>
      </w:r>
      <w:r w:rsidR="00F82ACB">
        <w:rPr>
          <w:lang w:val="en-US"/>
        </w:rPr>
        <w:t>ROIC</w:t>
      </w:r>
      <w:r w:rsidR="00F82ACB" w:rsidRPr="00F82ACB">
        <w:t xml:space="preserve"> </w:t>
      </w:r>
      <w:r w:rsidR="00F82ACB">
        <w:t xml:space="preserve">в базовых моделях и показателем </w:t>
      </w:r>
      <w:r w:rsidR="00F82ACB">
        <w:rPr>
          <w:lang w:val="en-US"/>
        </w:rPr>
        <w:t>ROE</w:t>
      </w:r>
      <w:r w:rsidR="00F82ACB" w:rsidRPr="00F82ACB">
        <w:t xml:space="preserve"> </w:t>
      </w:r>
      <w:r w:rsidR="00F82ACB">
        <w:t xml:space="preserve">в итоговой модели. </w:t>
      </w:r>
      <w:r w:rsidR="00103FB6">
        <w:t>Слишком высокий уровень финансового рычага повышает расходы по процентам и риски не справиться с высокой долговой нагрузкой, что может влиять на эффективность деятельности и финансовые показатели в негативном ключе, что особенно характерно в кризисные периоды. Подобный результат получен в недавнем исследовании [</w:t>
      </w:r>
      <w:proofErr w:type="spellStart"/>
      <w:r w:rsidR="00103FB6">
        <w:t>Ilyukhin</w:t>
      </w:r>
      <w:proofErr w:type="spellEnd"/>
      <w:r w:rsidR="00103FB6">
        <w:t xml:space="preserve">, 2015]: финансовый леверидж отрицательно связан с результативностью российских компаний. </w:t>
      </w:r>
      <w:r w:rsidR="00D64B5D">
        <w:t xml:space="preserve">Финансовый леверидж имеет ценность, когда </w:t>
      </w:r>
      <w:r w:rsidR="00895EFC">
        <w:t>рентабельность активов компании выше, чем процентные ставки по займам, в этом случае возникает положительный эффект финансового рычага. Для российских государственных компаний эффект рычага отрицательный, а значит привлечение дополнительный заемных средств только снизит показатели рентабельности компании. Р</w:t>
      </w:r>
      <w:r w:rsidR="00BF43E1">
        <w:t xml:space="preserve">азмер компании, выраженный как натуральный логарифм совокупных активов, имеет прямую взаимосвязь с </w:t>
      </w:r>
      <w:r w:rsidR="00895EFC">
        <w:t xml:space="preserve">бухгалтерскими </w:t>
      </w:r>
      <w:r w:rsidR="00BF43E1">
        <w:t>финансовыми показателям, то есть при увеличении размера компании показатели</w:t>
      </w:r>
      <w:r w:rsidR="00895EFC">
        <w:t xml:space="preserve"> рентабельности</w:t>
      </w:r>
      <w:r w:rsidR="00BF43E1">
        <w:t xml:space="preserve"> будут увеличиваться.</w:t>
      </w:r>
      <w:r w:rsidR="00895EFC">
        <w:t xml:space="preserve"> </w:t>
      </w:r>
      <w:r w:rsidR="00895EFC" w:rsidRPr="00895EFC">
        <w:t xml:space="preserve">Это связано с тем, что </w:t>
      </w:r>
      <w:r w:rsidR="00895EFC">
        <w:t xml:space="preserve">более крупные </w:t>
      </w:r>
      <w:r w:rsidR="00895EFC" w:rsidRPr="00895EFC">
        <w:t xml:space="preserve">компании имеют </w:t>
      </w:r>
      <w:r w:rsidR="00F954BF">
        <w:t xml:space="preserve">дополнительные </w:t>
      </w:r>
      <w:r w:rsidR="00895EFC" w:rsidRPr="00895EFC">
        <w:t xml:space="preserve">возможности для инвестирования в проекты и </w:t>
      </w:r>
      <w:r w:rsidR="00F954BF" w:rsidRPr="00895EFC">
        <w:t xml:space="preserve">широкий доступ к </w:t>
      </w:r>
      <w:r w:rsidR="00F954BF">
        <w:t xml:space="preserve">необходимым </w:t>
      </w:r>
      <w:r w:rsidR="00F954BF" w:rsidRPr="00895EFC">
        <w:t>ресурсам</w:t>
      </w:r>
      <w:r w:rsidR="00895EFC" w:rsidRPr="00895EFC">
        <w:t xml:space="preserve">. </w:t>
      </w:r>
      <w:r w:rsidR="00F954BF" w:rsidRPr="00895EFC">
        <w:t>Кроме того, большие компании могут использовать экономи</w:t>
      </w:r>
      <w:r w:rsidR="00F954BF">
        <w:t xml:space="preserve">ю от </w:t>
      </w:r>
      <w:r w:rsidR="00F954BF" w:rsidRPr="00895EFC">
        <w:t>масштаба для повышения эффективности и снижения затрат</w:t>
      </w:r>
      <w:r w:rsidR="00F954BF">
        <w:t>.</w:t>
      </w:r>
      <w:r w:rsidR="000F7B00">
        <w:t xml:space="preserve"> Подобные результаты получены и у других авторов </w:t>
      </w:r>
      <w:r w:rsidR="000F7B00" w:rsidRPr="000F7B00">
        <w:t>[</w:t>
      </w:r>
      <w:r w:rsidR="000F7B00">
        <w:t>Березинец, Гаранина, Ильина, 2018</w:t>
      </w:r>
      <w:r w:rsidR="000F7B00" w:rsidRPr="000F7B00">
        <w:t>]</w:t>
      </w:r>
      <w:r w:rsidR="000F7B00">
        <w:t>.</w:t>
      </w:r>
      <w:r w:rsidR="00F954BF" w:rsidRPr="00895EFC">
        <w:t xml:space="preserve"> </w:t>
      </w:r>
      <w:r w:rsidR="008D1FEF">
        <w:t>Как и ожидалось, финансовая результативность компаний, выраженная бухгалтерскими показателями, ниже в период спада экономики в</w:t>
      </w:r>
      <w:r w:rsidR="00F954BF">
        <w:t xml:space="preserve"> кризисные </w:t>
      </w:r>
      <w:r w:rsidR="008D1FEF">
        <w:t>год</w:t>
      </w:r>
      <w:r w:rsidR="00F954BF">
        <w:t>а</w:t>
      </w:r>
      <w:r w:rsidR="008D1FEF">
        <w:t xml:space="preserve">, чем в другие исследуемые периоды. </w:t>
      </w:r>
    </w:p>
    <w:p w14:paraId="1EA8CBE9" w14:textId="2424B98D" w:rsidR="00610AAE" w:rsidRDefault="00610AAE" w:rsidP="0079779D">
      <w:pPr>
        <w:pStyle w:val="2"/>
      </w:pPr>
      <w:bookmarkStart w:id="105" w:name="_Toc136001552"/>
      <w:r>
        <w:t>3.4 Обсуждение полученных результатов и управленческ</w:t>
      </w:r>
      <w:r w:rsidR="00F67A7C">
        <w:t>ие</w:t>
      </w:r>
      <w:r>
        <w:t xml:space="preserve"> приложени</w:t>
      </w:r>
      <w:r w:rsidR="00F67A7C">
        <w:t>я</w:t>
      </w:r>
      <w:bookmarkEnd w:id="105"/>
    </w:p>
    <w:p w14:paraId="3A0CD599" w14:textId="5C7A5B02" w:rsidR="00610AAE" w:rsidRDefault="0063232F" w:rsidP="0062070C">
      <w:pPr>
        <w:pStyle w:val="aff0"/>
      </w:pPr>
      <w:r>
        <w:t>Согласно результатам регрессионного анализа, в данной работе, посвященной выявлению взаимосвязи между характеристиками совета директоров и финансовой результативностью публичных компаний с государственным участием, была принята 1</w:t>
      </w:r>
      <w:r w:rsidR="006A5E41">
        <w:t xml:space="preserve">, 2 </w:t>
      </w:r>
      <w:r>
        <w:t xml:space="preserve">и 5 </w:t>
      </w:r>
      <w:r w:rsidR="0039695B">
        <w:t>Г</w:t>
      </w:r>
      <w:r>
        <w:t xml:space="preserve">ипотезы. Необходимо рассмотреть детально результаты по каждой из ранее выдвинутых </w:t>
      </w:r>
      <w:r w:rsidR="0039695B">
        <w:t>Г</w:t>
      </w:r>
      <w:r>
        <w:t xml:space="preserve">ипотез. </w:t>
      </w:r>
    </w:p>
    <w:p w14:paraId="24258890" w14:textId="77777777" w:rsidR="0063232F" w:rsidRPr="00CD3D38" w:rsidRDefault="0063232F" w:rsidP="00571ECA">
      <w:pPr>
        <w:spacing w:after="0"/>
        <w:ind w:firstLine="709"/>
        <w:jc w:val="center"/>
        <w:rPr>
          <w:i/>
          <w:iCs/>
        </w:rPr>
      </w:pPr>
      <w:r w:rsidRPr="00CD3D38">
        <w:rPr>
          <w:b/>
          <w:bCs/>
          <w:i/>
          <w:iCs/>
        </w:rPr>
        <w:lastRenderedPageBreak/>
        <w:t>Гипотеза 1.</w:t>
      </w:r>
      <w:r w:rsidRPr="00CD3D38">
        <w:rPr>
          <w:i/>
          <w:iCs/>
        </w:rPr>
        <w:t xml:space="preserve"> Существует нелинейная взаимосвязь между размером совета директоров и финансовой результативностью публичных компаний с государственным участием</w:t>
      </w:r>
    </w:p>
    <w:p w14:paraId="0C53EF40" w14:textId="32DD92C5" w:rsidR="00C66554" w:rsidRDefault="0063232F" w:rsidP="0062070C">
      <w:pPr>
        <w:pStyle w:val="aff0"/>
        <w:rPr>
          <w:rFonts w:cs="Times New Roman"/>
          <w:szCs w:val="24"/>
        </w:rPr>
      </w:pPr>
      <w:r>
        <w:t>Регрессионный анализ позволил выявить</w:t>
      </w:r>
      <w:r w:rsidR="00222E75">
        <w:t xml:space="preserve"> статистически</w:t>
      </w:r>
      <w:r>
        <w:t xml:space="preserve"> значимую нелинейную взаимосвязь </w:t>
      </w:r>
      <w:r w:rsidR="00222E75">
        <w:t xml:space="preserve">между переменными </w:t>
      </w:r>
      <w:r w:rsidR="00222E75">
        <w:rPr>
          <w:lang w:val="en-US"/>
        </w:rPr>
        <w:t>BD</w:t>
      </w:r>
      <w:r w:rsidR="00222E75" w:rsidRPr="00222E75">
        <w:t xml:space="preserve"> </w:t>
      </w:r>
      <w:r w:rsidR="00222E75">
        <w:t>и</w:t>
      </w:r>
      <w:r w:rsidR="00222E75" w:rsidRPr="00222E75">
        <w:t xml:space="preserve"> </w:t>
      </w:r>
      <w:r w:rsidR="00222E75">
        <w:rPr>
          <w:lang w:val="en-US"/>
        </w:rPr>
        <w:t>BD</w:t>
      </w:r>
      <w:r w:rsidR="00222E75" w:rsidRPr="00222E75">
        <w:rPr>
          <w:vertAlign w:val="superscript"/>
        </w:rPr>
        <w:t>2</w:t>
      </w:r>
      <w:r w:rsidR="00222E75">
        <w:t xml:space="preserve"> </w:t>
      </w:r>
      <w:r w:rsidR="00C66554" w:rsidRPr="00C66554">
        <w:t xml:space="preserve">, </w:t>
      </w:r>
      <w:r w:rsidR="00222E75">
        <w:t xml:space="preserve">характеризующими размер совета директоров, и </w:t>
      </w:r>
      <w:r w:rsidR="006A5E41">
        <w:t xml:space="preserve">рыночным </w:t>
      </w:r>
      <w:r w:rsidR="00222E75">
        <w:t>показател</w:t>
      </w:r>
      <w:r w:rsidR="006A5E41">
        <w:t>ем</w:t>
      </w:r>
      <w:r w:rsidR="00222E75">
        <w:t xml:space="preserve"> финансовой результативности</w:t>
      </w:r>
      <w:r w:rsidR="006A5E41">
        <w:t xml:space="preserve"> </w:t>
      </w:r>
      <w:r w:rsidR="006A5E41">
        <w:rPr>
          <w:lang w:val="en-US"/>
        </w:rPr>
        <w:t>Market</w:t>
      </w:r>
      <w:r w:rsidR="006A5E41" w:rsidRPr="006A5E41">
        <w:t>-</w:t>
      </w:r>
      <w:r w:rsidR="006A5E41">
        <w:rPr>
          <w:lang w:val="en-US"/>
        </w:rPr>
        <w:t>to</w:t>
      </w:r>
      <w:r w:rsidR="006A5E41" w:rsidRPr="006A5E41">
        <w:t>-</w:t>
      </w:r>
      <w:r w:rsidR="006A5E41">
        <w:rPr>
          <w:lang w:val="en-US"/>
        </w:rPr>
        <w:t>Book</w:t>
      </w:r>
      <w:r w:rsidR="006A5E41" w:rsidRPr="006A5E41">
        <w:t xml:space="preserve"> </w:t>
      </w:r>
      <w:r w:rsidR="006A5E41">
        <w:rPr>
          <w:lang w:val="en-US"/>
        </w:rPr>
        <w:t>Ratio</w:t>
      </w:r>
      <w:r w:rsidR="00222E75">
        <w:t>,</w:t>
      </w:r>
      <w:r w:rsidR="00C66554" w:rsidRPr="00C66554">
        <w:t xml:space="preserve"> </w:t>
      </w:r>
      <w:r w:rsidR="008C2D35">
        <w:t xml:space="preserve">это дает основания для принятия </w:t>
      </w:r>
      <w:r w:rsidR="0039695B">
        <w:t>Г</w:t>
      </w:r>
      <w:r w:rsidR="00222E75">
        <w:t>ипотез</w:t>
      </w:r>
      <w:r w:rsidR="008C2D35">
        <w:t>ы</w:t>
      </w:r>
      <w:r w:rsidR="00222E75">
        <w:t xml:space="preserve"> 1. </w:t>
      </w:r>
      <w:r w:rsidR="003B5797">
        <w:t xml:space="preserve">Согласно коэффициентам при переменных, </w:t>
      </w:r>
      <w:r w:rsidR="001962B8">
        <w:t xml:space="preserve">в точке </w:t>
      </w:r>
      <w:r w:rsidR="001962B8">
        <w:rPr>
          <w:lang w:val="en-US"/>
        </w:rPr>
        <w:t>BD</w:t>
      </w:r>
      <w:r w:rsidR="001962B8" w:rsidRPr="001962B8">
        <w:t xml:space="preserve"> = 1</w:t>
      </w:r>
      <w:r w:rsidR="008C2D35">
        <w:t>1</w:t>
      </w:r>
      <w:r w:rsidR="001962B8">
        <w:t xml:space="preserve"> </w:t>
      </w:r>
      <w:r w:rsidR="008C2D35">
        <w:t xml:space="preserve">показатель </w:t>
      </w:r>
      <w:r w:rsidR="001962B8">
        <w:t>достига</w:t>
      </w:r>
      <w:r w:rsidR="008C2D35">
        <w:t>е</w:t>
      </w:r>
      <w:r w:rsidR="001962B8">
        <w:t xml:space="preserve">т своего минимума, что </w:t>
      </w:r>
      <w:r w:rsidR="00C66554">
        <w:t xml:space="preserve">свидетельствует о том, что наиболее эффективными будут крупные и малые советы директоров. Данный результат соотносится с ранее проведенными исследованиями </w:t>
      </w:r>
      <w:r w:rsidR="00C66554" w:rsidRPr="00C66554">
        <w:t>[</w:t>
      </w:r>
      <w:proofErr w:type="spellStart"/>
      <w:r w:rsidR="00C66554" w:rsidRPr="00F73D7A">
        <w:rPr>
          <w:rFonts w:cs="Times New Roman"/>
          <w:szCs w:val="24"/>
        </w:rPr>
        <w:t>Coles</w:t>
      </w:r>
      <w:proofErr w:type="spellEnd"/>
      <w:r w:rsidR="00C66554" w:rsidRPr="00F73D7A">
        <w:rPr>
          <w:rFonts w:cs="Times New Roman"/>
          <w:szCs w:val="24"/>
        </w:rPr>
        <w:t xml:space="preserve">, Daniel, </w:t>
      </w:r>
      <w:proofErr w:type="spellStart"/>
      <w:r w:rsidR="00C66554" w:rsidRPr="00F73D7A">
        <w:rPr>
          <w:rFonts w:cs="Times New Roman"/>
          <w:szCs w:val="24"/>
        </w:rPr>
        <w:t>Naveen</w:t>
      </w:r>
      <w:proofErr w:type="spellEnd"/>
      <w:r w:rsidR="00C66554" w:rsidRPr="00F73D7A">
        <w:rPr>
          <w:rFonts w:cs="Times New Roman"/>
          <w:szCs w:val="24"/>
        </w:rPr>
        <w:t>, 2008</w:t>
      </w:r>
      <w:r w:rsidR="00C66554" w:rsidRPr="00C66554">
        <w:rPr>
          <w:rFonts w:cs="Times New Roman"/>
          <w:szCs w:val="24"/>
        </w:rPr>
        <w:t xml:space="preserve">; </w:t>
      </w:r>
      <w:r w:rsidR="00C66554" w:rsidRPr="00496150">
        <w:rPr>
          <w:rFonts w:cs="Times New Roman"/>
          <w:szCs w:val="24"/>
        </w:rPr>
        <w:t>Березинец, Ильина, Черкасская, 2013</w:t>
      </w:r>
      <w:r w:rsidR="00C66554" w:rsidRPr="00C66554">
        <w:rPr>
          <w:rFonts w:cs="Times New Roman"/>
          <w:szCs w:val="24"/>
        </w:rPr>
        <w:t>]</w:t>
      </w:r>
      <w:r w:rsidR="008C2D35">
        <w:rPr>
          <w:rFonts w:cs="Times New Roman"/>
          <w:szCs w:val="24"/>
        </w:rPr>
        <w:t>, в которых исследовалась взаимосвязь между размером совета директоров и рыночным показателем финансовой результативности</w:t>
      </w:r>
      <w:r w:rsidR="00C66554" w:rsidRPr="00C66554">
        <w:rPr>
          <w:rFonts w:cs="Times New Roman"/>
          <w:szCs w:val="24"/>
        </w:rPr>
        <w:t xml:space="preserve">. </w:t>
      </w:r>
      <w:r w:rsidR="00C66554">
        <w:rPr>
          <w:rFonts w:cs="Times New Roman"/>
          <w:szCs w:val="24"/>
        </w:rPr>
        <w:t>Таким образом, можно прийти к выводу о том, что для публичных российских компаний с государственным участием средний размер совета директоров не будет оптимальным. Можно это связать с тем, что в небольших по размеру Советах лучше происходит коммуникация, меньше возникает конфликтов и решения принимают</w:t>
      </w:r>
      <w:r w:rsidR="0039695B">
        <w:rPr>
          <w:rFonts w:cs="Times New Roman"/>
          <w:szCs w:val="24"/>
        </w:rPr>
        <w:t>ся</w:t>
      </w:r>
      <w:r w:rsidR="00C66554">
        <w:rPr>
          <w:rFonts w:cs="Times New Roman"/>
          <w:szCs w:val="24"/>
        </w:rPr>
        <w:t xml:space="preserve"> быстрее и эффективнее, в таких Советах лучше осуществляется функция мониторинга, так как все члены вовлечены в процесс. Тогда как в многочисленных </w:t>
      </w:r>
      <w:r w:rsidR="0039695B">
        <w:rPr>
          <w:rFonts w:cs="Times New Roman"/>
          <w:szCs w:val="24"/>
        </w:rPr>
        <w:t>Советах</w:t>
      </w:r>
      <w:r w:rsidR="00C66554">
        <w:rPr>
          <w:rFonts w:cs="Times New Roman"/>
          <w:szCs w:val="24"/>
        </w:rPr>
        <w:t xml:space="preserve"> присутствует больше кадров с потенциальными необходимыми ресурсами для компании, что приводит к большей эффективности с точки зрения ресурсной концепции. </w:t>
      </w:r>
    </w:p>
    <w:p w14:paraId="2FB917A5" w14:textId="77777777" w:rsidR="00C66554" w:rsidRPr="00CD3D38" w:rsidRDefault="00C66554" w:rsidP="00571ECA">
      <w:pPr>
        <w:spacing w:after="0"/>
        <w:jc w:val="center"/>
        <w:rPr>
          <w:i/>
          <w:iCs/>
        </w:rPr>
      </w:pPr>
      <w:r w:rsidRPr="00CD3D38">
        <w:rPr>
          <w:b/>
          <w:bCs/>
          <w:i/>
          <w:iCs/>
        </w:rPr>
        <w:t>Гипотеза 2.</w:t>
      </w:r>
      <w:r w:rsidRPr="00CD3D38">
        <w:rPr>
          <w:i/>
          <w:iCs/>
        </w:rPr>
        <w:t xml:space="preserve"> Существует положительная взаимосвязь между долей независимых директоров и финансовой результативностью публичных компаний с государственным участием</w:t>
      </w:r>
    </w:p>
    <w:p w14:paraId="0D60FF6C" w14:textId="02AD5DE3" w:rsidR="005A6D88" w:rsidRPr="005A6D88" w:rsidRDefault="00C66554" w:rsidP="0062070C">
      <w:pPr>
        <w:pStyle w:val="aff0"/>
        <w:rPr>
          <w:lang w:eastAsia="ru-RU"/>
        </w:rPr>
      </w:pPr>
      <w:r>
        <w:rPr>
          <w:iCs/>
        </w:rPr>
        <w:t>По результатам регрессионного анализа удалось выявить статически значим</w:t>
      </w:r>
      <w:r w:rsidR="008C2D35">
        <w:rPr>
          <w:iCs/>
        </w:rPr>
        <w:t>ую</w:t>
      </w:r>
      <w:r>
        <w:rPr>
          <w:iCs/>
        </w:rPr>
        <w:t xml:space="preserve"> взаимосвязи между переменной </w:t>
      </w:r>
      <w:r w:rsidRPr="0096090C">
        <w:rPr>
          <w:i/>
          <w:iCs/>
          <w:color w:val="333333"/>
          <w:lang w:eastAsia="ru-RU"/>
        </w:rPr>
        <w:t>Independent</w:t>
      </w:r>
      <w:r>
        <w:rPr>
          <w:i/>
          <w:iCs/>
          <w:color w:val="333333"/>
          <w:lang w:eastAsia="ru-RU"/>
        </w:rPr>
        <w:t xml:space="preserve">, </w:t>
      </w:r>
      <w:r w:rsidRPr="00F967E2">
        <w:rPr>
          <w:lang w:eastAsia="ru-RU"/>
        </w:rPr>
        <w:t xml:space="preserve">характеризующей долю независимых директоров в Совете, и </w:t>
      </w:r>
      <w:r w:rsidR="00F967E2" w:rsidRPr="00F967E2">
        <w:rPr>
          <w:lang w:eastAsia="ru-RU"/>
        </w:rPr>
        <w:t xml:space="preserve">финансовой результативностью, выраженной </w:t>
      </w:r>
      <w:r w:rsidR="008C2D35">
        <w:rPr>
          <w:lang w:eastAsia="ru-RU"/>
        </w:rPr>
        <w:t xml:space="preserve">как </w:t>
      </w:r>
      <w:r w:rsidR="00F967E2" w:rsidRPr="00F967E2">
        <w:rPr>
          <w:lang w:eastAsia="ru-RU"/>
        </w:rPr>
        <w:t>бухгалтерскими</w:t>
      </w:r>
      <w:r w:rsidR="008C2D35">
        <w:rPr>
          <w:lang w:eastAsia="ru-RU"/>
        </w:rPr>
        <w:t xml:space="preserve">, так и рыночными </w:t>
      </w:r>
      <w:r w:rsidR="00F967E2" w:rsidRPr="00F967E2">
        <w:rPr>
          <w:lang w:eastAsia="ru-RU"/>
        </w:rPr>
        <w:t xml:space="preserve">показателями. Следовательно, </w:t>
      </w:r>
      <w:r w:rsidR="00F045B8">
        <w:rPr>
          <w:lang w:eastAsia="ru-RU"/>
        </w:rPr>
        <w:t>Г</w:t>
      </w:r>
      <w:r w:rsidR="00F967E2" w:rsidRPr="00F967E2">
        <w:rPr>
          <w:lang w:eastAsia="ru-RU"/>
        </w:rPr>
        <w:t>ипотеза 2</w:t>
      </w:r>
      <w:r w:rsidR="008C2D35">
        <w:rPr>
          <w:lang w:eastAsia="ru-RU"/>
        </w:rPr>
        <w:t xml:space="preserve"> была принята в данном исследовании</w:t>
      </w:r>
      <w:r w:rsidR="00F967E2" w:rsidRPr="00F967E2">
        <w:rPr>
          <w:lang w:eastAsia="ru-RU"/>
        </w:rPr>
        <w:t>.</w:t>
      </w:r>
      <w:r w:rsidR="005A6D88">
        <w:rPr>
          <w:lang w:eastAsia="ru-RU"/>
        </w:rPr>
        <w:t xml:space="preserve"> </w:t>
      </w:r>
      <w:r w:rsidR="00AD69E4">
        <w:rPr>
          <w:lang w:eastAsia="ru-RU"/>
        </w:rPr>
        <w:t xml:space="preserve">Стоит отметить, что независимые директора имеют более выраженную положительную взаимосвязь с бухгалтерскими показателями </w:t>
      </w:r>
      <w:r w:rsidR="00AD69E4">
        <w:rPr>
          <w:lang w:val="en-US" w:eastAsia="ru-RU"/>
        </w:rPr>
        <w:t>ROA</w:t>
      </w:r>
      <w:r w:rsidR="00AD69E4" w:rsidRPr="00AD69E4">
        <w:rPr>
          <w:lang w:eastAsia="ru-RU"/>
        </w:rPr>
        <w:t xml:space="preserve"> </w:t>
      </w:r>
      <w:r w:rsidR="00AD69E4">
        <w:rPr>
          <w:lang w:eastAsia="ru-RU"/>
        </w:rPr>
        <w:t xml:space="preserve">и </w:t>
      </w:r>
      <w:r w:rsidR="00AD69E4">
        <w:rPr>
          <w:lang w:val="en-US" w:eastAsia="ru-RU"/>
        </w:rPr>
        <w:t>ROIC</w:t>
      </w:r>
      <w:r w:rsidR="00AD69E4">
        <w:rPr>
          <w:lang w:eastAsia="ru-RU"/>
        </w:rPr>
        <w:t xml:space="preserve">, а значит в большей степени взаимосвязаны именно с эффективностью использования всего капитала компании, нежели только собственного. </w:t>
      </w:r>
      <w:r w:rsidR="005A6D88">
        <w:t>Согласно агентской и ресурсной теории, именно независимые директора лучше осуществляют функцию мониторинга и приносят необходимые ресурсы компании. Тем не менее, в научно</w:t>
      </w:r>
      <w:r w:rsidR="00704253">
        <w:t>м</w:t>
      </w:r>
      <w:r w:rsidR="005A6D88">
        <w:t xml:space="preserve"> сообществе до сих пор нет единого мнения о том, как и в какой степени независимые директора улучшают показатели эффективности компании. </w:t>
      </w:r>
      <w:r w:rsidR="00F967E2" w:rsidRPr="00F967E2">
        <w:rPr>
          <w:lang w:eastAsia="ru-RU"/>
        </w:rPr>
        <w:t xml:space="preserve"> </w:t>
      </w:r>
      <w:r w:rsidR="005A6D88">
        <w:rPr>
          <w:lang w:eastAsia="ru-RU"/>
        </w:rPr>
        <w:t xml:space="preserve">Множество авторов в своих исследованиях приходят к выводу </w:t>
      </w:r>
      <w:r w:rsidR="005A6D88">
        <w:rPr>
          <w:lang w:eastAsia="ru-RU"/>
        </w:rPr>
        <w:lastRenderedPageBreak/>
        <w:t xml:space="preserve">о наличии положительной взаимосвязи между долей независимых директоров и показателями финансовой результативности деятельности компании </w:t>
      </w:r>
      <w:r w:rsidR="005A6D88" w:rsidRPr="002C57C7">
        <w:t>[</w:t>
      </w:r>
      <w:r w:rsidR="005A6D88">
        <w:rPr>
          <w:lang w:val="en-US"/>
        </w:rPr>
        <w:t>Alonso</w:t>
      </w:r>
      <w:r w:rsidR="005A6D88" w:rsidRPr="002C57C7">
        <w:t xml:space="preserve">, </w:t>
      </w:r>
      <w:proofErr w:type="spellStart"/>
      <w:r w:rsidR="005A6D88">
        <w:rPr>
          <w:lang w:val="en-US"/>
        </w:rPr>
        <w:t>V</w:t>
      </w:r>
      <w:r w:rsidR="005A6D88" w:rsidRPr="002C57C7">
        <w:rPr>
          <w:lang w:val="en-US"/>
        </w:rPr>
        <w:t>allelado</w:t>
      </w:r>
      <w:proofErr w:type="spellEnd"/>
      <w:r w:rsidR="005A6D88" w:rsidRPr="002C57C7">
        <w:t xml:space="preserve"> 2008</w:t>
      </w:r>
      <w:r w:rsidR="005A6D88" w:rsidRPr="006A5653">
        <w:t>; Масленникова, Степанова, 2010</w:t>
      </w:r>
      <w:r w:rsidR="005A6D88" w:rsidRPr="00394291">
        <w:t xml:space="preserve">; </w:t>
      </w:r>
      <w:proofErr w:type="spellStart"/>
      <w:r w:rsidR="005A6D88">
        <w:t>Reguera-Alvarado</w:t>
      </w:r>
      <w:proofErr w:type="spellEnd"/>
      <w:r w:rsidR="005A6D88">
        <w:rPr>
          <w:rFonts w:ascii="Arial" w:hAnsi="Arial" w:cs="Arial"/>
          <w:color w:val="2E2E2E"/>
        </w:rPr>
        <w:t>,</w:t>
      </w:r>
      <w:r w:rsidR="005A6D88">
        <w:t> Bravo</w:t>
      </w:r>
      <w:r w:rsidR="005A6D88" w:rsidRPr="00394291">
        <w:t xml:space="preserve">, 2017; </w:t>
      </w:r>
      <w:proofErr w:type="spellStart"/>
      <w:r w:rsidR="005A6D88">
        <w:t>Mihail</w:t>
      </w:r>
      <w:proofErr w:type="spellEnd"/>
      <w:r w:rsidR="005A6D88">
        <w:t xml:space="preserve">, </w:t>
      </w:r>
      <w:r w:rsidR="005A6D88">
        <w:rPr>
          <w:lang w:val="en-US"/>
        </w:rPr>
        <w:t>M</w:t>
      </w:r>
      <w:proofErr w:type="spellStart"/>
      <w:r w:rsidR="005A6D88">
        <w:t>icu</w:t>
      </w:r>
      <w:proofErr w:type="spellEnd"/>
      <w:r w:rsidR="005A6D88" w:rsidRPr="00394291">
        <w:t>, 2021</w:t>
      </w:r>
      <w:r w:rsidR="005A6D88" w:rsidRPr="00DA0490">
        <w:t xml:space="preserve">; </w:t>
      </w:r>
      <w:proofErr w:type="spellStart"/>
      <w:r w:rsidR="005A6D88" w:rsidRPr="00DA0490">
        <w:t>Agarwal</w:t>
      </w:r>
      <w:proofErr w:type="spellEnd"/>
      <w:r w:rsidR="005A6D88" w:rsidRPr="00DA0490">
        <w:t>, 2021</w:t>
      </w:r>
      <w:r w:rsidR="005A6D88">
        <w:t xml:space="preserve">; </w:t>
      </w:r>
      <w:r w:rsidR="005A6D88">
        <w:rPr>
          <w:lang w:val="en-US"/>
        </w:rPr>
        <w:t>K</w:t>
      </w:r>
      <w:proofErr w:type="spellStart"/>
      <w:r w:rsidR="005A6D88" w:rsidRPr="00863E01">
        <w:t>anakriyah</w:t>
      </w:r>
      <w:proofErr w:type="spellEnd"/>
      <w:r w:rsidR="005A6D88" w:rsidRPr="00863E01">
        <w:t>, 2021</w:t>
      </w:r>
      <w:r w:rsidR="005A6D88" w:rsidRPr="002C57C7">
        <w:t>]</w:t>
      </w:r>
      <w:r w:rsidR="005A6D88">
        <w:t xml:space="preserve">. </w:t>
      </w:r>
      <w:r w:rsidR="00233B1D">
        <w:t xml:space="preserve">Не смотря на то, что в исследования </w:t>
      </w:r>
      <w:r w:rsidR="00233B1D">
        <w:rPr>
          <w:lang w:val="en-US"/>
        </w:rPr>
        <w:t>Spenser</w:t>
      </w:r>
      <w:r w:rsidR="00233B1D">
        <w:t xml:space="preserve"> </w:t>
      </w:r>
      <w:proofErr w:type="spellStart"/>
      <w:r w:rsidR="00233B1D">
        <w:rPr>
          <w:lang w:val="en-US"/>
        </w:rPr>
        <w:t>Stuard</w:t>
      </w:r>
      <w:proofErr w:type="spellEnd"/>
      <w:r w:rsidR="00233B1D" w:rsidRPr="00233B1D">
        <w:t xml:space="preserve"> </w:t>
      </w:r>
      <w:r w:rsidR="00233B1D">
        <w:t>на выборке из российских публичных компаний за 2020 год, был выявлен рост доли таких директоров в общем совете директоров – с 36,7% до 42,2% и эксперты отмечают, что сократилась доля компаний, которые не следуют рекомендациям Кодекса о доли независимых директоров</w:t>
      </w:r>
      <w:r w:rsidR="00233B1D">
        <w:rPr>
          <w:rStyle w:val="ac"/>
          <w:rFonts w:cs="Times New Roman"/>
          <w:szCs w:val="24"/>
        </w:rPr>
        <w:footnoteReference w:id="38"/>
      </w:r>
      <w:r w:rsidR="00233B1D">
        <w:t xml:space="preserve">, среди российских публичных компаний с государственным участием эта доля стабильно росла только с 2014 по 2017 год, после чего колебалась в пределах 20%. Таким образом, рассматриваемые компании в выборке не придерживаются рекомендаций </w:t>
      </w:r>
      <w:r w:rsidR="002A6D7B">
        <w:t xml:space="preserve">Кодекса </w:t>
      </w:r>
      <w:r w:rsidR="00233B1D">
        <w:t>о минимальной доли независимых директоров. Более того, ВШЭ совместно с Ассоциацией профессиональных инвесторов</w:t>
      </w:r>
      <w:r w:rsidR="002A6D7B">
        <w:t xml:space="preserve"> удалось выяснить, что только в половине из компаний с государственным участием независимые директора отвечали правилам листинга Московской биржи и требованиям Кодекса корпоративного управления 2014 года. Таким образом, для повышения финансовой результативности компаниям с государственным участием стоит пересмотреть политику в области формирования Совета и включать больше независимых директоров, а также </w:t>
      </w:r>
      <w:r w:rsidR="002A6D7B">
        <w:rPr>
          <w:color w:val="000000"/>
          <w:shd w:val="clear" w:color="auto" w:fill="FFFFFF"/>
        </w:rPr>
        <w:t xml:space="preserve">проводить регулярную оценку независимости кандидатов и осуществлять анализ независимости членов на предмет соответствия критериям независимости. </w:t>
      </w:r>
    </w:p>
    <w:p w14:paraId="7F3A3F9F" w14:textId="77777777" w:rsidR="005D688E" w:rsidRPr="00CD3D38" w:rsidRDefault="005D688E" w:rsidP="00571ECA">
      <w:pPr>
        <w:spacing w:after="0"/>
        <w:jc w:val="center"/>
        <w:rPr>
          <w:i/>
          <w:iCs/>
        </w:rPr>
      </w:pPr>
      <w:r w:rsidRPr="00CD3D38">
        <w:rPr>
          <w:b/>
          <w:bCs/>
          <w:i/>
          <w:iCs/>
        </w:rPr>
        <w:t>Гипотеза 3.</w:t>
      </w:r>
      <w:r w:rsidRPr="00CD3D38">
        <w:rPr>
          <w:i/>
          <w:iCs/>
        </w:rPr>
        <w:t xml:space="preserve"> Существует прямая взаимосвязь между долей исполнительных директоров и финансовыми показателя публичных компаний </w:t>
      </w:r>
      <w:r w:rsidRPr="00CD3D38">
        <w:rPr>
          <w:i/>
          <w:iCs/>
          <w:color w:val="000000" w:themeColor="text1"/>
        </w:rPr>
        <w:t>с государственным участием</w:t>
      </w:r>
    </w:p>
    <w:p w14:paraId="211AAC87" w14:textId="7673016A" w:rsidR="005D688E" w:rsidRPr="00460D27" w:rsidRDefault="005D688E" w:rsidP="0062070C">
      <w:pPr>
        <w:pStyle w:val="aff0"/>
      </w:pPr>
      <w:r>
        <w:t xml:space="preserve">Регрессионный анализ не позволил выявить значимой взаимосвязи между переменной </w:t>
      </w:r>
      <w:r w:rsidRPr="0096090C">
        <w:rPr>
          <w:rFonts w:eastAsia="Times New Roman"/>
          <w:i/>
          <w:iCs/>
          <w:color w:val="333333"/>
          <w:lang w:eastAsia="ru-RU"/>
        </w:rPr>
        <w:t>Executive</w:t>
      </w:r>
      <w:r>
        <w:t>, характеризующей исполнительных директоров, и показателями</w:t>
      </w:r>
      <w:r w:rsidR="008C2D35">
        <w:t xml:space="preserve"> финансовой результативности</w:t>
      </w:r>
      <w:r>
        <w:t xml:space="preserve">. Из чего следует, что в данной работе автор не может принять или отвергнуть </w:t>
      </w:r>
      <w:r w:rsidR="00F045B8">
        <w:t>Г</w:t>
      </w:r>
      <w:r>
        <w:t>ипотезу 3.</w:t>
      </w:r>
      <w:r w:rsidR="00CB7369">
        <w:t xml:space="preserve"> </w:t>
      </w:r>
      <w:r w:rsidR="005D7FDC">
        <w:t>В</w:t>
      </w:r>
      <w:r w:rsidR="00460D27">
        <w:t>лияния исполнительных директоров</w:t>
      </w:r>
      <w:r w:rsidR="00F045B8">
        <w:t xml:space="preserve"> на эффективность бизнеса</w:t>
      </w:r>
      <w:r w:rsidR="00460D27">
        <w:t xml:space="preserve"> </w:t>
      </w:r>
      <w:r w:rsidR="005D7FDC">
        <w:t xml:space="preserve">недостаточно исследовано </w:t>
      </w:r>
      <w:r w:rsidR="00460D27">
        <w:t xml:space="preserve">в академическом сообществе. Авторы придерживаются разных точек зрения: с одной стороны, исполнительные директора хуже исполняют функцию мониторинга, тогда как с другой стороны, исполнительные директора лучше осведомлены о результатах и особенностях компании, а значит могут принимать более эффективные решения. </w:t>
      </w:r>
      <w:r w:rsidR="00BA2769">
        <w:t xml:space="preserve">Результаты регрессионного анализа выявили взаимосвязь между долей исполнительных директоров и бухгалтерскими показателями только на 10% уровне. </w:t>
      </w:r>
      <w:r w:rsidR="00460D27">
        <w:t xml:space="preserve">В данном исследование отсутствие значимой взаимосвязи может быть связано с </w:t>
      </w:r>
      <w:r w:rsidR="002F0925">
        <w:lastRenderedPageBreak/>
        <w:t xml:space="preserve">тем, что средняя доля исполнительных директоров слабо меняется во времени </w:t>
      </w:r>
      <w:r w:rsidR="00F045B8">
        <w:t xml:space="preserve">до 2021 года </w:t>
      </w:r>
      <w:r w:rsidR="002F0925">
        <w:t xml:space="preserve">и не может значительно повлиять на изменение бухгалтерских показателей. </w:t>
      </w:r>
    </w:p>
    <w:p w14:paraId="3F1C2D30" w14:textId="77777777" w:rsidR="005D688E" w:rsidRPr="00CD3D38" w:rsidRDefault="005D688E" w:rsidP="00571ECA">
      <w:pPr>
        <w:spacing w:after="0"/>
        <w:jc w:val="center"/>
        <w:rPr>
          <w:i/>
          <w:iCs/>
        </w:rPr>
      </w:pPr>
      <w:r w:rsidRPr="00CD3D38">
        <w:rPr>
          <w:b/>
          <w:bCs/>
          <w:i/>
          <w:iCs/>
          <w:color w:val="000000" w:themeColor="text1"/>
        </w:rPr>
        <w:t>Гипотеза 4.</w:t>
      </w:r>
      <w:r>
        <w:rPr>
          <w:i/>
          <w:iCs/>
          <w:color w:val="000000" w:themeColor="text1"/>
        </w:rPr>
        <w:t xml:space="preserve"> </w:t>
      </w:r>
      <w:r w:rsidRPr="00CD3D38">
        <w:rPr>
          <w:i/>
          <w:iCs/>
          <w:color w:val="000000" w:themeColor="text1"/>
        </w:rPr>
        <w:t>Существует</w:t>
      </w:r>
      <w:r w:rsidRPr="00CD3D38">
        <w:rPr>
          <w:i/>
          <w:iCs/>
          <w:color w:val="FF0000"/>
        </w:rPr>
        <w:t xml:space="preserve"> </w:t>
      </w:r>
      <w:r w:rsidRPr="00CD3D38">
        <w:rPr>
          <w:i/>
          <w:iCs/>
        </w:rPr>
        <w:t xml:space="preserve">положительная взаимосвязь между долей женщин-директоров в Советах и финансовой результативностью публичных компаний </w:t>
      </w:r>
      <w:r w:rsidRPr="00CD3D38">
        <w:rPr>
          <w:i/>
          <w:iCs/>
          <w:color w:val="000000" w:themeColor="text1"/>
        </w:rPr>
        <w:t>с государственным участием</w:t>
      </w:r>
    </w:p>
    <w:p w14:paraId="66AE1302" w14:textId="6263BBA8" w:rsidR="005D688E" w:rsidRPr="00AB1CAC" w:rsidRDefault="005D688E" w:rsidP="0062070C">
      <w:pPr>
        <w:pStyle w:val="aff0"/>
      </w:pPr>
      <w:r>
        <w:t xml:space="preserve">Согласно результатам регрессионного анализа, не было выявлено значимой взаимосвязи между переменной </w:t>
      </w:r>
      <w:r w:rsidRPr="007C57F2">
        <w:rPr>
          <w:i/>
          <w:iCs/>
          <w:lang w:val="en-US"/>
        </w:rPr>
        <w:t>Women</w:t>
      </w:r>
      <w:r w:rsidRPr="005D688E">
        <w:t xml:space="preserve">, </w:t>
      </w:r>
      <w:r>
        <w:t>характеризующей долю женщин-директоров в Совете, и показателями</w:t>
      </w:r>
      <w:r w:rsidR="007C57F2">
        <w:t xml:space="preserve"> </w:t>
      </w:r>
      <w:r w:rsidR="008C2D35">
        <w:t xml:space="preserve">финансовой </w:t>
      </w:r>
      <w:r w:rsidR="007C57F2">
        <w:t>эффективности</w:t>
      </w:r>
      <w:r>
        <w:t xml:space="preserve">. Ввиду этого, в данном исследовании невозможно принять или отвергнуть </w:t>
      </w:r>
      <w:r w:rsidR="00F045B8">
        <w:t>Г</w:t>
      </w:r>
      <w:r>
        <w:t xml:space="preserve">ипотезу 4 о положительной взаимосвязи между гендерным разнообразием и финансовой результативностью публичных компаний с государственным участием. </w:t>
      </w:r>
      <w:r w:rsidR="00DD7ADD">
        <w:t xml:space="preserve">Эти результаты можно сопоставить с выводами, полученными в других исследованиях </w:t>
      </w:r>
      <w:r w:rsidR="00DD7ADD" w:rsidRPr="00172665">
        <w:t>[</w:t>
      </w:r>
      <w:r w:rsidR="00DD7ADD">
        <w:t>Разумова, Иванова, 2020</w:t>
      </w:r>
      <w:r w:rsidR="00DD7ADD" w:rsidRPr="004843A9">
        <w:t>].</w:t>
      </w:r>
      <w:r w:rsidR="007C57F2">
        <w:t xml:space="preserve"> Авторы связывают такие результаты с тем, что наиболее перспективные и рентабельные компании представлены в нефтегазодобывающей и химических отраслях, и тяжелой металлургии, которые являются технически сложными и реже ассоциируются с женщинами. Кроме того, авторы ссылаются на гендерной неравенство, присутствующее в российском обществе. Также</w:t>
      </w:r>
      <w:r>
        <w:t xml:space="preserve"> в российских компаниях женщины-директора слабо представлены в наблюдательных советах, их доля растет очень медленно, по</w:t>
      </w:r>
      <w:r w:rsidR="00DD7ADD">
        <w:t xml:space="preserve"> </w:t>
      </w:r>
      <w:r>
        <w:t xml:space="preserve">сравнению с западными компаниями. </w:t>
      </w:r>
      <w:r w:rsidR="008C2D35">
        <w:t xml:space="preserve">Тем не менее, </w:t>
      </w:r>
      <w:r w:rsidR="00AB1CAC">
        <w:t xml:space="preserve">доля женщин-директоров имеет положительную взаимосвязь с показателем </w:t>
      </w:r>
      <w:r w:rsidR="00AB1CAC">
        <w:rPr>
          <w:lang w:val="en-US"/>
        </w:rPr>
        <w:t>Market</w:t>
      </w:r>
      <w:r w:rsidR="00AB1CAC" w:rsidRPr="00AB1CAC">
        <w:t>-</w:t>
      </w:r>
      <w:r w:rsidR="00AB1CAC">
        <w:rPr>
          <w:lang w:val="en-US"/>
        </w:rPr>
        <w:t>To</w:t>
      </w:r>
      <w:r w:rsidR="005D7FDC">
        <w:t>-</w:t>
      </w:r>
      <w:r w:rsidR="00AB1CAC">
        <w:rPr>
          <w:lang w:val="en-US"/>
        </w:rPr>
        <w:t>Book</w:t>
      </w:r>
      <w:r w:rsidR="00AB1CAC" w:rsidRPr="00AB1CAC">
        <w:t xml:space="preserve"> </w:t>
      </w:r>
      <w:r w:rsidR="00AB1CAC">
        <w:rPr>
          <w:lang w:val="en-US"/>
        </w:rPr>
        <w:t>Ratio</w:t>
      </w:r>
      <w:r w:rsidR="00AB1CAC" w:rsidRPr="00AB1CAC">
        <w:t xml:space="preserve"> </w:t>
      </w:r>
      <w:r w:rsidR="00AB1CAC">
        <w:t xml:space="preserve">на уровне значимости 10%, что говорит о том, что рынок положительно оценивает увеличение доли женщин в составе совета директоров, но это взаимосвязь выражена не так явно. Что требует развития исследований по данной проблематике в дальнейшем. </w:t>
      </w:r>
    </w:p>
    <w:p w14:paraId="7C6F0D31" w14:textId="5D666F10" w:rsidR="007C57F2" w:rsidRPr="00CD3D38" w:rsidRDefault="007C57F2" w:rsidP="00571ECA">
      <w:pPr>
        <w:spacing w:after="0"/>
        <w:jc w:val="center"/>
        <w:rPr>
          <w:i/>
          <w:iCs/>
        </w:rPr>
      </w:pPr>
      <w:r w:rsidRPr="00CD3D38">
        <w:rPr>
          <w:b/>
          <w:bCs/>
          <w:i/>
          <w:iCs/>
        </w:rPr>
        <w:t>Гипотеза 5.</w:t>
      </w:r>
      <w:r w:rsidRPr="00CD3D38">
        <w:rPr>
          <w:i/>
          <w:iCs/>
        </w:rPr>
        <w:t xml:space="preserve"> Существует </w:t>
      </w:r>
      <w:r w:rsidR="00AB1CAC">
        <w:rPr>
          <w:i/>
          <w:iCs/>
        </w:rPr>
        <w:t>прямая</w:t>
      </w:r>
      <w:r w:rsidRPr="00CD3D38">
        <w:rPr>
          <w:i/>
          <w:iCs/>
        </w:rPr>
        <w:t xml:space="preserve"> взаимосвязь между долей директоров, имеющих опыт службы в государственных органах власти, и финансовой результативностью публичных компаний с государственным участием</w:t>
      </w:r>
    </w:p>
    <w:p w14:paraId="72F0FEB1" w14:textId="64B5BBF0" w:rsidR="00607EE1" w:rsidRDefault="007C57F2" w:rsidP="0062070C">
      <w:pPr>
        <w:pStyle w:val="aff0"/>
      </w:pPr>
      <w:r>
        <w:t xml:space="preserve">Результаты регрессионного анализа позволили выявить значимую </w:t>
      </w:r>
      <w:r w:rsidR="00AB1CAC">
        <w:t>прямую</w:t>
      </w:r>
      <w:r>
        <w:t xml:space="preserve"> взаимосвязь между </w:t>
      </w:r>
      <w:r w:rsidR="00054494">
        <w:t xml:space="preserve">переменной </w:t>
      </w:r>
      <w:proofErr w:type="spellStart"/>
      <w:r w:rsidR="00054494" w:rsidRPr="0096090C">
        <w:rPr>
          <w:rFonts w:eastAsia="Times New Roman"/>
          <w:i/>
          <w:iCs/>
          <w:color w:val="333333"/>
          <w:lang w:eastAsia="ru-RU"/>
        </w:rPr>
        <w:t>Gov_ex</w:t>
      </w:r>
      <w:proofErr w:type="spellEnd"/>
      <w:r w:rsidR="00054494">
        <w:rPr>
          <w:rFonts w:eastAsia="Times New Roman"/>
          <w:i/>
          <w:iCs/>
          <w:color w:val="333333"/>
          <w:lang w:val="en-US" w:eastAsia="ru-RU"/>
        </w:rPr>
        <w:t>p</w:t>
      </w:r>
      <w:r w:rsidR="00054494" w:rsidRPr="00054494">
        <w:rPr>
          <w:rFonts w:eastAsia="Times New Roman"/>
          <w:color w:val="333333"/>
          <w:lang w:eastAsia="ru-RU"/>
        </w:rPr>
        <w:t xml:space="preserve">, </w:t>
      </w:r>
      <w:r w:rsidR="00054494">
        <w:rPr>
          <w:rFonts w:eastAsia="Times New Roman"/>
          <w:color w:val="333333"/>
          <w:lang w:eastAsia="ru-RU"/>
        </w:rPr>
        <w:t>характеризующей</w:t>
      </w:r>
      <w:r w:rsidR="00054494">
        <w:t xml:space="preserve"> </w:t>
      </w:r>
      <w:r>
        <w:t>дол</w:t>
      </w:r>
      <w:r w:rsidR="00054494">
        <w:t>ю</w:t>
      </w:r>
      <w:r>
        <w:t xml:space="preserve"> директоров с опытом работы в органах государственной власти</w:t>
      </w:r>
      <w:r w:rsidR="00054494">
        <w:t>,</w:t>
      </w:r>
      <w:r>
        <w:t xml:space="preserve"> и </w:t>
      </w:r>
      <w:r w:rsidR="00607EE1">
        <w:t xml:space="preserve">бухгалтерскими </w:t>
      </w:r>
      <w:r>
        <w:t xml:space="preserve">показателями рентабельности, что дает основания принять </w:t>
      </w:r>
      <w:r w:rsidR="001F2EF3">
        <w:t>Г</w:t>
      </w:r>
      <w:r>
        <w:t xml:space="preserve">ипотезу 5. </w:t>
      </w:r>
      <w:r w:rsidR="00054494">
        <w:t xml:space="preserve">Таким образом, при увеличении доли таких директоров бухгалтерские показатели будут </w:t>
      </w:r>
      <w:r w:rsidR="00607EE1">
        <w:t>расти</w:t>
      </w:r>
      <w:r w:rsidR="00054494">
        <w:t xml:space="preserve">. </w:t>
      </w:r>
      <w:r w:rsidR="002B1C40">
        <w:t>Это можно объяснить с точки зрения ресурсной концепции</w:t>
      </w:r>
      <w:r w:rsidR="00DB288D">
        <w:t xml:space="preserve">, ведь такие </w:t>
      </w:r>
      <w:r w:rsidR="00DB288D" w:rsidRPr="00A336EB">
        <w:t xml:space="preserve">директора </w:t>
      </w:r>
      <w:r w:rsidR="00DB288D">
        <w:t>имею прямые связи с государством и в большей степени осведомлены о функционировании национальной экономики, а значит привносят дополнительные конкурентные преимущества [</w:t>
      </w:r>
      <w:proofErr w:type="spellStart"/>
      <w:r w:rsidR="00DB288D" w:rsidRPr="003A10F7">
        <w:t>Zhang</w:t>
      </w:r>
      <w:proofErr w:type="spellEnd"/>
      <w:r w:rsidR="00DB288D" w:rsidRPr="003A10F7">
        <w:t xml:space="preserve">, </w:t>
      </w:r>
      <w:proofErr w:type="spellStart"/>
      <w:r w:rsidR="00DB288D" w:rsidRPr="003A10F7">
        <w:t>Truong</w:t>
      </w:r>
      <w:proofErr w:type="spellEnd"/>
      <w:r w:rsidR="00DB288D" w:rsidRPr="003A10F7">
        <w:t>, 2019]</w:t>
      </w:r>
      <w:r w:rsidR="00DB288D">
        <w:t xml:space="preserve">. </w:t>
      </w:r>
      <w:r w:rsidR="009D17D8">
        <w:t xml:space="preserve">Подобные результаты были получены в исследовании </w:t>
      </w:r>
      <w:r w:rsidR="009D17D8" w:rsidRPr="007972E4">
        <w:t>[</w:t>
      </w:r>
      <w:proofErr w:type="spellStart"/>
      <w:r w:rsidR="009D17D8" w:rsidRPr="007972E4">
        <w:t>Hillman</w:t>
      </w:r>
      <w:proofErr w:type="spellEnd"/>
      <w:r w:rsidR="009D17D8" w:rsidRPr="007972E4">
        <w:t>, 2005]</w:t>
      </w:r>
      <w:r w:rsidR="009D17D8">
        <w:t xml:space="preserve">, где автор отмечает, что положительная взаимосвязь наиболее выражена в отраслях, которые в большей степени </w:t>
      </w:r>
      <w:r w:rsidR="009D17D8">
        <w:lastRenderedPageBreak/>
        <w:t xml:space="preserve">регулируются государством. Ю. </w:t>
      </w:r>
      <w:proofErr w:type="spellStart"/>
      <w:r w:rsidR="009D17D8">
        <w:t>Дуляк</w:t>
      </w:r>
      <w:proofErr w:type="spellEnd"/>
      <w:r w:rsidR="009D17D8">
        <w:t xml:space="preserve"> отмечает преимущество политических связей у членов советов директоров в странах с развивающейся экономикой, так как это позволяет компаниям получать доступ к уникальным ресурсам в первую очередь </w:t>
      </w:r>
      <w:r w:rsidR="009D17D8" w:rsidRPr="009D17D8">
        <w:t>[</w:t>
      </w:r>
      <w:proofErr w:type="spellStart"/>
      <w:r w:rsidR="009D17D8">
        <w:t>Дуляк</w:t>
      </w:r>
      <w:proofErr w:type="spellEnd"/>
      <w:r w:rsidR="009D17D8">
        <w:t>, 2015</w:t>
      </w:r>
      <w:r w:rsidR="009D17D8" w:rsidRPr="009D17D8">
        <w:t>]</w:t>
      </w:r>
      <w:r w:rsidR="009D17D8">
        <w:t xml:space="preserve">. </w:t>
      </w:r>
      <w:r w:rsidR="00E667D2">
        <w:t>Однако, у</w:t>
      </w:r>
      <w:r w:rsidR="009D17D8">
        <w:t xml:space="preserve">величение таких директоров может негативно повлиять на рыночные показатели, </w:t>
      </w:r>
      <w:r w:rsidR="00F47977">
        <w:t xml:space="preserve">так как это может </w:t>
      </w:r>
      <w:r w:rsidR="002736D7">
        <w:t>с</w:t>
      </w:r>
      <w:r w:rsidR="00F47977">
        <w:t xml:space="preserve">формировать негативный образ у компании, ведь такие директора ассоциируются с бюрократией и коррупцией </w:t>
      </w:r>
      <w:r w:rsidR="00F47977" w:rsidRPr="00054494">
        <w:t>[</w:t>
      </w:r>
      <w:proofErr w:type="spellStart"/>
      <w:r w:rsidR="00F47977" w:rsidRPr="003A10F7">
        <w:t>Zhang</w:t>
      </w:r>
      <w:proofErr w:type="spellEnd"/>
      <w:r w:rsidR="00F47977" w:rsidRPr="003A10F7">
        <w:t xml:space="preserve">, </w:t>
      </w:r>
      <w:proofErr w:type="spellStart"/>
      <w:r w:rsidR="00F47977" w:rsidRPr="003A10F7">
        <w:t>Truong</w:t>
      </w:r>
      <w:proofErr w:type="spellEnd"/>
      <w:r w:rsidR="00F47977" w:rsidRPr="003A10F7">
        <w:t>, 2019</w:t>
      </w:r>
      <w:r w:rsidR="00F47977" w:rsidRPr="00054494">
        <w:t>]</w:t>
      </w:r>
      <w:r w:rsidR="00F47977">
        <w:t xml:space="preserve">. Однако, в данном исследовании выявить значимой взаимосвязи между долей директоров с опытом работы в органах государственной власти и рыночными показателями эффективности компании не удалось. </w:t>
      </w:r>
    </w:p>
    <w:p w14:paraId="574FAA23" w14:textId="0AFE8E27" w:rsidR="006833EB" w:rsidRPr="00CD3D38" w:rsidRDefault="006833EB" w:rsidP="00571ECA">
      <w:pPr>
        <w:spacing w:after="0"/>
        <w:jc w:val="center"/>
        <w:rPr>
          <w:i/>
          <w:iCs/>
        </w:rPr>
      </w:pPr>
      <w:r w:rsidRPr="00CD3D38">
        <w:rPr>
          <w:b/>
          <w:bCs/>
          <w:i/>
          <w:iCs/>
        </w:rPr>
        <w:t xml:space="preserve">Гипотеза </w:t>
      </w:r>
      <w:r w:rsidR="00F41A4A" w:rsidRPr="00CD3D38">
        <w:rPr>
          <w:b/>
          <w:bCs/>
          <w:i/>
          <w:iCs/>
        </w:rPr>
        <w:t xml:space="preserve">6. </w:t>
      </w:r>
      <w:r w:rsidR="00F41A4A">
        <w:rPr>
          <w:i/>
          <w:iCs/>
          <w:color w:val="000000" w:themeColor="text1"/>
        </w:rPr>
        <w:t>Существует о</w:t>
      </w:r>
      <w:r w:rsidRPr="00CD3D38">
        <w:rPr>
          <w:i/>
          <w:iCs/>
          <w:color w:val="000000" w:themeColor="text1"/>
        </w:rPr>
        <w:t xml:space="preserve">братная </w:t>
      </w:r>
      <w:r w:rsidRPr="00CD3D38">
        <w:rPr>
          <w:i/>
          <w:iCs/>
        </w:rPr>
        <w:t xml:space="preserve">взаимосвязь между «занятостью» членов совета директоров в других компаниях, и финансовой результативностью публичных компаний </w:t>
      </w:r>
      <w:r w:rsidRPr="00CD3D38">
        <w:rPr>
          <w:i/>
          <w:iCs/>
          <w:color w:val="000000" w:themeColor="text1"/>
        </w:rPr>
        <w:t>с государственным участием</w:t>
      </w:r>
    </w:p>
    <w:p w14:paraId="0BA56675" w14:textId="064A3AA4" w:rsidR="00460D27" w:rsidRDefault="006833EB" w:rsidP="0062070C">
      <w:pPr>
        <w:pStyle w:val="aff0"/>
        <w:rPr>
          <w:lang w:eastAsia="ru-RU"/>
        </w:rPr>
      </w:pPr>
      <w:r>
        <w:rPr>
          <w:color w:val="000000" w:themeColor="text1"/>
        </w:rPr>
        <w:t>Результаты регрессионного анализа не выявляли статистически значимой взаимосвязи между переменн</w:t>
      </w:r>
      <w:r w:rsidR="00F47977">
        <w:rPr>
          <w:color w:val="000000" w:themeColor="text1"/>
        </w:rPr>
        <w:t xml:space="preserve">ой, характеризующей </w:t>
      </w:r>
      <w:r>
        <w:rPr>
          <w:lang w:eastAsia="ru-RU"/>
        </w:rPr>
        <w:t>долю директоров, занимающих директорские позиции в других компаниях и показателями</w:t>
      </w:r>
      <w:r w:rsidR="00F47977">
        <w:rPr>
          <w:lang w:eastAsia="ru-RU"/>
        </w:rPr>
        <w:t xml:space="preserve"> финансовой результативности</w:t>
      </w:r>
      <w:r>
        <w:rPr>
          <w:lang w:eastAsia="ru-RU"/>
        </w:rPr>
        <w:t xml:space="preserve">. Следовательно, в данной работе нельзя ни принять, ни отвергнуть </w:t>
      </w:r>
      <w:r w:rsidR="001F2EF3">
        <w:rPr>
          <w:lang w:eastAsia="ru-RU"/>
        </w:rPr>
        <w:t>Г</w:t>
      </w:r>
      <w:r>
        <w:rPr>
          <w:lang w:eastAsia="ru-RU"/>
        </w:rPr>
        <w:t>ипотез</w:t>
      </w:r>
      <w:r w:rsidR="00F47977">
        <w:rPr>
          <w:lang w:eastAsia="ru-RU"/>
        </w:rPr>
        <w:t>у</w:t>
      </w:r>
      <w:r>
        <w:rPr>
          <w:lang w:eastAsia="ru-RU"/>
        </w:rPr>
        <w:t xml:space="preserve"> 6.</w:t>
      </w:r>
      <w:r w:rsidR="00CB7369">
        <w:rPr>
          <w:lang w:eastAsia="ru-RU"/>
        </w:rPr>
        <w:t xml:space="preserve"> </w:t>
      </w:r>
      <w:r w:rsidR="001F2EF3">
        <w:rPr>
          <w:lang w:eastAsia="ru-RU"/>
        </w:rPr>
        <w:t>Проблема «занятости» директорских позиций стала крайне актуальной в последнее время, однако исследователи не могут прийти к однозначным результатам, ввиду существования противоположных точек зрения – гипотезы занятости</w:t>
      </w:r>
      <w:r w:rsidR="005E240B">
        <w:rPr>
          <w:lang w:eastAsia="ru-RU"/>
        </w:rPr>
        <w:t>, согласно которой «занятые» директора исполняют свои обязанности не так эффективно, ввиду распылённости обязанностей в нескольких Советах, и гипотез</w:t>
      </w:r>
      <w:r w:rsidR="005D7FDC">
        <w:rPr>
          <w:lang w:eastAsia="ru-RU"/>
        </w:rPr>
        <w:t>ы</w:t>
      </w:r>
      <w:r w:rsidR="005E240B">
        <w:rPr>
          <w:lang w:eastAsia="ru-RU"/>
        </w:rPr>
        <w:t xml:space="preserve"> </w:t>
      </w:r>
      <w:r w:rsidR="001F2EF3">
        <w:rPr>
          <w:lang w:eastAsia="ru-RU"/>
        </w:rPr>
        <w:t>репутации</w:t>
      </w:r>
      <w:r w:rsidR="005E240B">
        <w:rPr>
          <w:lang w:eastAsia="ru-RU"/>
        </w:rPr>
        <w:t xml:space="preserve">, согласно которой директора, занимающие несколько директорских позиций, имеют высокую репутацию и воспринимаются как более эффективные. </w:t>
      </w:r>
    </w:p>
    <w:p w14:paraId="6BF667D9" w14:textId="77777777" w:rsidR="006833EB" w:rsidRPr="00CD3D38" w:rsidRDefault="006833EB" w:rsidP="00571ECA">
      <w:pPr>
        <w:spacing w:after="0"/>
        <w:jc w:val="center"/>
        <w:rPr>
          <w:i/>
          <w:iCs/>
        </w:rPr>
      </w:pPr>
      <w:r w:rsidRPr="00CD3D38">
        <w:rPr>
          <w:b/>
          <w:bCs/>
          <w:i/>
          <w:iCs/>
        </w:rPr>
        <w:t>Гипотеза 7.</w:t>
      </w:r>
      <w:r>
        <w:rPr>
          <w:i/>
          <w:iCs/>
        </w:rPr>
        <w:t xml:space="preserve"> </w:t>
      </w:r>
      <w:r w:rsidRPr="00CD3D38">
        <w:rPr>
          <w:i/>
          <w:iCs/>
        </w:rPr>
        <w:t>Существует положительная</w:t>
      </w:r>
      <w:r w:rsidRPr="00CD3D38">
        <w:rPr>
          <w:i/>
          <w:iCs/>
          <w:color w:val="000000" w:themeColor="text1"/>
        </w:rPr>
        <w:t xml:space="preserve"> </w:t>
      </w:r>
      <w:r w:rsidRPr="00CD3D38">
        <w:rPr>
          <w:i/>
          <w:iCs/>
        </w:rPr>
        <w:t xml:space="preserve">взаимосвязь между долей директоров, </w:t>
      </w:r>
      <w:r w:rsidRPr="00884BC9">
        <w:rPr>
          <w:i/>
          <w:iCs/>
        </w:rPr>
        <w:t>вовлеченных в экологическую и социальную деятельность</w:t>
      </w:r>
      <w:r w:rsidRPr="00CD3D38">
        <w:rPr>
          <w:i/>
          <w:iCs/>
        </w:rPr>
        <w:t xml:space="preserve">, и финансовой результативностью публичных компаний </w:t>
      </w:r>
      <w:r w:rsidRPr="00CD3D38">
        <w:rPr>
          <w:i/>
          <w:iCs/>
          <w:color w:val="000000" w:themeColor="text1"/>
        </w:rPr>
        <w:t>с государственным участием</w:t>
      </w:r>
    </w:p>
    <w:p w14:paraId="355FDB0B" w14:textId="569DF9D2" w:rsidR="00F47977" w:rsidRPr="00AB1CAC" w:rsidRDefault="006833EB" w:rsidP="0062070C">
      <w:pPr>
        <w:pStyle w:val="aff0"/>
        <w:rPr>
          <w:rFonts w:cs="Times New Roman"/>
          <w:szCs w:val="24"/>
        </w:rPr>
      </w:pPr>
      <w:r>
        <w:t xml:space="preserve">Регрессионный анализ также не позволил выявить значимую взаимосвязь между переменной </w:t>
      </w:r>
      <w:r w:rsidRPr="006833EB">
        <w:rPr>
          <w:i/>
          <w:iCs/>
          <w:lang w:val="en-US"/>
        </w:rPr>
        <w:t>ES</w:t>
      </w:r>
      <w:r w:rsidRPr="006833EB">
        <w:rPr>
          <w:i/>
          <w:iCs/>
        </w:rPr>
        <w:t>_</w:t>
      </w:r>
      <w:r w:rsidRPr="006833EB">
        <w:rPr>
          <w:i/>
          <w:iCs/>
          <w:lang w:val="en-US"/>
        </w:rPr>
        <w:t>factor</w:t>
      </w:r>
      <w:r>
        <w:t>, характеризующей долю директоров, вовлеченных в деятельность экологических и социальных некоммерческих организациях</w:t>
      </w:r>
      <w:r w:rsidR="00312BD5">
        <w:t xml:space="preserve">, и показателями финансовой результативности. Из чего следует, что </w:t>
      </w:r>
      <w:r w:rsidR="001F2EF3">
        <w:t>Г</w:t>
      </w:r>
      <w:r w:rsidR="00312BD5">
        <w:t xml:space="preserve">ипотеза 7 ни принимается, ни отклоняется в данном исследовании. Это может быть связано с тем, что большинство компаний до сих пор раскрывают корпоративную информацию в минимальном объеме, а об участии членов совета директоров в некоммерческих организациях информируют только самые крупные компании. </w:t>
      </w:r>
      <w:r w:rsidR="002F0925">
        <w:t xml:space="preserve">Более того, в России </w:t>
      </w:r>
      <w:r w:rsidR="002F0925">
        <w:rPr>
          <w:lang w:val="en-US"/>
        </w:rPr>
        <w:t>ESG</w:t>
      </w:r>
      <w:r w:rsidR="002F0925" w:rsidRPr="002F0925">
        <w:t>-</w:t>
      </w:r>
      <w:r w:rsidR="002F0925">
        <w:t xml:space="preserve">повестка стала актуальна не так давно и еще не многие оценили ее значимость на российском рынке. </w:t>
      </w:r>
      <w:r w:rsidR="001F2EF3">
        <w:t>Тем не менее, уже м</w:t>
      </w:r>
      <w:r w:rsidR="002F0925">
        <w:t xml:space="preserve">ногие исследователи </w:t>
      </w:r>
      <w:r w:rsidR="002F0925">
        <w:lastRenderedPageBreak/>
        <w:t xml:space="preserve">смогли доказать положительную взаимосвязь между раскрытием </w:t>
      </w:r>
      <w:r w:rsidR="002F0925">
        <w:rPr>
          <w:lang w:val="en-US"/>
        </w:rPr>
        <w:t>ESG</w:t>
      </w:r>
      <w:r w:rsidR="002F0925" w:rsidRPr="002F0925">
        <w:t>-</w:t>
      </w:r>
      <w:r w:rsidR="002F0925">
        <w:t xml:space="preserve">информации, соблюдением принципов устойчивого развития и финансовыми показателями </w:t>
      </w:r>
      <w:r w:rsidR="002F0925" w:rsidRPr="002F0925">
        <w:t>[</w:t>
      </w:r>
      <w:proofErr w:type="spellStart"/>
      <w:r w:rsidR="002F0925">
        <w:t>Батаева</w:t>
      </w:r>
      <w:proofErr w:type="spellEnd"/>
      <w:r w:rsidR="002F0925">
        <w:t>, Кокурина, Карпов, 2021</w:t>
      </w:r>
      <w:r w:rsidR="002F0925" w:rsidRPr="002F0925">
        <w:t xml:space="preserve">; </w:t>
      </w:r>
      <w:proofErr w:type="spellStart"/>
      <w:r w:rsidR="002F0925">
        <w:t>Кузубов</w:t>
      </w:r>
      <w:proofErr w:type="spellEnd"/>
      <w:r w:rsidR="002F0925">
        <w:t>, Евдокимова, 2017</w:t>
      </w:r>
      <w:r w:rsidR="002F0925" w:rsidRPr="002F0925">
        <w:t xml:space="preserve">]. </w:t>
      </w:r>
      <w:r w:rsidR="002F0925">
        <w:t xml:space="preserve">Однако, научных работ о том, как и в какой степени на эффективность деятельности влияют личные характеристики членов советов директоров в сфере устойчивого развития, проведено не было. </w:t>
      </w:r>
      <w:r w:rsidR="00F47977">
        <w:t xml:space="preserve">Тем не менее, </w:t>
      </w:r>
      <w:r w:rsidR="00F47977">
        <w:rPr>
          <w:rFonts w:cs="Times New Roman"/>
          <w:szCs w:val="24"/>
        </w:rPr>
        <w:t xml:space="preserve">доля таких директоров имеет положительную взаимосвязь с показателем </w:t>
      </w:r>
      <w:r w:rsidR="00F47977">
        <w:rPr>
          <w:rFonts w:cs="Times New Roman"/>
          <w:szCs w:val="24"/>
          <w:lang w:val="en-US"/>
        </w:rPr>
        <w:t>Market</w:t>
      </w:r>
      <w:r w:rsidR="00F47977" w:rsidRPr="00AB1CAC">
        <w:rPr>
          <w:rFonts w:cs="Times New Roman"/>
          <w:szCs w:val="24"/>
        </w:rPr>
        <w:t>-</w:t>
      </w:r>
      <w:r w:rsidR="00F47977">
        <w:rPr>
          <w:rFonts w:cs="Times New Roman"/>
          <w:szCs w:val="24"/>
          <w:lang w:val="en-US"/>
        </w:rPr>
        <w:t>To</w:t>
      </w:r>
      <w:r w:rsidR="00B458C4">
        <w:rPr>
          <w:rFonts w:cs="Times New Roman"/>
          <w:szCs w:val="24"/>
        </w:rPr>
        <w:t>-</w:t>
      </w:r>
      <w:r w:rsidR="00F47977">
        <w:rPr>
          <w:rFonts w:cs="Times New Roman"/>
          <w:szCs w:val="24"/>
          <w:lang w:val="en-US"/>
        </w:rPr>
        <w:t>Book</w:t>
      </w:r>
      <w:r w:rsidR="00F47977" w:rsidRPr="00AB1CAC">
        <w:rPr>
          <w:rFonts w:cs="Times New Roman"/>
          <w:szCs w:val="24"/>
        </w:rPr>
        <w:t xml:space="preserve"> </w:t>
      </w:r>
      <w:r w:rsidR="00F47977">
        <w:rPr>
          <w:rFonts w:cs="Times New Roman"/>
          <w:szCs w:val="24"/>
          <w:lang w:val="en-US"/>
        </w:rPr>
        <w:t>Ratio</w:t>
      </w:r>
      <w:r w:rsidR="00F47977" w:rsidRPr="00AB1CAC">
        <w:rPr>
          <w:rFonts w:cs="Times New Roman"/>
          <w:szCs w:val="24"/>
        </w:rPr>
        <w:t xml:space="preserve"> </w:t>
      </w:r>
      <w:r w:rsidR="00F47977">
        <w:rPr>
          <w:rFonts w:cs="Times New Roman"/>
          <w:szCs w:val="24"/>
        </w:rPr>
        <w:t xml:space="preserve">на уровне значимости 10%, что говорит о том, что рынок положительно оценивает увеличение доли директоров, вовлеченных в деятельность экологических и социальных некоммерческих организаций, но это взаимосвязь выражена не так явно. </w:t>
      </w:r>
      <w:r w:rsidR="00F47977">
        <w:t xml:space="preserve">Однако с учетом активного развития и внедрения </w:t>
      </w:r>
      <w:r w:rsidR="00F47977">
        <w:rPr>
          <w:lang w:val="en-US"/>
        </w:rPr>
        <w:t>ESG</w:t>
      </w:r>
      <w:r w:rsidR="00F47977">
        <w:t xml:space="preserve"> во всех сферах общества, можно предположить, что в будущем при более полном раскрытии информации, вовлеченность членов совета директов в экологическую и социальную деятельность будет в большей степени влиять на эффективность работы компании и на ее долгосрочное развитие.</w:t>
      </w:r>
    </w:p>
    <w:p w14:paraId="53EE9DF3" w14:textId="38957856" w:rsidR="004E58FA" w:rsidRPr="00E5515D" w:rsidRDefault="000F7C88" w:rsidP="0062070C">
      <w:pPr>
        <w:pStyle w:val="aff0"/>
        <w:rPr>
          <w:bCs/>
          <w:spacing w:val="2"/>
        </w:rPr>
      </w:pPr>
      <w:r>
        <w:t xml:space="preserve">Таким образом, необходимо рассмотреть принятые в исследовании гипотезы в качестве рекомендаций российским публичным компаниям с государственным участием в структуре собственности по формированию наиболее эффективного совета директоров, </w:t>
      </w:r>
      <w:r w:rsidRPr="00B2759C">
        <w:rPr>
          <w:bCs/>
          <w:spacing w:val="2"/>
        </w:rPr>
        <w:t xml:space="preserve">который своими решениями </w:t>
      </w:r>
      <w:r>
        <w:rPr>
          <w:bCs/>
          <w:spacing w:val="2"/>
        </w:rPr>
        <w:t xml:space="preserve">будет способствовать </w:t>
      </w:r>
      <w:r w:rsidRPr="00B2759C">
        <w:rPr>
          <w:bCs/>
          <w:spacing w:val="2"/>
        </w:rPr>
        <w:t>достижению лучших финансовых</w:t>
      </w:r>
      <w:r>
        <w:rPr>
          <w:bCs/>
          <w:spacing w:val="2"/>
        </w:rPr>
        <w:t xml:space="preserve"> показателей и максимизировать благосостояние акционеров. </w:t>
      </w:r>
      <w:r w:rsidRPr="00B2759C">
        <w:rPr>
          <w:bCs/>
          <w:spacing w:val="2"/>
        </w:rPr>
        <w:t xml:space="preserve"> </w:t>
      </w:r>
      <w:r w:rsidRPr="002A6D7B">
        <w:t>На основ</w:t>
      </w:r>
      <w:r w:rsidR="005D7FDC">
        <w:t>ании</w:t>
      </w:r>
      <w:r w:rsidRPr="002A6D7B">
        <w:t xml:space="preserve"> результатов проведенного исследования можно заключить, что таким компаниям стоит уделить пристальное внимание размеру совета директоров</w:t>
      </w:r>
      <w:r w:rsidR="00925B3E">
        <w:t xml:space="preserve">, количеству независимых директоров и </w:t>
      </w:r>
      <w:r w:rsidR="005D7FDC">
        <w:t xml:space="preserve">количеству </w:t>
      </w:r>
      <w:r w:rsidRPr="002A6D7B">
        <w:t>директоров, имеющих опыт работы в государственных органах</w:t>
      </w:r>
      <w:r w:rsidR="005D7FDC">
        <w:t xml:space="preserve"> власти</w:t>
      </w:r>
      <w:r w:rsidRPr="002A6D7B">
        <w:t>.</w:t>
      </w:r>
      <w:r>
        <w:t xml:space="preserve"> </w:t>
      </w:r>
    </w:p>
    <w:p w14:paraId="48039B9E" w14:textId="6D666DD7" w:rsidR="000F7C88" w:rsidRDefault="002726AF" w:rsidP="0062070C">
      <w:pPr>
        <w:pStyle w:val="aff0"/>
      </w:pPr>
      <w:r>
        <w:t>Российским публичным компаниям с государственным участием рекомендуется придерживаться крупных или небольших по размеру советов директоров, так как в данном исследовании была выявлена нелинейная (квадратичная) взаимосвязь с</w:t>
      </w:r>
      <w:r w:rsidR="00925B3E">
        <w:t xml:space="preserve"> рыночным показателем </w:t>
      </w:r>
      <w:r w:rsidR="00925B3E">
        <w:rPr>
          <w:lang w:val="en-US"/>
        </w:rPr>
        <w:t>Market</w:t>
      </w:r>
      <w:r w:rsidR="00925B3E" w:rsidRPr="00925B3E">
        <w:t>-</w:t>
      </w:r>
      <w:r w:rsidR="00925B3E">
        <w:rPr>
          <w:lang w:val="en-US"/>
        </w:rPr>
        <w:t>to</w:t>
      </w:r>
      <w:r w:rsidR="00925B3E" w:rsidRPr="00925B3E">
        <w:t>-</w:t>
      </w:r>
      <w:r w:rsidR="00925B3E">
        <w:rPr>
          <w:lang w:val="en-US"/>
        </w:rPr>
        <w:t>Book</w:t>
      </w:r>
      <w:r w:rsidR="00925B3E" w:rsidRPr="00925B3E">
        <w:t xml:space="preserve"> </w:t>
      </w:r>
      <w:r w:rsidR="00925B3E">
        <w:rPr>
          <w:lang w:val="en-US"/>
        </w:rPr>
        <w:t>Ratio</w:t>
      </w:r>
      <w:r>
        <w:t xml:space="preserve">. Средний размер совета директоров, равный 11 человек, будет не таким эффективными, как совет директоров, состоящий из 5 или 15 человек. При среднем совете директоров </w:t>
      </w:r>
      <w:r w:rsidR="00B12A36">
        <w:t xml:space="preserve">соотношение рыночной капитализации к балансовой стоимости собственного капитала </w:t>
      </w:r>
      <w:r>
        <w:t>буд</w:t>
      </w:r>
      <w:r w:rsidR="00B12A36">
        <w:t>ет</w:t>
      </w:r>
      <w:r>
        <w:t xml:space="preserve"> минимальным</w:t>
      </w:r>
      <w:r w:rsidR="00CC0E33">
        <w:t xml:space="preserve">. </w:t>
      </w:r>
      <w:r>
        <w:t>Малые и крупные советы директоров имеют свои преимущества: в малых по размеру Советах лучше происходит коммуникация между его членами, возникает меньше конфликтов, решения принимаются быстрее и эффективнее. Кроме того, небольшие совет</w:t>
      </w:r>
      <w:r w:rsidR="00CC0E33">
        <w:t>ы</w:t>
      </w:r>
      <w:r>
        <w:t xml:space="preserve"> директоров лучше выполняют функцию мониторинга, лучше посещают заседания и не избегают выполнения обязанностей. В многочисленных советах директоров больше членов с необходимыми для компании связями и ресурсами, которые позвол</w:t>
      </w:r>
      <w:r w:rsidR="005656F8">
        <w:t>яют находить</w:t>
      </w:r>
      <w:r>
        <w:t xml:space="preserve"> более эффективн</w:t>
      </w:r>
      <w:r w:rsidR="00BF76B3">
        <w:t>ы</w:t>
      </w:r>
      <w:r>
        <w:t>е решения. Большие по размеру Советы характеризуются более обильным обменом информации и</w:t>
      </w:r>
      <w:r w:rsidR="004112B2">
        <w:t xml:space="preserve"> мнений, что </w:t>
      </w:r>
      <w:r w:rsidR="004112B2">
        <w:lastRenderedPageBreak/>
        <w:t>может способствовать более качественной и продуктивной работе, нахождению наиболее рациональных решений в пользу благосостояния акционеров. Компаниям, которые не изменяют размер совета директоров, оставляя его на среднем уровне, стоит задуматься об увеличении или снижении количества членов, что позволит у</w:t>
      </w:r>
      <w:r w:rsidR="00FB5F04">
        <w:t>лучшить</w:t>
      </w:r>
      <w:r w:rsidR="004112B2">
        <w:t xml:space="preserve"> финансовые показатели компании. </w:t>
      </w:r>
    </w:p>
    <w:p w14:paraId="72C5C415" w14:textId="136B09E9" w:rsidR="00925B3E" w:rsidRDefault="00925B3E" w:rsidP="0062070C">
      <w:pPr>
        <w:pStyle w:val="aff0"/>
      </w:pPr>
      <w:r>
        <w:t>Российским публичным компаниям с государственным участием стоит включать больше независимых директоров в состав советов директоров, так как результаты регрессионного анализа позволили выявить значимую прямую взаимосвязь между долей независимых директоров и как бухгалтерскими, так и рыночными показател</w:t>
      </w:r>
      <w:r w:rsidR="003F7289">
        <w:t>ями</w:t>
      </w:r>
      <w:r>
        <w:t xml:space="preserve"> эффективности деятельности компании. </w:t>
      </w:r>
      <w:r w:rsidR="006813A6">
        <w:t xml:space="preserve">Таким образом, увеличение количества таких директоров приведет к </w:t>
      </w:r>
      <w:r>
        <w:t xml:space="preserve">росту </w:t>
      </w:r>
      <w:r w:rsidR="00B12A36">
        <w:t>эффективности использования вложенных ресурсов через</w:t>
      </w:r>
      <w:r w:rsidR="005042B8">
        <w:t xml:space="preserve"> увеличение</w:t>
      </w:r>
      <w:r w:rsidR="00B12A36">
        <w:t xml:space="preserve"> </w:t>
      </w:r>
      <w:r w:rsidR="006813A6">
        <w:t>показателей рентабельности</w:t>
      </w:r>
      <w:r>
        <w:t xml:space="preserve"> компании и </w:t>
      </w:r>
      <w:r w:rsidR="005042B8">
        <w:t>к</w:t>
      </w:r>
      <w:r w:rsidR="005042B8" w:rsidRPr="005042B8">
        <w:t xml:space="preserve"> росту</w:t>
      </w:r>
      <w:r w:rsidR="00B12A36" w:rsidRPr="005042B8">
        <w:t xml:space="preserve"> благосостояния акционеров через повышение рыночной стоимости собственного капитала.</w:t>
      </w:r>
      <w:r w:rsidR="005042B8">
        <w:t xml:space="preserve"> </w:t>
      </w:r>
      <w:r>
        <w:t>Компаниям с государственным участием следует придерживаться рекомендаций Кодекса корпоративного управления о минимальной доли неза</w:t>
      </w:r>
      <w:r w:rsidR="00123586">
        <w:t xml:space="preserve">висимых директоров. Тем не менее, слишком большое количество независимых директоров может негативно повлиять на эффективность компании </w:t>
      </w:r>
      <w:r w:rsidR="00123586" w:rsidRPr="008D7306">
        <w:rPr>
          <w:rFonts w:cs="Times New Roman"/>
          <w:szCs w:val="24"/>
        </w:rPr>
        <w:t>[</w:t>
      </w:r>
      <w:proofErr w:type="spellStart"/>
      <w:r w:rsidR="00123586" w:rsidRPr="008D7306">
        <w:rPr>
          <w:rFonts w:cs="Times New Roman"/>
          <w:szCs w:val="24"/>
        </w:rPr>
        <w:t>Merendino</w:t>
      </w:r>
      <w:proofErr w:type="spellEnd"/>
      <w:r w:rsidR="00123586" w:rsidRPr="008D7306">
        <w:rPr>
          <w:rFonts w:cs="Times New Roman"/>
          <w:szCs w:val="24"/>
        </w:rPr>
        <w:t xml:space="preserve">, </w:t>
      </w:r>
      <w:proofErr w:type="spellStart"/>
      <w:r w:rsidR="00123586" w:rsidRPr="008D7306">
        <w:rPr>
          <w:rFonts w:cs="Times New Roman"/>
          <w:szCs w:val="24"/>
        </w:rPr>
        <w:t>Melville</w:t>
      </w:r>
      <w:proofErr w:type="spellEnd"/>
      <w:r w:rsidR="00123586" w:rsidRPr="008D7306">
        <w:rPr>
          <w:rFonts w:cs="Times New Roman"/>
          <w:szCs w:val="24"/>
        </w:rPr>
        <w:t>, 2019]</w:t>
      </w:r>
      <w:r w:rsidR="00123586">
        <w:rPr>
          <w:rFonts w:cs="Times New Roman"/>
          <w:szCs w:val="24"/>
        </w:rPr>
        <w:t xml:space="preserve">, ввиду того, что такие директора, в отличии от исполнительных, имеют слабое </w:t>
      </w:r>
      <w:r w:rsidR="00123586" w:rsidRPr="0049057A">
        <w:rPr>
          <w:rFonts w:cs="Times New Roman"/>
          <w:szCs w:val="24"/>
        </w:rPr>
        <w:t xml:space="preserve">представление о результатах деятельности компании, </w:t>
      </w:r>
      <w:r w:rsidR="00123586">
        <w:rPr>
          <w:rFonts w:cs="Times New Roman"/>
          <w:szCs w:val="24"/>
        </w:rPr>
        <w:t xml:space="preserve">не </w:t>
      </w:r>
      <w:r w:rsidR="00123586" w:rsidRPr="0049057A">
        <w:rPr>
          <w:rFonts w:cs="Times New Roman"/>
          <w:szCs w:val="24"/>
        </w:rPr>
        <w:t>знаю</w:t>
      </w:r>
      <w:r w:rsidR="00123586">
        <w:rPr>
          <w:rFonts w:cs="Times New Roman"/>
          <w:szCs w:val="24"/>
        </w:rPr>
        <w:t>т</w:t>
      </w:r>
      <w:r w:rsidR="00123586" w:rsidRPr="0049057A">
        <w:rPr>
          <w:rFonts w:cs="Times New Roman"/>
          <w:szCs w:val="24"/>
        </w:rPr>
        <w:t xml:space="preserve"> ее специфику и </w:t>
      </w:r>
      <w:r w:rsidR="00123586">
        <w:rPr>
          <w:rFonts w:cs="Times New Roman"/>
          <w:szCs w:val="24"/>
        </w:rPr>
        <w:t xml:space="preserve">не </w:t>
      </w:r>
      <w:r w:rsidR="00123586" w:rsidRPr="0049057A">
        <w:rPr>
          <w:rFonts w:cs="Times New Roman"/>
          <w:szCs w:val="24"/>
        </w:rPr>
        <w:t>осведомлены о существующих рисках</w:t>
      </w:r>
      <w:r w:rsidR="00123586">
        <w:rPr>
          <w:rFonts w:cs="Times New Roman"/>
          <w:szCs w:val="24"/>
        </w:rPr>
        <w:t xml:space="preserve">. Однако, согласно агентской и ресурсной теории, независимые директора лучше осуществляют функцию мониторинга и привносят ценные ресурсы в компанию. </w:t>
      </w:r>
    </w:p>
    <w:p w14:paraId="1F1C7FEF" w14:textId="186E220C" w:rsidR="00120C0C" w:rsidRPr="005A57B0" w:rsidRDefault="006813A6" w:rsidP="0062070C">
      <w:pPr>
        <w:pStyle w:val="aff0"/>
      </w:pPr>
      <w:r>
        <w:t xml:space="preserve">Акционерам компаний </w:t>
      </w:r>
      <w:r w:rsidR="00F2167D">
        <w:t xml:space="preserve">с государственным участием </w:t>
      </w:r>
      <w:r w:rsidR="005D7FDC">
        <w:t xml:space="preserve">более </w:t>
      </w:r>
      <w:r>
        <w:t xml:space="preserve">разумно будет </w:t>
      </w:r>
      <w:r w:rsidR="00F2167D">
        <w:t xml:space="preserve">увеличивать </w:t>
      </w:r>
      <w:r>
        <w:t xml:space="preserve">долю </w:t>
      </w:r>
      <w:r w:rsidR="00F2167D">
        <w:t>директоров с опытом работы в органах государственных власти</w:t>
      </w:r>
      <w:r>
        <w:t xml:space="preserve">, так как </w:t>
      </w:r>
      <w:r w:rsidR="00120C0C">
        <w:t xml:space="preserve">результаты регрессионного анализа позволяют сделать вывод о наличии положительной взаимосвязи между долей таких директоров и бухгалтерскими показателями результативности. Ряд </w:t>
      </w:r>
      <w:r>
        <w:t>исследовател</w:t>
      </w:r>
      <w:r w:rsidR="00120C0C">
        <w:t>ей также</w:t>
      </w:r>
      <w:r>
        <w:t xml:space="preserve"> придержива</w:t>
      </w:r>
      <w:r w:rsidR="00120C0C">
        <w:t>е</w:t>
      </w:r>
      <w:r>
        <w:t xml:space="preserve">тся мнения об их </w:t>
      </w:r>
      <w:r w:rsidR="00F2167D">
        <w:t>э</w:t>
      </w:r>
      <w:r>
        <w:t>ффективности в качестве членов наблюдательного совета</w:t>
      </w:r>
      <w:r w:rsidR="00F2167D">
        <w:t xml:space="preserve"> </w:t>
      </w:r>
      <w:r w:rsidR="00F2167D" w:rsidRPr="00F2167D">
        <w:t>[</w:t>
      </w:r>
      <w:proofErr w:type="spellStart"/>
      <w:r w:rsidR="00F2167D" w:rsidRPr="007972E4">
        <w:rPr>
          <w:rFonts w:cs="Times New Roman"/>
          <w:szCs w:val="24"/>
        </w:rPr>
        <w:t>Hillman</w:t>
      </w:r>
      <w:proofErr w:type="spellEnd"/>
      <w:r w:rsidR="00F2167D" w:rsidRPr="007972E4">
        <w:rPr>
          <w:rFonts w:cs="Times New Roman"/>
          <w:szCs w:val="24"/>
        </w:rPr>
        <w:t>, 2005</w:t>
      </w:r>
      <w:r w:rsidR="00F2167D" w:rsidRPr="00F2167D">
        <w:rPr>
          <w:rFonts w:cs="Times New Roman"/>
          <w:szCs w:val="24"/>
        </w:rPr>
        <w:t>]</w:t>
      </w:r>
      <w:r>
        <w:t xml:space="preserve">. </w:t>
      </w:r>
      <w:r w:rsidR="00120C0C">
        <w:t xml:space="preserve">Несмотря на то, что рынок не видит особых преимуществ во включении бывших государственных служителей </w:t>
      </w:r>
      <w:r w:rsidR="005A57B0">
        <w:t xml:space="preserve">в совет директоров компаний с государственным участием, так как такие директора </w:t>
      </w:r>
      <w:r w:rsidR="005A57B0">
        <w:rPr>
          <w:rFonts w:cs="Times New Roman"/>
          <w:szCs w:val="24"/>
        </w:rPr>
        <w:t xml:space="preserve">могут ассоциироваться с бюрократией и коррупцией, и иметь более консервативные взгляды, такие директора имеют ценные связи с государством, что особенно важно в странах с развивающейся экономикой </w:t>
      </w:r>
      <w:r w:rsidR="005A57B0" w:rsidRPr="005A57B0">
        <w:rPr>
          <w:rFonts w:cs="Times New Roman"/>
          <w:szCs w:val="24"/>
        </w:rPr>
        <w:t>[</w:t>
      </w:r>
      <w:proofErr w:type="spellStart"/>
      <w:r w:rsidR="005A57B0">
        <w:rPr>
          <w:rFonts w:cs="Times New Roman"/>
          <w:szCs w:val="24"/>
        </w:rPr>
        <w:t>Дуляк</w:t>
      </w:r>
      <w:proofErr w:type="spellEnd"/>
      <w:r w:rsidR="005A57B0">
        <w:rPr>
          <w:rFonts w:cs="Times New Roman"/>
          <w:szCs w:val="24"/>
        </w:rPr>
        <w:t>,</w:t>
      </w:r>
      <w:r w:rsidR="005A57B0" w:rsidRPr="005A57B0">
        <w:rPr>
          <w:rFonts w:cs="Times New Roman"/>
          <w:szCs w:val="24"/>
        </w:rPr>
        <w:t xml:space="preserve"> </w:t>
      </w:r>
      <w:r w:rsidR="005A57B0">
        <w:rPr>
          <w:rFonts w:cs="Times New Roman"/>
          <w:szCs w:val="24"/>
        </w:rPr>
        <w:t>2</w:t>
      </w:r>
      <w:r w:rsidR="005A57B0" w:rsidRPr="005A57B0">
        <w:rPr>
          <w:rFonts w:cs="Times New Roman"/>
          <w:szCs w:val="24"/>
        </w:rPr>
        <w:t>015]</w:t>
      </w:r>
      <w:r w:rsidR="005A57B0">
        <w:rPr>
          <w:rFonts w:cs="Times New Roman"/>
          <w:szCs w:val="24"/>
        </w:rPr>
        <w:t xml:space="preserve">. То есть директора с опытом работы в органах власти могут быть ценными членами Совета с точки зрения ресурсной концепции и привносить в компанию дополнительные конкурентные преимущества, более того, они в </w:t>
      </w:r>
      <w:r w:rsidR="005A57B0">
        <w:rPr>
          <w:rFonts w:cs="Times New Roman"/>
          <w:szCs w:val="24"/>
        </w:rPr>
        <w:lastRenderedPageBreak/>
        <w:t>большей степени осведомлены о функционировании национальной экономики [</w:t>
      </w:r>
      <w:proofErr w:type="spellStart"/>
      <w:r w:rsidR="005A57B0" w:rsidRPr="003A10F7">
        <w:rPr>
          <w:rFonts w:cs="Times New Roman"/>
          <w:szCs w:val="24"/>
        </w:rPr>
        <w:t>Zhang</w:t>
      </w:r>
      <w:proofErr w:type="spellEnd"/>
      <w:r w:rsidR="005A57B0" w:rsidRPr="003A10F7">
        <w:rPr>
          <w:rFonts w:cs="Times New Roman"/>
          <w:szCs w:val="24"/>
        </w:rPr>
        <w:t xml:space="preserve">, </w:t>
      </w:r>
      <w:proofErr w:type="spellStart"/>
      <w:r w:rsidR="005A57B0" w:rsidRPr="003A10F7">
        <w:rPr>
          <w:rFonts w:cs="Times New Roman"/>
          <w:szCs w:val="24"/>
        </w:rPr>
        <w:t>Truong</w:t>
      </w:r>
      <w:proofErr w:type="spellEnd"/>
      <w:r w:rsidR="005A57B0" w:rsidRPr="003A10F7">
        <w:rPr>
          <w:rFonts w:cs="Times New Roman"/>
          <w:szCs w:val="24"/>
        </w:rPr>
        <w:t>, 2019]</w:t>
      </w:r>
      <w:r w:rsidR="005A57B0">
        <w:rPr>
          <w:rFonts w:cs="Times New Roman"/>
          <w:szCs w:val="24"/>
        </w:rPr>
        <w:t xml:space="preserve">. </w:t>
      </w:r>
    </w:p>
    <w:p w14:paraId="0DDC6A11" w14:textId="77777777" w:rsidR="00120C0C" w:rsidRDefault="00120C0C" w:rsidP="00925B3E">
      <w:pPr>
        <w:ind w:firstLine="708"/>
      </w:pPr>
    </w:p>
    <w:p w14:paraId="427ED39E" w14:textId="77777777" w:rsidR="000B08C1" w:rsidRDefault="000B08C1" w:rsidP="000B08C1">
      <w:pPr>
        <w:ind w:firstLine="708"/>
      </w:pPr>
    </w:p>
    <w:p w14:paraId="77A15D2F" w14:textId="538CCA1B" w:rsidR="00312BD5" w:rsidRDefault="00312BD5" w:rsidP="000B08C1">
      <w:pPr>
        <w:pStyle w:val="1"/>
      </w:pPr>
      <w:bookmarkStart w:id="106" w:name="_Toc136001553"/>
      <w:r w:rsidRPr="00B31FD4">
        <w:lastRenderedPageBreak/>
        <w:t>Заключение</w:t>
      </w:r>
      <w:bookmarkEnd w:id="106"/>
    </w:p>
    <w:p w14:paraId="4CFC0DFA" w14:textId="5A11BE25" w:rsidR="004E58FA" w:rsidRDefault="004E58FA" w:rsidP="0062070C">
      <w:pPr>
        <w:pStyle w:val="aff0"/>
      </w:pPr>
      <w:r>
        <w:rPr>
          <w:rFonts w:cs="Times New Roman"/>
          <w:szCs w:val="24"/>
          <w:lang w:eastAsia="ru-RU"/>
        </w:rPr>
        <w:t xml:space="preserve">Целью данного исследования было выявление </w:t>
      </w:r>
      <w:r>
        <w:t xml:space="preserve">взаимосвязи между характеристиками совета директоров и финансовой результативностью российских компаний с государственным участием. </w:t>
      </w:r>
    </w:p>
    <w:p w14:paraId="33E6B1C9" w14:textId="69CADC5E" w:rsidR="004E58FA" w:rsidRDefault="004E58FA" w:rsidP="0062070C">
      <w:pPr>
        <w:pStyle w:val="aff0"/>
      </w:pPr>
      <w:r>
        <w:t xml:space="preserve">Для достижения поставленной цели был выполнен ряд задач. В первой главе </w:t>
      </w:r>
      <w:r w:rsidR="000B531E">
        <w:t xml:space="preserve">была собрана информация </w:t>
      </w:r>
      <w:r w:rsidR="00833091">
        <w:t>п</w:t>
      </w:r>
      <w:r w:rsidR="000B531E">
        <w:t xml:space="preserve">о проблематике корпоративного управления и рассмотрены основные теории, связанные с институтом совета директоров. Были выделены особенности российских компаний с государственным участием и проанализирована роль центрального управляющего органа – совета директоров в таких компаниях. Кроме того, были обобщены основные изменения </w:t>
      </w:r>
      <w:r w:rsidR="00833091">
        <w:t xml:space="preserve">за последние годы </w:t>
      </w:r>
      <w:r w:rsidR="000B531E">
        <w:t xml:space="preserve">в </w:t>
      </w:r>
      <w:r w:rsidR="00833091">
        <w:t xml:space="preserve">структуре </w:t>
      </w:r>
      <w:r w:rsidR="000B531E">
        <w:t>советов директоров</w:t>
      </w:r>
      <w:r w:rsidR="00833091">
        <w:t xml:space="preserve"> российских компаний</w:t>
      </w:r>
      <w:r w:rsidR="000B531E">
        <w:t xml:space="preserve">. </w:t>
      </w:r>
    </w:p>
    <w:p w14:paraId="4EBB0F49" w14:textId="3D003182" w:rsidR="004E58FA" w:rsidRDefault="004E58FA" w:rsidP="0062070C">
      <w:pPr>
        <w:pStyle w:val="aff0"/>
      </w:pPr>
      <w:r>
        <w:t xml:space="preserve">Во второй главе данной работы определены основные финансовые показатели деятельности компаний, проведен анализ существующей литературы, посвященной выявлению взаимосвязи между характеристиками совета директоров и финансовой результативностью российских и зарубежных компаний. Во второй главе </w:t>
      </w:r>
      <w:r w:rsidR="00E84EF2">
        <w:t xml:space="preserve">также </w:t>
      </w:r>
      <w:r>
        <w:t>сформулированы гипотезы данного исследования</w:t>
      </w:r>
      <w:r w:rsidR="00E84EF2">
        <w:t xml:space="preserve">. </w:t>
      </w:r>
      <w:r>
        <w:t xml:space="preserve"> </w:t>
      </w:r>
    </w:p>
    <w:p w14:paraId="79464C7E" w14:textId="576443E3" w:rsidR="004E58FA" w:rsidRDefault="004E58FA" w:rsidP="0062070C">
      <w:pPr>
        <w:pStyle w:val="aff0"/>
      </w:pPr>
      <w:r>
        <w:t>Третья глава сосредоточена на эмпирическом исследовании</w:t>
      </w:r>
      <w:r w:rsidR="00C9171D">
        <w:t xml:space="preserve">, </w:t>
      </w:r>
      <w:r w:rsidR="00FB5F04">
        <w:t xml:space="preserve">цель которого заключалась в </w:t>
      </w:r>
      <w:r w:rsidR="00C9171D">
        <w:t>установлен</w:t>
      </w:r>
      <w:r w:rsidR="00FB5F04">
        <w:t>ии</w:t>
      </w:r>
      <w:r w:rsidR="00C9171D">
        <w:t xml:space="preserve"> взаимосвязи между характеристиками совета директоров и показателями финансовой результативности. Была </w:t>
      </w:r>
      <w:r w:rsidR="00B03AC9">
        <w:t>отраж</w:t>
      </w:r>
      <w:r w:rsidR="00C9171D">
        <w:t xml:space="preserve">ена </w:t>
      </w:r>
      <w:r>
        <w:t>описательн</w:t>
      </w:r>
      <w:r w:rsidR="00C9171D">
        <w:t>ая</w:t>
      </w:r>
      <w:r>
        <w:t xml:space="preserve"> статисти</w:t>
      </w:r>
      <w:r w:rsidR="00C9171D">
        <w:t>ка</w:t>
      </w:r>
      <w:r>
        <w:t xml:space="preserve"> основных характеристик совета директоров и финансовых показателей, обоснован выбор</w:t>
      </w:r>
      <w:r w:rsidR="00C9171D">
        <w:t xml:space="preserve"> </w:t>
      </w:r>
      <w:r>
        <w:t xml:space="preserve">метода исследования и </w:t>
      </w:r>
      <w:r w:rsidR="00C9171D">
        <w:t>проинтерпретированы</w:t>
      </w:r>
      <w:r>
        <w:t xml:space="preserve"> полученны</w:t>
      </w:r>
      <w:r w:rsidR="00C9171D">
        <w:t>е</w:t>
      </w:r>
      <w:r>
        <w:t xml:space="preserve"> результа</w:t>
      </w:r>
      <w:r w:rsidR="00C9171D">
        <w:t>ты</w:t>
      </w:r>
      <w:r>
        <w:t xml:space="preserve">. В последней главе также </w:t>
      </w:r>
      <w:r w:rsidR="009E3AFB">
        <w:t xml:space="preserve">были </w:t>
      </w:r>
      <w:r>
        <w:t>даны практические рекомендации для российских компаний, основанные на результатах регрессионного анализа.</w:t>
      </w:r>
    </w:p>
    <w:p w14:paraId="00528642" w14:textId="08506768" w:rsidR="00E84EF2" w:rsidRDefault="00C9171D" w:rsidP="0062070C">
      <w:pPr>
        <w:pStyle w:val="aff0"/>
      </w:pPr>
      <w:r>
        <w:t xml:space="preserve">Результаты регрессионного анализа позволили выявить значимую нелинейную (квадратичную) взаимосвязь между размером совета директоров и </w:t>
      </w:r>
      <w:r w:rsidR="0054572A">
        <w:t xml:space="preserve">рыночным показателем </w:t>
      </w:r>
      <w:r w:rsidR="0054572A">
        <w:rPr>
          <w:lang w:val="en-US"/>
        </w:rPr>
        <w:t>M</w:t>
      </w:r>
      <w:r w:rsidR="0054572A" w:rsidRPr="0054572A">
        <w:t>/</w:t>
      </w:r>
      <w:r w:rsidR="0054572A">
        <w:rPr>
          <w:lang w:val="en-US"/>
        </w:rPr>
        <w:t>B</w:t>
      </w:r>
      <w:r w:rsidR="0054572A" w:rsidRPr="0054572A">
        <w:t xml:space="preserve"> </w:t>
      </w:r>
      <w:r w:rsidR="00833091">
        <w:rPr>
          <w:lang w:val="en-US"/>
        </w:rPr>
        <w:t>R</w:t>
      </w:r>
      <w:r w:rsidR="0054572A">
        <w:rPr>
          <w:lang w:val="en-US"/>
        </w:rPr>
        <w:t>atio</w:t>
      </w:r>
      <w:r w:rsidR="0054572A" w:rsidRPr="0054572A">
        <w:t xml:space="preserve">. </w:t>
      </w:r>
      <w:r w:rsidR="0054572A">
        <w:t>Кроме того, удалось обнаружить прямую взаимосвязь между долей независимых директоров и финансовыми показателями. Также было установлено, что доля директоров</w:t>
      </w:r>
      <w:r>
        <w:t>, имеющих опыт работы в органах государственной власти,</w:t>
      </w:r>
      <w:r w:rsidR="0054572A">
        <w:t xml:space="preserve"> положительно взаимосвязана с </w:t>
      </w:r>
      <w:r>
        <w:t xml:space="preserve">бухгалтерскими показателями. </w:t>
      </w:r>
      <w:r w:rsidR="0075209B">
        <w:t xml:space="preserve">Ввиду того, что только </w:t>
      </w:r>
      <w:r w:rsidR="0054572A">
        <w:t>три</w:t>
      </w:r>
      <w:r w:rsidR="0075209B">
        <w:t xml:space="preserve"> из семи гипотез были п</w:t>
      </w:r>
      <w:r w:rsidR="00833091">
        <w:t>одтверждены,</w:t>
      </w:r>
      <w:r w:rsidR="0075209B">
        <w:t xml:space="preserve"> остается возможность для дальнейших исследований в данной сфере. </w:t>
      </w:r>
      <w:r>
        <w:t xml:space="preserve">Таким образом, автору работы удалось выявить, что некоторые характеристики советов директоров российских публичных компаний с государственным участием могут быть связаны с их финансовыми показателями эффективности деятельности. </w:t>
      </w:r>
    </w:p>
    <w:p w14:paraId="28702910" w14:textId="51500F55" w:rsidR="00510FB6" w:rsidRPr="005042B8" w:rsidRDefault="0075209B" w:rsidP="0062070C">
      <w:pPr>
        <w:pStyle w:val="aff0"/>
        <w:rPr>
          <w:highlight w:val="green"/>
        </w:rPr>
      </w:pPr>
      <w:r>
        <w:t xml:space="preserve">На основе полученных результатов, российским публичным компаниям с госучастием был дан ряд рекомендаций по формированию совета директоров, способного </w:t>
      </w:r>
      <w:r>
        <w:lastRenderedPageBreak/>
        <w:t>своими решениями повысить эффективность бизнеса и благосостояние акционеров. Во-первых, таким компаниям стоит придерживаться крупных или небольших по размеру советов директоров, так как именно такого размера Советы способны более эффективно выполнять свои функции и тем самым повышать финансовую результативность компани</w:t>
      </w:r>
      <w:r w:rsidR="00833091">
        <w:t>й</w:t>
      </w:r>
      <w:r>
        <w:t xml:space="preserve">. </w:t>
      </w:r>
      <w:r w:rsidR="00496FF9">
        <w:t>Ввиду того, что большинство компаний в исследовании придерживается средн</w:t>
      </w:r>
      <w:r w:rsidR="00833091">
        <w:t>его</w:t>
      </w:r>
      <w:r w:rsidR="00496FF9">
        <w:t xml:space="preserve"> по размеру </w:t>
      </w:r>
      <w:r w:rsidR="00833091">
        <w:t>совета директоров</w:t>
      </w:r>
      <w:r w:rsidR="00496FF9">
        <w:t xml:space="preserve"> и редко изменяет </w:t>
      </w:r>
      <w:r w:rsidR="00833091">
        <w:t xml:space="preserve">его </w:t>
      </w:r>
      <w:r w:rsidR="00496FF9">
        <w:t>размер, стоит задуматься о рациональности данного решения и стараться избегать среднего количества членов Совета, сокращая или увеличивая его количественный состав</w:t>
      </w:r>
      <w:r w:rsidR="00496FF9" w:rsidRPr="00510FB6">
        <w:t>. Во-вторых, российским компания</w:t>
      </w:r>
      <w:r w:rsidR="00844F6D">
        <w:t>м</w:t>
      </w:r>
      <w:r w:rsidR="00496FF9" w:rsidRPr="00510FB6">
        <w:t xml:space="preserve"> с госучастием следует </w:t>
      </w:r>
      <w:r w:rsidR="005042B8" w:rsidRPr="00510FB6">
        <w:t xml:space="preserve">соблюдать рекомендации Кодекса корпоративного управления и </w:t>
      </w:r>
      <w:r w:rsidR="00E667D2">
        <w:t xml:space="preserve">включать больше </w:t>
      </w:r>
      <w:r w:rsidR="005042B8" w:rsidRPr="00510FB6">
        <w:t>независимых директоров в состав Совета</w:t>
      </w:r>
      <w:r w:rsidR="00510FB6">
        <w:t xml:space="preserve">. </w:t>
      </w:r>
      <w:r w:rsidR="00E667D2">
        <w:t xml:space="preserve">Независимые директора могут принимать более эффективные решения, лучше осуществлять функцию мониторинга и привносить в компанию ценные ресурсы. Более того, необходимо регулярно </w:t>
      </w:r>
      <w:r w:rsidR="00E667D2">
        <w:rPr>
          <w:color w:val="000000"/>
          <w:shd w:val="clear" w:color="auto" w:fill="FFFFFF"/>
        </w:rPr>
        <w:t xml:space="preserve">осуществлять анализ независимости членов на предмет соответствия критериям независимости. </w:t>
      </w:r>
      <w:r w:rsidR="00510FB6">
        <w:t>В-третьих, компания</w:t>
      </w:r>
      <w:r w:rsidR="00AE4DA9">
        <w:t>м</w:t>
      </w:r>
      <w:r w:rsidR="00510FB6">
        <w:t xml:space="preserve"> с государственным участием следует увеличивать долю директоров с опытом работы в органах госвласти, так как рост доли таких директоров может повысить показатели рентабельности капитала компании. Государственные служащие имеют ценные для компании связи с государством, могут привносить необходимые ресурсы и конкурентные преимущества, так как лучше осведомлены о состоянии национальной экономики. Тем не менее, </w:t>
      </w:r>
      <w:r w:rsidR="00E667D2">
        <w:t xml:space="preserve">рост таких директоров может сложить негативный образ компании на рынке ввиду того, что они ассоциируются с бюрократией и коррупцией, однако в данном исследовании это не было подтверждено. </w:t>
      </w:r>
    </w:p>
    <w:p w14:paraId="45B62D12" w14:textId="0CCD9AC1" w:rsidR="009466B1" w:rsidRDefault="009466B1" w:rsidP="0062070C">
      <w:pPr>
        <w:pStyle w:val="aff0"/>
      </w:pPr>
      <w:r>
        <w:t xml:space="preserve">Новизна работы </w:t>
      </w:r>
      <w:r w:rsidR="00833091">
        <w:t>заключается</w:t>
      </w:r>
      <w:r>
        <w:t xml:space="preserve"> в </w:t>
      </w:r>
      <w:r w:rsidR="0054572A">
        <w:t>исследовании</w:t>
      </w:r>
      <w:r>
        <w:t xml:space="preserve"> взаимосвязи между ранее не изученной характеристикой членов совета директоров - вовлеченностью в деятельность экологических и социальных некоммерческих организаций и показателями финансовой результативност</w:t>
      </w:r>
      <w:r w:rsidR="00833091">
        <w:t>и</w:t>
      </w:r>
      <w:r>
        <w:t xml:space="preserve">. Хотя значимой взаимосвязи выявить не удалось, автор данной работы надеется, что в ближайшем будущем эта характеристика будет положительно </w:t>
      </w:r>
      <w:r w:rsidR="00E667D2">
        <w:t>взаимосвязана с э</w:t>
      </w:r>
      <w:r w:rsidR="00BE3CD9">
        <w:t>ффективност</w:t>
      </w:r>
      <w:r w:rsidR="00E667D2">
        <w:t xml:space="preserve">ью деятельности </w:t>
      </w:r>
      <w:r w:rsidR="00BE3CD9">
        <w:t>компани</w:t>
      </w:r>
      <w:r w:rsidR="00833091">
        <w:t>и</w:t>
      </w:r>
      <w:r w:rsidR="00BE3CD9">
        <w:t xml:space="preserve"> и </w:t>
      </w:r>
      <w:r w:rsidR="00833091">
        <w:t xml:space="preserve">способствовать </w:t>
      </w:r>
      <w:r w:rsidR="00BE3CD9">
        <w:t xml:space="preserve">долгосрочному развитию. </w:t>
      </w:r>
    </w:p>
    <w:p w14:paraId="77B554C5" w14:textId="0CA76224" w:rsidR="0075209B" w:rsidRPr="00C9171D" w:rsidRDefault="00BE3CD9" w:rsidP="0062070C">
      <w:pPr>
        <w:pStyle w:val="aff0"/>
      </w:pPr>
      <w:r>
        <w:t xml:space="preserve">К основным ограничениям работы относятся </w:t>
      </w:r>
      <w:r w:rsidR="00844F6D">
        <w:t xml:space="preserve">сравнительно </w:t>
      </w:r>
      <w:r>
        <w:t>небольшой размер выборки и законодательные постановления о раскрытии корпоративной информации в минимальном объеме. Кроме того, были проанализированы только публичные компании, ввиду того что только такие компании раскрывают информацию о совет</w:t>
      </w:r>
      <w:r w:rsidR="00833091">
        <w:t>е</w:t>
      </w:r>
      <w:r>
        <w:t xml:space="preserve"> директоров в годовых отчетах. Это оставляет место для дальнейших исследований по данной проблематике. </w:t>
      </w:r>
    </w:p>
    <w:p w14:paraId="62A357BF" w14:textId="05AAB584" w:rsidR="004E58FA" w:rsidRDefault="004E58FA" w:rsidP="004E58FA">
      <w:pPr>
        <w:spacing w:after="0"/>
        <w:ind w:firstLine="709"/>
      </w:pPr>
    </w:p>
    <w:p w14:paraId="4AAAC089" w14:textId="0760FBED" w:rsidR="00312BD5" w:rsidRPr="00312BD5" w:rsidRDefault="00312BD5" w:rsidP="00312BD5">
      <w:pPr>
        <w:pStyle w:val="1"/>
      </w:pPr>
      <w:bookmarkStart w:id="107" w:name="_Toc136001554"/>
      <w:r>
        <w:lastRenderedPageBreak/>
        <w:t>Список использованной литературы</w:t>
      </w:r>
      <w:bookmarkEnd w:id="107"/>
      <w:r>
        <w:t xml:space="preserve"> </w:t>
      </w:r>
    </w:p>
    <w:p w14:paraId="663EE66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Авдашева</w:t>
      </w:r>
      <w:proofErr w:type="spellEnd"/>
      <w:r w:rsidRPr="00F500A9">
        <w:rPr>
          <w:rFonts w:cs="Times New Roman"/>
          <w:szCs w:val="24"/>
        </w:rPr>
        <w:t xml:space="preserve">, С.Б. Корпоративное управление в АО с государственным участием: российские проблемы в контексте мирового опыта/ </w:t>
      </w:r>
      <w:proofErr w:type="gramStart"/>
      <w:r w:rsidRPr="00F500A9">
        <w:rPr>
          <w:rFonts w:cs="Times New Roman"/>
          <w:szCs w:val="24"/>
        </w:rPr>
        <w:t>С.Б.</w:t>
      </w:r>
      <w:proofErr w:type="gramEnd"/>
      <w:r w:rsidRPr="00F500A9">
        <w:rPr>
          <w:rFonts w:cs="Times New Roman"/>
          <w:szCs w:val="24"/>
        </w:rPr>
        <w:t xml:space="preserve"> </w:t>
      </w:r>
      <w:proofErr w:type="spellStart"/>
      <w:r w:rsidRPr="00F500A9">
        <w:rPr>
          <w:rFonts w:cs="Times New Roman"/>
          <w:szCs w:val="24"/>
        </w:rPr>
        <w:t>Авдашева</w:t>
      </w:r>
      <w:proofErr w:type="spellEnd"/>
      <w:r w:rsidRPr="00F500A9">
        <w:rPr>
          <w:rFonts w:cs="Times New Roman"/>
          <w:szCs w:val="24"/>
        </w:rPr>
        <w:t xml:space="preserve">, Т.Г. </w:t>
      </w:r>
      <w:proofErr w:type="spellStart"/>
      <w:r w:rsidRPr="00F500A9">
        <w:rPr>
          <w:rFonts w:cs="Times New Roman"/>
          <w:szCs w:val="24"/>
        </w:rPr>
        <w:t>Долгопятова</w:t>
      </w:r>
      <w:proofErr w:type="spellEnd"/>
      <w:r w:rsidRPr="00F500A9">
        <w:rPr>
          <w:rFonts w:cs="Times New Roman"/>
          <w:szCs w:val="24"/>
        </w:rPr>
        <w:t xml:space="preserve">, Х. </w:t>
      </w:r>
      <w:proofErr w:type="spellStart"/>
      <w:r w:rsidRPr="00F500A9">
        <w:rPr>
          <w:rFonts w:cs="Times New Roman"/>
          <w:szCs w:val="24"/>
        </w:rPr>
        <w:t>Пляйнес</w:t>
      </w:r>
      <w:proofErr w:type="spellEnd"/>
      <w:r w:rsidRPr="00F500A9">
        <w:rPr>
          <w:rFonts w:cs="Times New Roman"/>
          <w:szCs w:val="24"/>
        </w:rPr>
        <w:t xml:space="preserve"> // Издательский дом ГУ ВШЭ. - 2007. - №01. - С. 52.</w:t>
      </w:r>
    </w:p>
    <w:p w14:paraId="161B1BC6" w14:textId="77777777" w:rsidR="00F500A9" w:rsidRPr="00F500A9" w:rsidRDefault="00F500A9" w:rsidP="00F500A9">
      <w:pPr>
        <w:pStyle w:val="a9"/>
        <w:numPr>
          <w:ilvl w:val="0"/>
          <w:numId w:val="13"/>
        </w:numPr>
        <w:spacing w:after="160"/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Амбарднишвили</w:t>
      </w:r>
      <w:proofErr w:type="spellEnd"/>
      <w:r w:rsidRPr="00F500A9">
        <w:rPr>
          <w:rFonts w:cs="Times New Roman"/>
          <w:szCs w:val="24"/>
        </w:rPr>
        <w:t xml:space="preserve">, Т.Г. Совет директоров и дивидендная политика в российских компаниях с прямым государственным участием/ Т.Г, </w:t>
      </w:r>
      <w:proofErr w:type="spellStart"/>
      <w:r w:rsidRPr="00F500A9">
        <w:rPr>
          <w:rFonts w:cs="Times New Roman"/>
          <w:szCs w:val="24"/>
        </w:rPr>
        <w:t>Амбарднишвили</w:t>
      </w:r>
      <w:proofErr w:type="spellEnd"/>
      <w:r w:rsidRPr="00F500A9">
        <w:rPr>
          <w:rFonts w:cs="Times New Roman"/>
          <w:szCs w:val="24"/>
        </w:rPr>
        <w:t xml:space="preserve">, И.В. Березинец, Ю.Б, Ильина, </w:t>
      </w:r>
      <w:proofErr w:type="gramStart"/>
      <w:r w:rsidRPr="00F500A9">
        <w:rPr>
          <w:rFonts w:cs="Times New Roman"/>
          <w:szCs w:val="24"/>
        </w:rPr>
        <w:t>М.В.</w:t>
      </w:r>
      <w:proofErr w:type="gramEnd"/>
      <w:r w:rsidRPr="00F500A9">
        <w:rPr>
          <w:rFonts w:cs="Times New Roman"/>
          <w:szCs w:val="24"/>
        </w:rPr>
        <w:t xml:space="preserve"> Смирнов // </w:t>
      </w:r>
      <w:r w:rsidRPr="00F500A9">
        <w:rPr>
          <w:rFonts w:cs="Times New Roman"/>
          <w:szCs w:val="24"/>
          <w:lang w:val="en-US"/>
        </w:rPr>
        <w:t>Journal</w:t>
      </w:r>
      <w:r w:rsidRPr="00F500A9">
        <w:rPr>
          <w:rFonts w:cs="Times New Roman"/>
          <w:szCs w:val="24"/>
        </w:rPr>
        <w:t xml:space="preserve"> </w:t>
      </w:r>
      <w:r w:rsidRPr="00F500A9">
        <w:rPr>
          <w:rFonts w:cs="Times New Roman"/>
          <w:szCs w:val="24"/>
          <w:lang w:val="en-US"/>
        </w:rPr>
        <w:t>of</w:t>
      </w:r>
      <w:r w:rsidRPr="00F500A9">
        <w:rPr>
          <w:rFonts w:cs="Times New Roman"/>
          <w:szCs w:val="24"/>
        </w:rPr>
        <w:t xml:space="preserve"> </w:t>
      </w:r>
      <w:r w:rsidRPr="00F500A9">
        <w:rPr>
          <w:rFonts w:cs="Times New Roman"/>
          <w:szCs w:val="24"/>
          <w:lang w:val="en-US"/>
        </w:rPr>
        <w:t>Corporate</w:t>
      </w:r>
      <w:r w:rsidRPr="00F500A9">
        <w:rPr>
          <w:rFonts w:cs="Times New Roman"/>
          <w:szCs w:val="24"/>
        </w:rPr>
        <w:t xml:space="preserve"> </w:t>
      </w:r>
      <w:r w:rsidRPr="00F500A9">
        <w:rPr>
          <w:rFonts w:cs="Times New Roman"/>
          <w:szCs w:val="24"/>
          <w:lang w:val="en-US"/>
        </w:rPr>
        <w:t>Finance</w:t>
      </w:r>
      <w:r w:rsidRPr="00F500A9">
        <w:rPr>
          <w:rFonts w:cs="Times New Roman"/>
          <w:szCs w:val="24"/>
        </w:rPr>
        <w:t xml:space="preserve"> </w:t>
      </w:r>
      <w:r w:rsidRPr="00F500A9">
        <w:rPr>
          <w:rFonts w:cs="Times New Roman"/>
          <w:szCs w:val="24"/>
          <w:lang w:val="en-US"/>
        </w:rPr>
        <w:t>Research</w:t>
      </w:r>
      <w:r w:rsidRPr="00F500A9">
        <w:rPr>
          <w:rFonts w:cs="Times New Roman"/>
          <w:szCs w:val="24"/>
        </w:rPr>
        <w:t xml:space="preserve">. - 2017. - №11. - С. </w:t>
      </w:r>
      <w:proofErr w:type="gramStart"/>
      <w:r w:rsidRPr="00F500A9">
        <w:rPr>
          <w:rFonts w:cs="Times New Roman"/>
          <w:szCs w:val="24"/>
        </w:rPr>
        <w:t>51-77</w:t>
      </w:r>
      <w:proofErr w:type="gramEnd"/>
      <w:r w:rsidRPr="00F500A9">
        <w:rPr>
          <w:rFonts w:cs="Times New Roman"/>
          <w:szCs w:val="24"/>
        </w:rPr>
        <w:t>.</w:t>
      </w:r>
    </w:p>
    <w:p w14:paraId="2905408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Батаева</w:t>
      </w:r>
      <w:proofErr w:type="spellEnd"/>
      <w:r w:rsidRPr="00F500A9">
        <w:rPr>
          <w:rFonts w:cs="Times New Roman"/>
          <w:szCs w:val="24"/>
        </w:rPr>
        <w:t xml:space="preserve">, Б.С. Влияние раскрытия ESG-показателей на финансовые результаты российских публичных компаний / </w:t>
      </w:r>
      <w:proofErr w:type="gramStart"/>
      <w:r w:rsidRPr="00F500A9">
        <w:rPr>
          <w:rFonts w:cs="Times New Roman"/>
          <w:szCs w:val="24"/>
        </w:rPr>
        <w:t>Б.С.</w:t>
      </w:r>
      <w:proofErr w:type="gramEnd"/>
      <w:r w:rsidRPr="00F500A9">
        <w:rPr>
          <w:rFonts w:cs="Times New Roman"/>
          <w:szCs w:val="24"/>
        </w:rPr>
        <w:t xml:space="preserve"> </w:t>
      </w:r>
      <w:proofErr w:type="spellStart"/>
      <w:r w:rsidRPr="00F500A9">
        <w:rPr>
          <w:rFonts w:cs="Times New Roman"/>
          <w:szCs w:val="24"/>
        </w:rPr>
        <w:t>Батаева</w:t>
      </w:r>
      <w:proofErr w:type="spellEnd"/>
      <w:r w:rsidRPr="00F500A9">
        <w:rPr>
          <w:rFonts w:cs="Times New Roman"/>
          <w:szCs w:val="24"/>
        </w:rPr>
        <w:t>, А.Д. Кокурина, Н.А. Карпов // Управленец. - 2021. - №12(6). - С. 20–32.</w:t>
      </w:r>
    </w:p>
    <w:p w14:paraId="4989BE2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Беликов, И.В. Совет директоров как мировой стандарт корпоративного управления компанией. - Москва: Эксмо, 2008. – С. 624 </w:t>
      </w:r>
    </w:p>
    <w:p w14:paraId="4450DE1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Беляева, И.Ю Специфика корпоративного управления в компаниях с государственным участием в зарубежных странах / </w:t>
      </w:r>
      <w:proofErr w:type="gramStart"/>
      <w:r w:rsidRPr="00F500A9">
        <w:rPr>
          <w:rFonts w:cs="Times New Roman"/>
          <w:szCs w:val="24"/>
        </w:rPr>
        <w:t>И.Ю.</w:t>
      </w:r>
      <w:proofErr w:type="gramEnd"/>
      <w:r w:rsidRPr="00F500A9">
        <w:rPr>
          <w:rFonts w:cs="Times New Roman"/>
          <w:szCs w:val="24"/>
        </w:rPr>
        <w:t xml:space="preserve"> Беляева, М.М. Пухова // Вестник </w:t>
      </w:r>
      <w:proofErr w:type="spellStart"/>
      <w:r w:rsidRPr="00F500A9">
        <w:rPr>
          <w:rFonts w:cs="Times New Roman"/>
          <w:szCs w:val="24"/>
        </w:rPr>
        <w:t>ТвГУ</w:t>
      </w:r>
      <w:proofErr w:type="spellEnd"/>
      <w:r w:rsidRPr="00F500A9">
        <w:rPr>
          <w:rFonts w:cs="Times New Roman"/>
          <w:szCs w:val="24"/>
        </w:rPr>
        <w:t xml:space="preserve">. Серия: Экономика и управление. - 2014. - </w:t>
      </w:r>
      <w:proofErr w:type="gramStart"/>
      <w:r w:rsidRPr="00F500A9">
        <w:rPr>
          <w:rFonts w:cs="Times New Roman"/>
          <w:szCs w:val="24"/>
        </w:rPr>
        <w:t>№4-1</w:t>
      </w:r>
      <w:proofErr w:type="gramEnd"/>
      <w:r w:rsidRPr="00F500A9">
        <w:rPr>
          <w:rFonts w:cs="Times New Roman"/>
          <w:szCs w:val="24"/>
        </w:rPr>
        <w:t>. - С. 30-38.</w:t>
      </w:r>
    </w:p>
    <w:p w14:paraId="6D6434B3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Березинец, И. В. Интеллектуальный капитал совета директоров: динамический подход к определению и структуре / И. В. Березинец, Т. А. Гаранина, Ю. Б. Ильина // Российский журнал менеджмента. - 2017. - Т. 15, № 3. - С. </w:t>
      </w:r>
      <w:proofErr w:type="gramStart"/>
      <w:r w:rsidRPr="00F500A9">
        <w:rPr>
          <w:rFonts w:cs="Times New Roman"/>
          <w:szCs w:val="24"/>
        </w:rPr>
        <w:t>357-382</w:t>
      </w:r>
      <w:proofErr w:type="gramEnd"/>
      <w:r w:rsidRPr="00F500A9">
        <w:rPr>
          <w:rFonts w:cs="Times New Roman"/>
          <w:szCs w:val="24"/>
        </w:rPr>
        <w:t>.</w:t>
      </w:r>
    </w:p>
    <w:p w14:paraId="3846A0E7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Березинец, И. В. Советы директоров в российских АО с государственным участием / И. В. Березинец, Ю. Б. Ильина, М. В. Смирнов // ЭНСР. – 2016. - № 2 (73). - С. </w:t>
      </w:r>
      <w:proofErr w:type="gramStart"/>
      <w:r w:rsidRPr="00F500A9">
        <w:rPr>
          <w:rFonts w:cs="Times New Roman"/>
          <w:szCs w:val="24"/>
        </w:rPr>
        <w:t>90-106</w:t>
      </w:r>
      <w:proofErr w:type="gramEnd"/>
      <w:r w:rsidRPr="00F500A9">
        <w:rPr>
          <w:rFonts w:cs="Times New Roman"/>
          <w:szCs w:val="24"/>
        </w:rPr>
        <w:t>.</w:t>
      </w:r>
    </w:p>
    <w:p w14:paraId="08978AB9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Березинец, И. В. Структура совета директоров и финансовая результативность российских открытых акционерных обществ / И. В. Березинец, Ю. Б. Ильина, А.В. Черкасская // СПб: Вестник СПбГУ. - 2013. – Сер. Менеджмент. - </w:t>
      </w:r>
      <w:proofErr w:type="spellStart"/>
      <w:r w:rsidRPr="00F500A9">
        <w:rPr>
          <w:rFonts w:cs="Times New Roman"/>
          <w:szCs w:val="24"/>
        </w:rPr>
        <w:t>Вып</w:t>
      </w:r>
      <w:proofErr w:type="spellEnd"/>
      <w:r w:rsidRPr="00F500A9">
        <w:rPr>
          <w:rFonts w:cs="Times New Roman"/>
          <w:szCs w:val="24"/>
        </w:rPr>
        <w:t xml:space="preserve">. 2. – С. </w:t>
      </w:r>
      <w:proofErr w:type="gramStart"/>
      <w:r w:rsidRPr="00F500A9">
        <w:rPr>
          <w:rFonts w:cs="Times New Roman"/>
          <w:szCs w:val="24"/>
        </w:rPr>
        <w:t>3-52</w:t>
      </w:r>
      <w:proofErr w:type="gramEnd"/>
      <w:r w:rsidRPr="00F500A9">
        <w:rPr>
          <w:rFonts w:cs="Times New Roman"/>
          <w:szCs w:val="24"/>
        </w:rPr>
        <w:t>.</w:t>
      </w:r>
    </w:p>
    <w:p w14:paraId="38B195A7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Бухвалов</w:t>
      </w:r>
      <w:proofErr w:type="spellEnd"/>
      <w:r w:rsidRPr="00F500A9">
        <w:rPr>
          <w:rFonts w:cs="Times New Roman"/>
          <w:szCs w:val="24"/>
        </w:rPr>
        <w:t xml:space="preserve">, А. В. Корпоративное управление: вводный курс / А.В. </w:t>
      </w:r>
      <w:proofErr w:type="spellStart"/>
      <w:r w:rsidRPr="00F500A9">
        <w:rPr>
          <w:rFonts w:cs="Times New Roman"/>
          <w:szCs w:val="24"/>
        </w:rPr>
        <w:t>Бухвалов</w:t>
      </w:r>
      <w:proofErr w:type="spellEnd"/>
      <w:r w:rsidRPr="00F500A9">
        <w:rPr>
          <w:rFonts w:cs="Times New Roman"/>
          <w:szCs w:val="24"/>
        </w:rPr>
        <w:t xml:space="preserve">, </w:t>
      </w:r>
      <w:proofErr w:type="gramStart"/>
      <w:r w:rsidRPr="00F500A9">
        <w:rPr>
          <w:rFonts w:cs="Times New Roman"/>
          <w:szCs w:val="24"/>
        </w:rPr>
        <w:t>М.В.</w:t>
      </w:r>
      <w:proofErr w:type="gramEnd"/>
      <w:r w:rsidRPr="00F500A9">
        <w:rPr>
          <w:rFonts w:cs="Times New Roman"/>
          <w:szCs w:val="24"/>
        </w:rPr>
        <w:t xml:space="preserve"> Смирнов - СПб.: Высшая школа менеджмента, 2014. – 185.</w:t>
      </w:r>
    </w:p>
    <w:p w14:paraId="0FC6F539" w14:textId="77777777" w:rsidR="00F500A9" w:rsidRPr="00F500A9" w:rsidRDefault="00F500A9" w:rsidP="00F500A9">
      <w:pPr>
        <w:pStyle w:val="aa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F500A9">
        <w:rPr>
          <w:rFonts w:cs="Times New Roman"/>
          <w:sz w:val="24"/>
          <w:szCs w:val="24"/>
        </w:rPr>
        <w:t xml:space="preserve">Вишневская, Н. С. Лучшая практика корпоративного управления на государственных предприятиях: европейский подход // Акционерное </w:t>
      </w:r>
      <w:proofErr w:type="gramStart"/>
      <w:r w:rsidRPr="00F500A9">
        <w:rPr>
          <w:rFonts w:cs="Times New Roman"/>
          <w:sz w:val="24"/>
          <w:szCs w:val="24"/>
        </w:rPr>
        <w:t>общество :</w:t>
      </w:r>
      <w:proofErr w:type="gramEnd"/>
      <w:r w:rsidRPr="00F500A9">
        <w:rPr>
          <w:rFonts w:cs="Times New Roman"/>
          <w:sz w:val="24"/>
          <w:szCs w:val="24"/>
        </w:rPr>
        <w:t xml:space="preserve"> вопросы корпоративного управления. - 2010. - №12. - С. </w:t>
      </w:r>
      <w:proofErr w:type="gramStart"/>
      <w:r w:rsidRPr="00F500A9">
        <w:rPr>
          <w:rFonts w:cs="Times New Roman"/>
          <w:sz w:val="24"/>
          <w:szCs w:val="24"/>
        </w:rPr>
        <w:t>15-17</w:t>
      </w:r>
      <w:proofErr w:type="gramEnd"/>
      <w:r w:rsidRPr="00F500A9">
        <w:rPr>
          <w:rFonts w:cs="Times New Roman"/>
          <w:sz w:val="24"/>
          <w:szCs w:val="24"/>
        </w:rPr>
        <w:t>.</w:t>
      </w:r>
    </w:p>
    <w:p w14:paraId="5EBA3F1B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Годовые отчеты публичных российских компаний.</w:t>
      </w:r>
    </w:p>
    <w:p w14:paraId="2A13DFE1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Госсектор в российской экономике // Аналитический центр при Правительстве РФ URL: https://ac.gov.ru/publications/topics/topic/2345 (дата обращения: 20.02.2023).</w:t>
      </w:r>
    </w:p>
    <w:p w14:paraId="578071E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lastRenderedPageBreak/>
        <w:t>Долгопятова</w:t>
      </w:r>
      <w:proofErr w:type="spellEnd"/>
      <w:r w:rsidRPr="00F500A9">
        <w:rPr>
          <w:rFonts w:cs="Times New Roman"/>
          <w:szCs w:val="24"/>
        </w:rPr>
        <w:t xml:space="preserve">, Т. Г. Роль совета директоров в российских растущих компаниях: опыт АФК «Система», часть I / </w:t>
      </w:r>
      <w:proofErr w:type="gramStart"/>
      <w:r w:rsidRPr="00F500A9">
        <w:rPr>
          <w:rFonts w:cs="Times New Roman"/>
          <w:szCs w:val="24"/>
        </w:rPr>
        <w:t>Т.Г.</w:t>
      </w:r>
      <w:proofErr w:type="gramEnd"/>
      <w:r w:rsidRPr="00F500A9">
        <w:rPr>
          <w:rFonts w:cs="Times New Roman"/>
          <w:szCs w:val="24"/>
        </w:rPr>
        <w:t xml:space="preserve"> </w:t>
      </w:r>
      <w:proofErr w:type="spellStart"/>
      <w:r w:rsidRPr="00F500A9">
        <w:rPr>
          <w:rFonts w:cs="Times New Roman"/>
          <w:szCs w:val="24"/>
        </w:rPr>
        <w:t>Долгопятова</w:t>
      </w:r>
      <w:proofErr w:type="spellEnd"/>
      <w:r w:rsidRPr="00F500A9">
        <w:rPr>
          <w:rFonts w:cs="Times New Roman"/>
          <w:szCs w:val="24"/>
        </w:rPr>
        <w:t xml:space="preserve">, А.М. </w:t>
      </w:r>
      <w:proofErr w:type="spellStart"/>
      <w:r w:rsidRPr="00F500A9">
        <w:rPr>
          <w:rFonts w:cs="Times New Roman"/>
          <w:szCs w:val="24"/>
        </w:rPr>
        <w:t>Либман</w:t>
      </w:r>
      <w:proofErr w:type="spellEnd"/>
      <w:r w:rsidRPr="00F500A9">
        <w:rPr>
          <w:rFonts w:cs="Times New Roman"/>
          <w:szCs w:val="24"/>
        </w:rPr>
        <w:t xml:space="preserve">, И.О. Петров, А.А. Яковлев // Российский журнал менеджмента. - 2015. - №13(1). - С. </w:t>
      </w:r>
      <w:proofErr w:type="gramStart"/>
      <w:r w:rsidRPr="00F500A9">
        <w:rPr>
          <w:rFonts w:cs="Times New Roman"/>
          <w:szCs w:val="24"/>
        </w:rPr>
        <w:t>91-112</w:t>
      </w:r>
      <w:proofErr w:type="gramEnd"/>
      <w:r w:rsidRPr="00F500A9">
        <w:rPr>
          <w:rFonts w:cs="Times New Roman"/>
          <w:szCs w:val="24"/>
        </w:rPr>
        <w:t>.</w:t>
      </w:r>
    </w:p>
    <w:p w14:paraId="759DDF50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Дуляк</w:t>
      </w:r>
      <w:proofErr w:type="spellEnd"/>
      <w:r w:rsidRPr="00F500A9">
        <w:rPr>
          <w:rFonts w:cs="Times New Roman"/>
          <w:szCs w:val="24"/>
        </w:rPr>
        <w:t xml:space="preserve">, Ю. И. Эмпирический анализ влияния советов директоров на финансовые результаты деятельности российских компаний // Экономическая политика. - 2015. - Т. 10, № 1. - С. </w:t>
      </w:r>
      <w:proofErr w:type="gramStart"/>
      <w:r w:rsidRPr="00F500A9">
        <w:rPr>
          <w:rFonts w:cs="Times New Roman"/>
          <w:szCs w:val="24"/>
        </w:rPr>
        <w:t>126-148</w:t>
      </w:r>
      <w:proofErr w:type="gramEnd"/>
      <w:r w:rsidRPr="00F500A9">
        <w:rPr>
          <w:rFonts w:cs="Times New Roman"/>
          <w:szCs w:val="24"/>
        </w:rPr>
        <w:t>.</w:t>
      </w:r>
    </w:p>
    <w:p w14:paraId="448CF5B3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color w:val="000000" w:themeColor="text1"/>
          <w:szCs w:val="24"/>
          <w:shd w:val="clear" w:color="auto" w:fill="FFFFFF"/>
        </w:rPr>
        <w:t xml:space="preserve">Жуков, Е.В. Основные тенденции развития ESG-повестки: обзор в России и в мире // Вестник Российского экономического университета имени Г. В. Плеханова. - 2021. - №6. - С. </w:t>
      </w:r>
      <w:proofErr w:type="gramStart"/>
      <w:r w:rsidRPr="00F500A9">
        <w:rPr>
          <w:rFonts w:cs="Times New Roman"/>
          <w:color w:val="000000" w:themeColor="text1"/>
          <w:szCs w:val="24"/>
          <w:shd w:val="clear" w:color="auto" w:fill="FFFFFF"/>
        </w:rPr>
        <w:t>68-82</w:t>
      </w:r>
      <w:proofErr w:type="gramEnd"/>
      <w:r w:rsidRPr="00F500A9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14:paraId="6EBAB4C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color w:val="000000" w:themeColor="text1"/>
          <w:szCs w:val="24"/>
        </w:rPr>
        <w:t xml:space="preserve">Завертяева, М.А. Взаимосвязанные советы директоров и деятельность российских компаний: результаты сетевого анализа / </w:t>
      </w:r>
      <w:proofErr w:type="gramStart"/>
      <w:r w:rsidRPr="00F500A9">
        <w:rPr>
          <w:rFonts w:cs="Times New Roman"/>
          <w:color w:val="000000" w:themeColor="text1"/>
          <w:szCs w:val="24"/>
        </w:rPr>
        <w:t>М.А.</w:t>
      </w:r>
      <w:proofErr w:type="gramEnd"/>
      <w:r w:rsidRPr="00F500A9">
        <w:rPr>
          <w:rFonts w:cs="Times New Roman"/>
          <w:color w:val="000000" w:themeColor="text1"/>
          <w:szCs w:val="24"/>
        </w:rPr>
        <w:t xml:space="preserve"> Завертяева, П.А. Попова // Российский журнал менеджмента. - 2021. - №19(3). - С. </w:t>
      </w:r>
      <w:proofErr w:type="gramStart"/>
      <w:r w:rsidRPr="00F500A9">
        <w:rPr>
          <w:rFonts w:cs="Times New Roman"/>
          <w:color w:val="000000" w:themeColor="text1"/>
          <w:szCs w:val="24"/>
        </w:rPr>
        <w:t>288-314</w:t>
      </w:r>
      <w:proofErr w:type="gramEnd"/>
      <w:r w:rsidRPr="00F500A9">
        <w:rPr>
          <w:rFonts w:cs="Times New Roman"/>
          <w:color w:val="000000" w:themeColor="text1"/>
          <w:szCs w:val="24"/>
        </w:rPr>
        <w:t>.</w:t>
      </w:r>
    </w:p>
    <w:p w14:paraId="0BB5636D" w14:textId="33D60D45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Ивашковская, И.В, Структура собственности и ее влияние на стратегическую эффективность компаний / И.В. Ивашковская, </w:t>
      </w:r>
      <w:r w:rsidR="00420878" w:rsidRPr="00F500A9">
        <w:rPr>
          <w:rFonts w:cs="Times New Roman"/>
          <w:szCs w:val="24"/>
        </w:rPr>
        <w:t>А. Н.</w:t>
      </w:r>
      <w:r w:rsidRPr="00F500A9">
        <w:rPr>
          <w:rFonts w:cs="Times New Roman"/>
          <w:szCs w:val="24"/>
        </w:rPr>
        <w:t xml:space="preserve"> Степанова // Финансы и бизнес. - 2009. - №3. - С. 1–22.</w:t>
      </w:r>
    </w:p>
    <w:p w14:paraId="48B40445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Индексы акций государственного сектора // Московская Биржа URL: https://www.moex.com/ru/index/publicsector/ (дата обращения: 27.02.2023).</w:t>
      </w:r>
    </w:p>
    <w:p w14:paraId="3D14A355" w14:textId="77777777" w:rsidR="00F500A9" w:rsidRPr="00F500A9" w:rsidRDefault="00F500A9" w:rsidP="00F500A9">
      <w:pPr>
        <w:pStyle w:val="aa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F500A9">
        <w:rPr>
          <w:rFonts w:cs="Times New Roman"/>
          <w:sz w:val="24"/>
          <w:szCs w:val="24"/>
        </w:rPr>
        <w:t>Как улучшить корпоративное управление в госкомпаниях // Научно- образовательный портал IQ URL: https://iq.hse.ru/news/205006407.html (дата обращения: 11.12.2022).</w:t>
      </w:r>
    </w:p>
    <w:p w14:paraId="5BCACCAB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Кодекс корпоративного управления // Вестник Банка России №</w:t>
      </w:r>
      <w:r w:rsidRPr="00F500A9">
        <w:rPr>
          <w:rFonts w:cs="Times New Roman"/>
          <w:szCs w:val="24"/>
          <w:lang w:val="en-US"/>
        </w:rPr>
        <w:t> </w:t>
      </w:r>
      <w:r w:rsidRPr="00F500A9">
        <w:rPr>
          <w:rFonts w:cs="Times New Roman"/>
          <w:szCs w:val="24"/>
        </w:rPr>
        <w:t>40</w:t>
      </w:r>
      <w:r w:rsidRPr="00F500A9">
        <w:rPr>
          <w:rFonts w:cs="Times New Roman"/>
          <w:szCs w:val="24"/>
          <w:lang w:val="en-US"/>
        </w:rPr>
        <w:t> </w:t>
      </w:r>
      <w:r w:rsidRPr="00F500A9">
        <w:rPr>
          <w:rFonts w:cs="Times New Roman"/>
          <w:szCs w:val="24"/>
        </w:rPr>
        <w:t xml:space="preserve">(1518), 2014. </w:t>
      </w:r>
      <w:r w:rsidRPr="00F500A9">
        <w:rPr>
          <w:rFonts w:cs="Times New Roman"/>
          <w:szCs w:val="24"/>
          <w:lang w:val="en-US"/>
        </w:rPr>
        <w:t>URL</w:t>
      </w:r>
      <w:r w:rsidRPr="00F500A9">
        <w:rPr>
          <w:rFonts w:cs="Times New Roman"/>
          <w:szCs w:val="24"/>
        </w:rPr>
        <w:t xml:space="preserve">: </w:t>
      </w:r>
      <w:r w:rsidRPr="00F500A9">
        <w:rPr>
          <w:rFonts w:cs="Times New Roman"/>
          <w:szCs w:val="24"/>
          <w:lang w:val="en-US"/>
        </w:rPr>
        <w:t>http</w:t>
      </w:r>
      <w:r w:rsidRPr="00F500A9">
        <w:rPr>
          <w:rFonts w:cs="Times New Roman"/>
          <w:szCs w:val="24"/>
        </w:rPr>
        <w:t>://</w:t>
      </w:r>
      <w:r w:rsidRPr="00F500A9">
        <w:rPr>
          <w:rFonts w:cs="Times New Roman"/>
          <w:szCs w:val="24"/>
          <w:lang w:val="en-US"/>
        </w:rPr>
        <w:t>www</w:t>
      </w:r>
      <w:r w:rsidRPr="00F500A9">
        <w:rPr>
          <w:rFonts w:cs="Times New Roman"/>
          <w:szCs w:val="24"/>
        </w:rPr>
        <w:t>.</w:t>
      </w:r>
      <w:proofErr w:type="spellStart"/>
      <w:r w:rsidRPr="00F500A9">
        <w:rPr>
          <w:rFonts w:cs="Times New Roman"/>
          <w:szCs w:val="24"/>
          <w:lang w:val="en-US"/>
        </w:rPr>
        <w:t>cbr</w:t>
      </w:r>
      <w:proofErr w:type="spellEnd"/>
      <w:r w:rsidRPr="00F500A9">
        <w:rPr>
          <w:rFonts w:cs="Times New Roman"/>
          <w:szCs w:val="24"/>
        </w:rPr>
        <w:t>.</w:t>
      </w:r>
      <w:proofErr w:type="spellStart"/>
      <w:r w:rsidRPr="00F500A9">
        <w:rPr>
          <w:rFonts w:cs="Times New Roman"/>
          <w:szCs w:val="24"/>
          <w:lang w:val="en-US"/>
        </w:rPr>
        <w:t>ru</w:t>
      </w:r>
      <w:proofErr w:type="spellEnd"/>
      <w:r w:rsidRPr="00F500A9">
        <w:rPr>
          <w:rFonts w:cs="Times New Roman"/>
          <w:szCs w:val="24"/>
        </w:rPr>
        <w:t>/</w:t>
      </w:r>
      <w:proofErr w:type="spellStart"/>
      <w:r w:rsidRPr="00F500A9">
        <w:rPr>
          <w:rFonts w:cs="Times New Roman"/>
          <w:szCs w:val="24"/>
          <w:lang w:val="en-US"/>
        </w:rPr>
        <w:t>publ</w:t>
      </w:r>
      <w:proofErr w:type="spellEnd"/>
      <w:r w:rsidRPr="00F500A9">
        <w:rPr>
          <w:rFonts w:cs="Times New Roman"/>
          <w:szCs w:val="24"/>
        </w:rPr>
        <w:t>/</w:t>
      </w:r>
      <w:proofErr w:type="spellStart"/>
      <w:r w:rsidRPr="00F500A9">
        <w:rPr>
          <w:rFonts w:cs="Times New Roman"/>
          <w:szCs w:val="24"/>
          <w:lang w:val="en-US"/>
        </w:rPr>
        <w:t>Vestnik</w:t>
      </w:r>
      <w:proofErr w:type="spellEnd"/>
      <w:r w:rsidRPr="00F500A9">
        <w:rPr>
          <w:rFonts w:cs="Times New Roman"/>
          <w:szCs w:val="24"/>
        </w:rPr>
        <w:t>/</w:t>
      </w:r>
      <w:proofErr w:type="spellStart"/>
      <w:r w:rsidRPr="00F500A9">
        <w:rPr>
          <w:rFonts w:cs="Times New Roman"/>
          <w:szCs w:val="24"/>
          <w:lang w:val="en-US"/>
        </w:rPr>
        <w:t>ves</w:t>
      </w:r>
      <w:proofErr w:type="spellEnd"/>
      <w:r w:rsidRPr="00F500A9">
        <w:rPr>
          <w:rFonts w:cs="Times New Roman"/>
          <w:szCs w:val="24"/>
        </w:rPr>
        <w:t>140418040.</w:t>
      </w:r>
      <w:r w:rsidRPr="00F500A9">
        <w:rPr>
          <w:rFonts w:cs="Times New Roman"/>
          <w:szCs w:val="24"/>
          <w:lang w:val="en-US"/>
        </w:rPr>
        <w:t>pdf</w:t>
      </w:r>
      <w:r w:rsidRPr="00F500A9">
        <w:rPr>
          <w:rFonts w:cs="Times New Roman"/>
          <w:szCs w:val="24"/>
        </w:rPr>
        <w:t xml:space="preserve"> (дата обращения:03.03.2023).</w:t>
      </w:r>
    </w:p>
    <w:p w14:paraId="0E1A9F5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Компании с государственным участием на Московской бирже // Газпромбанк Инвестиции URL: https://gazprombank.investments/blog/education/state-participation-companies/ (дата обращения: 25.03.2023).</w:t>
      </w:r>
    </w:p>
    <w:p w14:paraId="2E5F1FE0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Компаниям разрешили не раскрывать отчетность до июля 2023 года // РБК URL: https://quote.rbc.ru/news/article/638470639a794723d4dd1b01 (дата обращения: 01.03.2023).</w:t>
      </w:r>
    </w:p>
    <w:p w14:paraId="12569D5C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Корпоративное управление: история и практика // Федеральная служба по финансовым рынкам URL: http://koet.syktsu.ru/download/ku_istoriya_praktika.pdf</w:t>
      </w:r>
      <w:r w:rsidRPr="00F500A9">
        <w:rPr>
          <w:rStyle w:val="a8"/>
          <w:rFonts w:cs="Times New Roman"/>
          <w:szCs w:val="24"/>
        </w:rPr>
        <w:t xml:space="preserve"> </w:t>
      </w:r>
      <w:r w:rsidRPr="00F500A9">
        <w:rPr>
          <w:rFonts w:cs="Times New Roman"/>
          <w:szCs w:val="24"/>
        </w:rPr>
        <w:t>(дата обращения: 05.03.2023).</w:t>
      </w:r>
    </w:p>
    <w:p w14:paraId="1FDF82C1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Кузубов</w:t>
      </w:r>
      <w:proofErr w:type="spellEnd"/>
      <w:r w:rsidRPr="00F500A9">
        <w:rPr>
          <w:rFonts w:cs="Times New Roman"/>
          <w:szCs w:val="24"/>
        </w:rPr>
        <w:t xml:space="preserve">, С.А. Повышает ли стоимость компании публикация нефинансовых отчетов по стандартам GRI? (на примере стран БРИКС) / С.А. </w:t>
      </w:r>
      <w:proofErr w:type="spellStart"/>
      <w:r w:rsidRPr="00F500A9">
        <w:rPr>
          <w:rFonts w:cs="Times New Roman"/>
          <w:szCs w:val="24"/>
        </w:rPr>
        <w:t>Кузубов</w:t>
      </w:r>
      <w:proofErr w:type="spellEnd"/>
      <w:r w:rsidRPr="00F500A9">
        <w:rPr>
          <w:rFonts w:cs="Times New Roman"/>
          <w:szCs w:val="24"/>
        </w:rPr>
        <w:t xml:space="preserve">, М.С. </w:t>
      </w:r>
      <w:proofErr w:type="gramStart"/>
      <w:r w:rsidRPr="00F500A9">
        <w:rPr>
          <w:rFonts w:cs="Times New Roman"/>
          <w:szCs w:val="24"/>
        </w:rPr>
        <w:t>Евдокимова  /</w:t>
      </w:r>
      <w:proofErr w:type="gramEnd"/>
      <w:r w:rsidRPr="00F500A9">
        <w:rPr>
          <w:rFonts w:cs="Times New Roman"/>
          <w:szCs w:val="24"/>
        </w:rPr>
        <w:t xml:space="preserve">/ Учет. Анализ. </w:t>
      </w:r>
      <w:proofErr w:type="gramStart"/>
      <w:r w:rsidRPr="00F500A9">
        <w:rPr>
          <w:rFonts w:cs="Times New Roman"/>
          <w:szCs w:val="24"/>
        </w:rPr>
        <w:t>Аудит..</w:t>
      </w:r>
      <w:proofErr w:type="gramEnd"/>
      <w:r w:rsidRPr="00F500A9">
        <w:rPr>
          <w:rFonts w:cs="Times New Roman"/>
          <w:szCs w:val="24"/>
        </w:rPr>
        <w:t xml:space="preserve"> - 2017. - №2. - С. </w:t>
      </w:r>
      <w:proofErr w:type="gramStart"/>
      <w:r w:rsidRPr="00F500A9">
        <w:rPr>
          <w:rFonts w:cs="Times New Roman"/>
          <w:szCs w:val="24"/>
        </w:rPr>
        <w:t>28-36</w:t>
      </w:r>
      <w:proofErr w:type="gramEnd"/>
      <w:r w:rsidRPr="00F500A9">
        <w:rPr>
          <w:rFonts w:cs="Times New Roman"/>
          <w:szCs w:val="24"/>
        </w:rPr>
        <w:t>.</w:t>
      </w:r>
    </w:p>
    <w:p w14:paraId="5CA7DFA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lastRenderedPageBreak/>
        <w:t>Люди в советах директоров: как соответствовать новым требованиям // Риск-менеджмент. Практика. - 2021. - №4</w:t>
      </w:r>
    </w:p>
    <w:p w14:paraId="2F3C1D0E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Масленникова, М.А. Влияние структуры собственности на эффективность деятельности на примере российских и бразильских компаний / </w:t>
      </w:r>
      <w:proofErr w:type="gramStart"/>
      <w:r w:rsidRPr="00F500A9">
        <w:rPr>
          <w:rFonts w:cs="Times New Roman"/>
          <w:szCs w:val="24"/>
        </w:rPr>
        <w:t>М.А.</w:t>
      </w:r>
      <w:proofErr w:type="gramEnd"/>
      <w:r w:rsidRPr="00F500A9">
        <w:rPr>
          <w:rFonts w:cs="Times New Roman"/>
          <w:szCs w:val="24"/>
        </w:rPr>
        <w:t xml:space="preserve"> Масленникова, А.Н. Степанова // Журнал "Корпоративные финансы". - 2010. - №3(15). - С. </w:t>
      </w:r>
      <w:proofErr w:type="gramStart"/>
      <w:r w:rsidRPr="00F500A9">
        <w:rPr>
          <w:rFonts w:cs="Times New Roman"/>
          <w:szCs w:val="24"/>
        </w:rPr>
        <w:t>35-46</w:t>
      </w:r>
      <w:proofErr w:type="gramEnd"/>
      <w:r w:rsidRPr="00F500A9">
        <w:rPr>
          <w:rFonts w:cs="Times New Roman"/>
          <w:szCs w:val="24"/>
        </w:rPr>
        <w:t>.</w:t>
      </w:r>
    </w:p>
    <w:p w14:paraId="3033609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МВФ оценил долю государства в российской экономике в 33% // РБК URL: https://www.rbc.ru/economics/12/03/2019/5c879e0c9a79472f59316a90 (дата обращения: 20.02.2023).</w:t>
      </w:r>
    </w:p>
    <w:p w14:paraId="3E0CD3F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Монополизация и «</w:t>
      </w:r>
      <w:proofErr w:type="spellStart"/>
      <w:r w:rsidRPr="00F500A9">
        <w:rPr>
          <w:rFonts w:cs="Times New Roman"/>
          <w:szCs w:val="24"/>
        </w:rPr>
        <w:t>дирижизм</w:t>
      </w:r>
      <w:proofErr w:type="spellEnd"/>
      <w:r w:rsidRPr="00F500A9">
        <w:rPr>
          <w:rFonts w:cs="Times New Roman"/>
          <w:szCs w:val="24"/>
        </w:rPr>
        <w:t xml:space="preserve">»: за что </w:t>
      </w:r>
      <w:proofErr w:type="spellStart"/>
      <w:r w:rsidRPr="00F500A9">
        <w:rPr>
          <w:rFonts w:cs="Times New Roman"/>
          <w:szCs w:val="24"/>
        </w:rPr>
        <w:t>Moody's</w:t>
      </w:r>
      <w:proofErr w:type="spellEnd"/>
      <w:r w:rsidRPr="00F500A9">
        <w:rPr>
          <w:rFonts w:cs="Times New Roman"/>
          <w:szCs w:val="24"/>
        </w:rPr>
        <w:t xml:space="preserve"> раскритиковал экономику России // РБК URL: https://www.rbc.ru/economics/25/02/2019/5c7276d69a7947a62be84e98 (дата обращения: 20.02.2023).</w:t>
      </w:r>
    </w:p>
    <w:p w14:paraId="0D2CD8DE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НОКС. Обзор практик корпоративного управления-2022. Результаты исследования // НОКС URL: https://nokc.org.ru/obzor-korp-upravlenia/ (дата обращения: 07.03.2023).</w:t>
      </w:r>
    </w:p>
    <w:p w14:paraId="0C88753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Отчет о деятельности Федерального агентства по управлению государственным имуществом за 2013 год // Федеральное агентство по управлению государственным имуществом, 2014 URL: https://rosim.gov.ru/about/reports/performance/202363 (дата обращения: 20.02.2023).</w:t>
      </w:r>
    </w:p>
    <w:p w14:paraId="6A05C480" w14:textId="77777777" w:rsidR="00F500A9" w:rsidRPr="00F500A9" w:rsidRDefault="00F500A9" w:rsidP="00F500A9">
      <w:pPr>
        <w:pStyle w:val="aa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F500A9">
        <w:rPr>
          <w:rFonts w:cs="Times New Roman"/>
          <w:sz w:val="24"/>
          <w:szCs w:val="24"/>
        </w:rPr>
        <w:t>Отчет об управлении находящимися в федеральной собственности акциями открытых акционерных обществ по итогам 2013 года. М.: Федеральное агентство по управлению государственным имуществом, 2014</w:t>
      </w:r>
    </w:p>
    <w:p w14:paraId="7A505690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Падение экономики России из-за пандемии стало максимальным за 11 лет // РБК URL: https://www.rbc.ru/economics/01/02/2021/6017e1819a7947cb98f23f95 (дата обращения: 25.03.2023).</w:t>
      </w:r>
    </w:p>
    <w:p w14:paraId="7715BA03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Почему нефинансовые показатели приобретают все большую значимость для инвесторов // Ernst &amp; Young </w:t>
      </w:r>
      <w:bookmarkStart w:id="108" w:name="_Hlk131934310"/>
      <w:r w:rsidRPr="00F500A9">
        <w:rPr>
          <w:rFonts w:cs="Times New Roman"/>
          <w:szCs w:val="24"/>
        </w:rPr>
        <w:t>URL: https://www.ey.com/ru_kz (дата обращения: 11.12.2023)</w:t>
      </w:r>
      <w:bookmarkEnd w:id="108"/>
      <w:r w:rsidRPr="00F500A9">
        <w:rPr>
          <w:rFonts w:cs="Times New Roman"/>
          <w:szCs w:val="24"/>
        </w:rPr>
        <w:t>.</w:t>
      </w:r>
    </w:p>
    <w:p w14:paraId="178DEDE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Развитие корпоративных отношений // Банк России URL: https://www.cbr.ru/issuers_corporate/development_corp_relations/ (дата обращения: 11.12.2022).</w:t>
      </w:r>
    </w:p>
    <w:p w14:paraId="3AED085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 xml:space="preserve">Разумова, Т.О. Гендерный баланс в руководстве компаний: эффект на финансовые показатели / </w:t>
      </w:r>
      <w:proofErr w:type="gramStart"/>
      <w:r w:rsidRPr="00F500A9">
        <w:rPr>
          <w:rFonts w:cs="Times New Roman"/>
          <w:szCs w:val="24"/>
        </w:rPr>
        <w:t>Т.О.</w:t>
      </w:r>
      <w:proofErr w:type="gramEnd"/>
      <w:r w:rsidRPr="00F500A9">
        <w:rPr>
          <w:rFonts w:cs="Times New Roman"/>
          <w:szCs w:val="24"/>
        </w:rPr>
        <w:t xml:space="preserve"> Разумова, Е.С. Иванова // Управленческие науки. - 2020. - №10(4). - С. </w:t>
      </w:r>
      <w:proofErr w:type="gramStart"/>
      <w:r w:rsidRPr="00F500A9">
        <w:rPr>
          <w:rFonts w:cs="Times New Roman"/>
          <w:szCs w:val="24"/>
        </w:rPr>
        <w:t>67-83</w:t>
      </w:r>
      <w:proofErr w:type="gramEnd"/>
      <w:r w:rsidRPr="00F500A9">
        <w:rPr>
          <w:rFonts w:cs="Times New Roman"/>
          <w:szCs w:val="24"/>
        </w:rPr>
        <w:t>.</w:t>
      </w:r>
    </w:p>
    <w:p w14:paraId="3265E5B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Рентабельность инвестированного капитала, ROIC // Альт-Инвест URL: https://www.alt-invest.ru/lib/roic/ (дата обращения: 12.03.2023).</w:t>
      </w:r>
    </w:p>
    <w:p w14:paraId="0A2B98B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lastRenderedPageBreak/>
        <w:t>Советам директоров публичных компаний рекомендовано учитывать ESG-факторы при выработке стратегии // Банк России URL: https://www.cbr.ru/press/event/?id=12558 (дата обращения: 10.03.2023).</w:t>
      </w:r>
    </w:p>
    <w:p w14:paraId="458DA301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Структура акционерного капитала // Россети URL: ttps://www.rosseti.ru/investors/capital/share/ (дата обращения: 25.02.2023).</w:t>
      </w:r>
    </w:p>
    <w:p w14:paraId="65B33BFF" w14:textId="77777777" w:rsidR="00F500A9" w:rsidRPr="00F500A9" w:rsidRDefault="00F500A9" w:rsidP="00F500A9">
      <w:pPr>
        <w:pStyle w:val="aa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F500A9">
        <w:rPr>
          <w:rFonts w:cs="Times New Roman"/>
          <w:sz w:val="24"/>
          <w:szCs w:val="24"/>
        </w:rPr>
        <w:t>Структура акционерного капитала // Татнефть URL: https://www.tatneft.ru/aktsioneram-i-investoram/equity_structure (дата обращения: 20.02.2023).</w:t>
      </w:r>
    </w:p>
    <w:p w14:paraId="28118F4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ФАС заявила о контроле государства над 70% российской экономики // РБК URL: https://www.rbc.ru/economics/29/09/2016/57ecd5429a794730e1479fac (дата обращения: 20.02.2023).</w:t>
      </w:r>
    </w:p>
    <w:p w14:paraId="44B2C1B4" w14:textId="35374C3F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Эффективная система корпоративного управления: как ее построить, оценить и с какими проблемами придется столкнуться // Комсомольская правда URL: https://www.kp.ru/guide/upravlenie-kompaniei.html (дата обращения: 11.12.2022).</w:t>
      </w:r>
    </w:p>
    <w:p w14:paraId="5AC7204F" w14:textId="07CF8440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Agarwal, S. Literature Review on the Relationship between Board Structure and Firm Performance // International Journal of Business Ethics in Developing Economies. - 202</w:t>
      </w:r>
      <w:r w:rsidR="00420878">
        <w:rPr>
          <w:rFonts w:cs="Times New Roman"/>
          <w:szCs w:val="24"/>
          <w:lang w:val="en-US"/>
        </w:rPr>
        <w:t>1</w:t>
      </w:r>
      <w:r w:rsidRPr="00F500A9">
        <w:rPr>
          <w:rFonts w:cs="Times New Roman"/>
          <w:szCs w:val="24"/>
          <w:lang w:val="en-US"/>
        </w:rPr>
        <w:t>. - Vol. 9(2). - pp. 33-43.</w:t>
      </w:r>
    </w:p>
    <w:p w14:paraId="242F4F0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Agrawal, N. Board composition and board size impact on financial performance of the company / N. Agrawal, V. Lakshmi // International Journal of Public Sector Performance Management. - 2020. - Vol. 6(5</w:t>
      </w:r>
      <w:proofErr w:type="gramStart"/>
      <w:r w:rsidRPr="00F500A9">
        <w:rPr>
          <w:rFonts w:cs="Times New Roman"/>
          <w:szCs w:val="24"/>
          <w:lang w:val="en-US"/>
        </w:rPr>
        <w:t>) .</w:t>
      </w:r>
      <w:proofErr w:type="gramEnd"/>
      <w:r w:rsidRPr="00F500A9">
        <w:rPr>
          <w:rFonts w:cs="Times New Roman"/>
          <w:szCs w:val="24"/>
          <w:lang w:val="en-US"/>
        </w:rPr>
        <w:t xml:space="preserve"> - pp. 737-747.</w:t>
      </w:r>
    </w:p>
    <w:p w14:paraId="45F8126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Akerlof</w:t>
      </w:r>
      <w:proofErr w:type="spellEnd"/>
      <w:r w:rsidRPr="00F500A9">
        <w:rPr>
          <w:rFonts w:cs="Times New Roman"/>
          <w:szCs w:val="24"/>
          <w:lang w:val="en-US"/>
        </w:rPr>
        <w:t>, G.A. The Market for "Lemons": Quality Uncertainty and the Market Mechanism // The Quarterly Journal of Economics. - 1970. - Vol. 84, No. 3. – pp. 488-500.</w:t>
      </w:r>
    </w:p>
    <w:p w14:paraId="58E6656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Alhaddad</w:t>
      </w:r>
      <w:proofErr w:type="spellEnd"/>
      <w:r w:rsidRPr="00F500A9">
        <w:rPr>
          <w:rFonts w:cs="Times New Roman"/>
          <w:szCs w:val="24"/>
          <w:lang w:val="en-US"/>
        </w:rPr>
        <w:t xml:space="preserve">, L. Do multiple directorships stimulate or inhibit firm value? Evidence from an emerging economy / L. </w:t>
      </w:r>
      <w:proofErr w:type="spellStart"/>
      <w:r w:rsidRPr="00F500A9">
        <w:rPr>
          <w:rFonts w:cs="Times New Roman"/>
          <w:szCs w:val="24"/>
          <w:lang w:val="en-US"/>
        </w:rPr>
        <w:t>Alhaddad</w:t>
      </w:r>
      <w:proofErr w:type="spellEnd"/>
      <w:r w:rsidRPr="00F500A9">
        <w:rPr>
          <w:rFonts w:cs="Times New Roman"/>
          <w:szCs w:val="24"/>
          <w:lang w:val="en-US"/>
        </w:rPr>
        <w:t xml:space="preserve">, A.M. </w:t>
      </w:r>
      <w:proofErr w:type="spellStart"/>
      <w:r w:rsidRPr="00F500A9">
        <w:rPr>
          <w:rFonts w:cs="Times New Roman"/>
          <w:szCs w:val="24"/>
          <w:lang w:val="en-US"/>
        </w:rPr>
        <w:t>Gerged</w:t>
      </w:r>
      <w:proofErr w:type="spellEnd"/>
      <w:r w:rsidRPr="00F500A9">
        <w:rPr>
          <w:rFonts w:cs="Times New Roman"/>
          <w:szCs w:val="24"/>
          <w:lang w:val="en-US"/>
        </w:rPr>
        <w:t xml:space="preserve">, Z. </w:t>
      </w:r>
      <w:proofErr w:type="spellStart"/>
      <w:r w:rsidRPr="00F500A9">
        <w:rPr>
          <w:rFonts w:cs="Times New Roman"/>
          <w:szCs w:val="24"/>
          <w:lang w:val="en-US"/>
        </w:rPr>
        <w:t>Saidat</w:t>
      </w:r>
      <w:proofErr w:type="spellEnd"/>
      <w:r w:rsidRPr="00F500A9">
        <w:rPr>
          <w:rFonts w:cs="Times New Roman"/>
          <w:szCs w:val="24"/>
          <w:lang w:val="en-US"/>
        </w:rPr>
        <w:t>, A. A. Al-</w:t>
      </w:r>
      <w:proofErr w:type="spellStart"/>
      <w:r w:rsidRPr="00F500A9">
        <w:rPr>
          <w:rFonts w:cs="Times New Roman"/>
          <w:szCs w:val="24"/>
          <w:lang w:val="en-US"/>
        </w:rPr>
        <w:t>Qudah</w:t>
      </w:r>
      <w:proofErr w:type="spellEnd"/>
      <w:r w:rsidRPr="00F500A9">
        <w:rPr>
          <w:rFonts w:cs="Times New Roman"/>
          <w:szCs w:val="24"/>
          <w:lang w:val="en-US"/>
        </w:rPr>
        <w:t>, T. Aziz // International Journal of Accounting &amp; Information Management. - 2022. - Vol. 30(4). - pp. 546-562.</w:t>
      </w:r>
    </w:p>
    <w:p w14:paraId="19CD5A3E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Aljaaidi</w:t>
      </w:r>
      <w:proofErr w:type="spellEnd"/>
      <w:r w:rsidRPr="00F500A9">
        <w:rPr>
          <w:rFonts w:cs="Times New Roman"/>
          <w:szCs w:val="24"/>
          <w:lang w:val="en-US"/>
        </w:rPr>
        <w:t>, K.S. Economic Value of Energy and Petrochemical Companies and Multiple Directorships: Evidence from Saudi Arabia // AD-Minister. - 2022. - №41. - pp. 149 - 166.</w:t>
      </w:r>
    </w:p>
    <w:p w14:paraId="760BC1F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Alonso, P.A. Corporate governance in banking: The role of the board of directors / P.A. Alonso, E. </w:t>
      </w:r>
      <w:proofErr w:type="spellStart"/>
      <w:r w:rsidRPr="00F500A9">
        <w:rPr>
          <w:rFonts w:cs="Times New Roman"/>
          <w:szCs w:val="24"/>
          <w:lang w:val="en-US"/>
        </w:rPr>
        <w:t>Vallelado</w:t>
      </w:r>
      <w:proofErr w:type="spellEnd"/>
      <w:r w:rsidRPr="00F500A9">
        <w:rPr>
          <w:rFonts w:cs="Times New Roman"/>
          <w:szCs w:val="24"/>
          <w:lang w:val="en-US"/>
        </w:rPr>
        <w:t xml:space="preserve">   // Journal of Banking &amp; Finance. - 2008. - №32(12). - pp. 2570-2580.</w:t>
      </w:r>
    </w:p>
    <w:p w14:paraId="3C1DA2A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Al-</w:t>
      </w:r>
      <w:proofErr w:type="spellStart"/>
      <w:r w:rsidRPr="00F500A9">
        <w:rPr>
          <w:rFonts w:cs="Times New Roman"/>
          <w:szCs w:val="24"/>
          <w:lang w:val="en-US"/>
        </w:rPr>
        <w:t>Saidi</w:t>
      </w:r>
      <w:proofErr w:type="spellEnd"/>
      <w:r w:rsidRPr="00F500A9">
        <w:rPr>
          <w:rFonts w:cs="Times New Roman"/>
          <w:szCs w:val="24"/>
          <w:lang w:val="en-US"/>
        </w:rPr>
        <w:t>, M. Board independence and firm performance: evidence from Kuwait // International Journal of Law and Management. - 2020. - Vol. 63(2</w:t>
      </w:r>
      <w:proofErr w:type="gramStart"/>
      <w:r w:rsidRPr="00F500A9">
        <w:rPr>
          <w:rFonts w:cs="Times New Roman"/>
          <w:szCs w:val="24"/>
          <w:lang w:val="en-US"/>
        </w:rPr>
        <w:t>) .</w:t>
      </w:r>
      <w:proofErr w:type="gramEnd"/>
      <w:r w:rsidRPr="00F500A9">
        <w:rPr>
          <w:rFonts w:cs="Times New Roman"/>
          <w:szCs w:val="24"/>
          <w:lang w:val="en-US"/>
        </w:rPr>
        <w:t xml:space="preserve"> - pp. 251-262.</w:t>
      </w:r>
    </w:p>
    <w:p w14:paraId="57F502C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lastRenderedPageBreak/>
        <w:t xml:space="preserve">Ararat, M. Female directors, board committees, and firm performance: Time-series evidence from Turkey / M. Ararat, B.B. </w:t>
      </w:r>
      <w:proofErr w:type="spellStart"/>
      <w:r w:rsidRPr="00F500A9">
        <w:rPr>
          <w:rFonts w:cs="Times New Roman"/>
          <w:szCs w:val="24"/>
          <w:lang w:val="en-US"/>
        </w:rPr>
        <w:t>Yurtoglu</w:t>
      </w:r>
      <w:proofErr w:type="spellEnd"/>
      <w:r w:rsidRPr="00F500A9">
        <w:rPr>
          <w:rFonts w:cs="Times New Roman"/>
          <w:szCs w:val="24"/>
          <w:lang w:val="en-US"/>
        </w:rPr>
        <w:t xml:space="preserve"> // Emerging Markets Review. - 2021. - Vol. 48</w:t>
      </w:r>
    </w:p>
    <w:p w14:paraId="6D789C01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Arosa</w:t>
      </w:r>
      <w:proofErr w:type="spellEnd"/>
      <w:r w:rsidRPr="00F500A9">
        <w:rPr>
          <w:rFonts w:cs="Times New Roman"/>
          <w:szCs w:val="24"/>
          <w:lang w:val="en-US"/>
        </w:rPr>
        <w:t xml:space="preserve">, B. The board structure and firm performance in SMEs: Evidence from Spain / B. </w:t>
      </w:r>
      <w:proofErr w:type="spellStart"/>
      <w:r w:rsidRPr="00F500A9">
        <w:rPr>
          <w:rFonts w:cs="Times New Roman"/>
          <w:szCs w:val="24"/>
          <w:lang w:val="en-US"/>
        </w:rPr>
        <w:t>Arosa</w:t>
      </w:r>
      <w:proofErr w:type="spellEnd"/>
      <w:r w:rsidRPr="00F500A9">
        <w:rPr>
          <w:rFonts w:cs="Times New Roman"/>
          <w:szCs w:val="24"/>
          <w:lang w:val="en-US"/>
        </w:rPr>
        <w:t xml:space="preserve">, T. </w:t>
      </w:r>
      <w:proofErr w:type="spellStart"/>
      <w:r w:rsidRPr="00F500A9">
        <w:rPr>
          <w:rFonts w:cs="Times New Roman"/>
          <w:szCs w:val="24"/>
          <w:lang w:val="en-US"/>
        </w:rPr>
        <w:t>Iturralde</w:t>
      </w:r>
      <w:proofErr w:type="spellEnd"/>
      <w:r w:rsidRPr="00F500A9">
        <w:rPr>
          <w:rFonts w:cs="Times New Roman"/>
          <w:szCs w:val="24"/>
          <w:lang w:val="en-US"/>
        </w:rPr>
        <w:t xml:space="preserve">, A. </w:t>
      </w:r>
      <w:proofErr w:type="spellStart"/>
      <w:r w:rsidRPr="00F500A9">
        <w:rPr>
          <w:rFonts w:cs="Times New Roman"/>
          <w:szCs w:val="24"/>
          <w:lang w:val="en-US"/>
        </w:rPr>
        <w:t>Maseda</w:t>
      </w:r>
      <w:proofErr w:type="spellEnd"/>
      <w:r w:rsidRPr="00F500A9">
        <w:rPr>
          <w:rFonts w:cs="Times New Roman"/>
          <w:szCs w:val="24"/>
          <w:lang w:val="en-US"/>
        </w:rPr>
        <w:t xml:space="preserve"> // </w:t>
      </w:r>
      <w:proofErr w:type="spellStart"/>
      <w:r w:rsidRPr="00F500A9">
        <w:rPr>
          <w:rFonts w:cs="Times New Roman"/>
          <w:szCs w:val="24"/>
          <w:lang w:val="en-US"/>
        </w:rPr>
        <w:t>Investigaciones</w:t>
      </w:r>
      <w:proofErr w:type="spellEnd"/>
      <w:r w:rsidRPr="00F500A9">
        <w:rPr>
          <w:rFonts w:cs="Times New Roman"/>
          <w:szCs w:val="24"/>
          <w:lang w:val="en-US"/>
        </w:rPr>
        <w:t xml:space="preserve"> </w:t>
      </w:r>
      <w:proofErr w:type="spellStart"/>
      <w:r w:rsidRPr="00F500A9">
        <w:rPr>
          <w:rFonts w:cs="Times New Roman"/>
          <w:szCs w:val="24"/>
          <w:lang w:val="en-US"/>
        </w:rPr>
        <w:t>Europeas</w:t>
      </w:r>
      <w:proofErr w:type="spellEnd"/>
      <w:r w:rsidRPr="00F500A9">
        <w:rPr>
          <w:rFonts w:cs="Times New Roman"/>
          <w:szCs w:val="24"/>
          <w:lang w:val="en-US"/>
        </w:rPr>
        <w:t xml:space="preserve"> de </w:t>
      </w:r>
      <w:proofErr w:type="spellStart"/>
      <w:r w:rsidRPr="00F500A9">
        <w:rPr>
          <w:rFonts w:cs="Times New Roman"/>
          <w:szCs w:val="24"/>
          <w:lang w:val="en-US"/>
        </w:rPr>
        <w:t>Dirección</w:t>
      </w:r>
      <w:proofErr w:type="spellEnd"/>
      <w:r w:rsidRPr="00F500A9">
        <w:rPr>
          <w:rFonts w:cs="Times New Roman"/>
          <w:szCs w:val="24"/>
          <w:lang w:val="en-US"/>
        </w:rPr>
        <w:t xml:space="preserve"> y </w:t>
      </w:r>
      <w:proofErr w:type="spellStart"/>
      <w:r w:rsidRPr="00F500A9">
        <w:rPr>
          <w:rFonts w:cs="Times New Roman"/>
          <w:szCs w:val="24"/>
          <w:lang w:val="en-US"/>
        </w:rPr>
        <w:t>Economía</w:t>
      </w:r>
      <w:proofErr w:type="spellEnd"/>
      <w:r w:rsidRPr="00F500A9">
        <w:rPr>
          <w:rFonts w:cs="Times New Roman"/>
          <w:szCs w:val="24"/>
          <w:lang w:val="en-US"/>
        </w:rPr>
        <w:t xml:space="preserve"> de la </w:t>
      </w:r>
      <w:proofErr w:type="spellStart"/>
      <w:proofErr w:type="gramStart"/>
      <w:r w:rsidRPr="00F500A9">
        <w:rPr>
          <w:rFonts w:cs="Times New Roman"/>
          <w:szCs w:val="24"/>
          <w:lang w:val="en-US"/>
        </w:rPr>
        <w:t>Empresa</w:t>
      </w:r>
      <w:proofErr w:type="spellEnd"/>
      <w:r w:rsidRPr="00F500A9">
        <w:rPr>
          <w:rFonts w:cs="Times New Roman"/>
          <w:szCs w:val="24"/>
          <w:lang w:val="en-US"/>
        </w:rPr>
        <w:t xml:space="preserve"> .</w:t>
      </w:r>
      <w:proofErr w:type="gramEnd"/>
      <w:r w:rsidRPr="00F500A9">
        <w:rPr>
          <w:rFonts w:cs="Times New Roman"/>
          <w:szCs w:val="24"/>
          <w:lang w:val="en-US"/>
        </w:rPr>
        <w:t xml:space="preserve"> - 2013. - Vol. 19(3). - pp. 127-135.</w:t>
      </w:r>
    </w:p>
    <w:p w14:paraId="4705BB0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Bahma</w:t>
      </w:r>
      <w:proofErr w:type="spellEnd"/>
      <w:r w:rsidRPr="00F500A9">
        <w:rPr>
          <w:rFonts w:cs="Times New Roman"/>
          <w:szCs w:val="24"/>
          <w:lang w:val="en-US"/>
        </w:rPr>
        <w:t xml:space="preserve">, S. Board gender diversity and firm performance: The UK evidence / S. </w:t>
      </w:r>
      <w:proofErr w:type="spellStart"/>
      <w:r w:rsidRPr="00F500A9">
        <w:rPr>
          <w:rFonts w:cs="Times New Roman"/>
          <w:szCs w:val="24"/>
          <w:lang w:val="en-US"/>
        </w:rPr>
        <w:t>Bahma</w:t>
      </w:r>
      <w:proofErr w:type="spellEnd"/>
      <w:r w:rsidRPr="00F500A9">
        <w:rPr>
          <w:rFonts w:cs="Times New Roman"/>
          <w:szCs w:val="24"/>
          <w:lang w:val="en-US"/>
        </w:rPr>
        <w:t xml:space="preserve">, C. </w:t>
      </w:r>
      <w:proofErr w:type="spellStart"/>
      <w:r w:rsidRPr="00F500A9">
        <w:rPr>
          <w:rFonts w:cs="Times New Roman"/>
          <w:szCs w:val="24"/>
          <w:lang w:val="en-US"/>
        </w:rPr>
        <w:t>Nwafor</w:t>
      </w:r>
      <w:proofErr w:type="spellEnd"/>
      <w:r w:rsidRPr="00F500A9">
        <w:rPr>
          <w:rFonts w:cs="Times New Roman"/>
          <w:szCs w:val="24"/>
          <w:lang w:val="en-US"/>
        </w:rPr>
        <w:t>, A. Boateng // International Journal of Finance &amp; Economics. - 2020. - Vol. 26(4). - pp. 5704-5719.</w:t>
      </w:r>
    </w:p>
    <w:p w14:paraId="41E53F0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Berezinets</w:t>
      </w:r>
      <w:proofErr w:type="spellEnd"/>
      <w:r w:rsidRPr="00F500A9">
        <w:rPr>
          <w:rFonts w:cs="Times New Roman"/>
          <w:szCs w:val="24"/>
          <w:lang w:val="en-US"/>
        </w:rPr>
        <w:t xml:space="preserve">, I. Effects of board social capital on corporate performance: evidence from Russia / I. </w:t>
      </w:r>
      <w:proofErr w:type="spellStart"/>
      <w:r w:rsidRPr="00F500A9">
        <w:rPr>
          <w:rFonts w:cs="Times New Roman"/>
          <w:szCs w:val="24"/>
          <w:lang w:val="en-US"/>
        </w:rPr>
        <w:t>Berezinets</w:t>
      </w:r>
      <w:proofErr w:type="spellEnd"/>
      <w:r w:rsidRPr="00F500A9">
        <w:rPr>
          <w:rFonts w:cs="Times New Roman"/>
          <w:szCs w:val="24"/>
          <w:lang w:val="en-US"/>
        </w:rPr>
        <w:t xml:space="preserve">, Y. </w:t>
      </w:r>
      <w:proofErr w:type="spellStart"/>
      <w:r w:rsidRPr="00F500A9">
        <w:rPr>
          <w:rFonts w:cs="Times New Roman"/>
          <w:szCs w:val="24"/>
          <w:lang w:val="en-US"/>
        </w:rPr>
        <w:t>Ilina</w:t>
      </w:r>
      <w:proofErr w:type="spellEnd"/>
      <w:r w:rsidRPr="00F500A9">
        <w:rPr>
          <w:rFonts w:cs="Times New Roman"/>
          <w:szCs w:val="24"/>
          <w:lang w:val="en-US"/>
        </w:rPr>
        <w:t>, A. Loginova // Contributions to Game Theory and Management. - 2019. - №12. - pp. 49-69.</w:t>
      </w:r>
    </w:p>
    <w:p w14:paraId="12AFEBED" w14:textId="2F5ACB70" w:rsidR="00F500A9" w:rsidRPr="00420878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420878">
        <w:rPr>
          <w:rFonts w:cs="Times New Roman"/>
          <w:szCs w:val="24"/>
          <w:lang w:val="en-US"/>
        </w:rPr>
        <w:t>Berle</w:t>
      </w:r>
      <w:proofErr w:type="spellEnd"/>
      <w:r w:rsidRPr="00420878">
        <w:rPr>
          <w:rFonts w:cs="Times New Roman"/>
          <w:szCs w:val="24"/>
          <w:lang w:val="en-US"/>
        </w:rPr>
        <w:t>, A.</w:t>
      </w:r>
      <w:r w:rsidR="00420878" w:rsidRPr="00420878">
        <w:rPr>
          <w:rFonts w:cs="Times New Roman"/>
          <w:szCs w:val="24"/>
          <w:lang w:val="en-US"/>
        </w:rPr>
        <w:t xml:space="preserve"> </w:t>
      </w:r>
      <w:r w:rsidRPr="00420878">
        <w:rPr>
          <w:rFonts w:cs="Times New Roman"/>
          <w:szCs w:val="24"/>
          <w:lang w:val="en-US"/>
        </w:rPr>
        <w:t>The Modern Corporation and Private Property</w:t>
      </w:r>
      <w:r w:rsidR="00420878" w:rsidRPr="00420878">
        <w:rPr>
          <w:rFonts w:cs="Times New Roman"/>
          <w:szCs w:val="24"/>
          <w:lang w:val="en-US"/>
        </w:rPr>
        <w:t xml:space="preserve"> / </w:t>
      </w:r>
      <w:r w:rsidR="00420878">
        <w:rPr>
          <w:rFonts w:cs="Times New Roman"/>
          <w:szCs w:val="24"/>
          <w:lang w:val="en-US"/>
        </w:rPr>
        <w:t xml:space="preserve">A. </w:t>
      </w:r>
      <w:proofErr w:type="spellStart"/>
      <w:r w:rsidR="00420878">
        <w:rPr>
          <w:rFonts w:cs="Times New Roman"/>
          <w:szCs w:val="24"/>
          <w:lang w:val="en-US"/>
        </w:rPr>
        <w:t>Berle</w:t>
      </w:r>
      <w:proofErr w:type="spellEnd"/>
      <w:r w:rsidR="00420878">
        <w:rPr>
          <w:rFonts w:cs="Times New Roman"/>
          <w:szCs w:val="24"/>
          <w:lang w:val="en-US"/>
        </w:rPr>
        <w:t xml:space="preserve">, G. </w:t>
      </w:r>
      <w:r w:rsidR="00420878" w:rsidRPr="00420878">
        <w:rPr>
          <w:rFonts w:cs="Times New Roman"/>
          <w:szCs w:val="24"/>
          <w:lang w:val="en-US"/>
        </w:rPr>
        <w:t>Means</w:t>
      </w:r>
      <w:r w:rsidRPr="00420878">
        <w:rPr>
          <w:rFonts w:cs="Times New Roman"/>
          <w:szCs w:val="24"/>
          <w:lang w:val="en-US"/>
        </w:rPr>
        <w:t xml:space="preserve">. - 2nd ed. - Routledge, 1991. – p. 434 </w:t>
      </w:r>
    </w:p>
    <w:p w14:paraId="01FAAAA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Bilimoria, D. Building the Business Case for Women Corporate Directors // Women on Corporate Boards of Directors: International Challenges and Opportunities. - 2000. - pp. 25-40.</w:t>
      </w:r>
    </w:p>
    <w:p w14:paraId="0871B46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Black, B. Corporate governance indices and firms' market values: Time series evidence from Russia / B. Black, I. Love, A. </w:t>
      </w:r>
      <w:proofErr w:type="spellStart"/>
      <w:r w:rsidRPr="00F500A9">
        <w:rPr>
          <w:rFonts w:cs="Times New Roman"/>
          <w:szCs w:val="24"/>
          <w:lang w:val="en-US"/>
        </w:rPr>
        <w:t>Rachinsky</w:t>
      </w:r>
      <w:proofErr w:type="spellEnd"/>
      <w:r w:rsidRPr="00F500A9">
        <w:rPr>
          <w:rFonts w:cs="Times New Roman"/>
          <w:szCs w:val="24"/>
          <w:lang w:val="en-US"/>
        </w:rPr>
        <w:t xml:space="preserve"> // Emerging Markets Review. - 2006. - Vol. 7(4). - pp. 361-379.</w:t>
      </w:r>
    </w:p>
    <w:p w14:paraId="0D2327F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Bond, J.K. Cooperative Financial Performance and Board of Director Characteristics: A Quantitative Investigation // Journal of Cooperatives. - 2009. - №22. - pp. 22-</w:t>
      </w:r>
      <w:proofErr w:type="gramStart"/>
      <w:r w:rsidRPr="00F500A9">
        <w:rPr>
          <w:rFonts w:cs="Times New Roman"/>
          <w:szCs w:val="24"/>
          <w:lang w:val="en-US"/>
        </w:rPr>
        <w:t>44 .</w:t>
      </w:r>
      <w:proofErr w:type="gramEnd"/>
    </w:p>
    <w:p w14:paraId="18C211CF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Boyd, B. K. Corporate </w:t>
      </w:r>
      <w:proofErr w:type="gramStart"/>
      <w:r w:rsidRPr="00F500A9">
        <w:rPr>
          <w:rFonts w:cs="Times New Roman"/>
          <w:szCs w:val="24"/>
          <w:lang w:val="en-US"/>
        </w:rPr>
        <w:t>linkages</w:t>
      </w:r>
      <w:proofErr w:type="gramEnd"/>
      <w:r w:rsidRPr="00F500A9">
        <w:rPr>
          <w:rFonts w:cs="Times New Roman"/>
          <w:szCs w:val="24"/>
          <w:lang w:val="en-US"/>
        </w:rPr>
        <w:t xml:space="preserve"> and organizational environment: A test of the resource dependence model // Strategic Management Journal. - 1990. - №11(6). - pp. 419-430.</w:t>
      </w:r>
    </w:p>
    <w:p w14:paraId="6831F4E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Bozec</w:t>
      </w:r>
      <w:proofErr w:type="spellEnd"/>
      <w:r w:rsidRPr="00F500A9">
        <w:rPr>
          <w:rFonts w:cs="Times New Roman"/>
          <w:szCs w:val="24"/>
          <w:lang w:val="en-US"/>
        </w:rPr>
        <w:t>, R. Boards of Directors, Market Discipline and Firm Performance // Journal of Business Finance &amp; Accounting. - 2005. - №32(9-10). - pp. 1921-1960.</w:t>
      </w:r>
    </w:p>
    <w:p w14:paraId="5F8D893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color w:val="000000" w:themeColor="text1"/>
          <w:szCs w:val="24"/>
          <w:lang w:val="en-US"/>
        </w:rPr>
      </w:pPr>
      <w:r w:rsidRPr="00F500A9">
        <w:rPr>
          <w:rFonts w:cs="Times New Roman"/>
          <w:color w:val="000000" w:themeColor="text1"/>
          <w:szCs w:val="24"/>
          <w:lang w:val="en-US"/>
        </w:rPr>
        <w:t>Brealey, R.A. Principles of Corporate Finance / R.A. Brealey, S.C. Myers S, F. Allen - 10th ed. - New York: McGraw-Hill/Irwin, 2011. – p. 969. - 978-0-07-353073-4</w:t>
      </w:r>
    </w:p>
    <w:p w14:paraId="53D6563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Carter, D.A. The Gender and Ethnic Diversity of US Boards and Board Committees and Firm Financial Performance / D.A. Carter, F. D’Souza, B.J. Simkins, W.G. Simpson // Corporate Governance: An International Review. - 2010. - Vol. 18(5). - pp. 396-414.</w:t>
      </w:r>
    </w:p>
    <w:p w14:paraId="60B5E47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Chen, Z. ESG disclosure and financial performance: Moderating role of ESG investors / Z. Chen, G. </w:t>
      </w:r>
      <w:proofErr w:type="spellStart"/>
      <w:r w:rsidRPr="00F500A9">
        <w:rPr>
          <w:rFonts w:cs="Times New Roman"/>
          <w:szCs w:val="24"/>
          <w:lang w:val="en-US"/>
        </w:rPr>
        <w:t>Xie</w:t>
      </w:r>
      <w:proofErr w:type="spellEnd"/>
      <w:r w:rsidRPr="00F500A9">
        <w:rPr>
          <w:rFonts w:cs="Times New Roman"/>
          <w:szCs w:val="24"/>
          <w:lang w:val="en-US"/>
        </w:rPr>
        <w:t xml:space="preserve"> // International Review of Financial Analysis. - 2022. - Vol. 83</w:t>
      </w:r>
    </w:p>
    <w:p w14:paraId="3D0A0EA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color w:val="000000"/>
          <w:szCs w:val="24"/>
          <w:lang w:val="en-US"/>
        </w:rPr>
        <w:t xml:space="preserve">Cheng, S. Board </w:t>
      </w:r>
      <w:proofErr w:type="gramStart"/>
      <w:r w:rsidRPr="00F500A9">
        <w:rPr>
          <w:rFonts w:cs="Times New Roman"/>
          <w:color w:val="000000"/>
          <w:szCs w:val="24"/>
          <w:lang w:val="en-US"/>
        </w:rPr>
        <w:t>Size</w:t>
      </w:r>
      <w:proofErr w:type="gramEnd"/>
      <w:r w:rsidRPr="00F500A9">
        <w:rPr>
          <w:rFonts w:cs="Times New Roman"/>
          <w:color w:val="000000"/>
          <w:szCs w:val="24"/>
          <w:lang w:val="en-US"/>
        </w:rPr>
        <w:t xml:space="preserve"> and the Variability of Corporate Performance // Journal of Financial Economics. - 2008. - №87(1). - pp. 157-176.</w:t>
      </w:r>
    </w:p>
    <w:p w14:paraId="45E0242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lastRenderedPageBreak/>
        <w:t>Chung, K.H. A Simple Approximation of Tobin's q / K.H. Chung, S.W. Pruitt // Financial Management. - 1994. - №23(3). - pp. 70-74.</w:t>
      </w:r>
    </w:p>
    <w:p w14:paraId="42D8F5E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Coase, R.H. The Nature of the Firm // </w:t>
      </w:r>
      <w:proofErr w:type="spellStart"/>
      <w:r w:rsidRPr="00F500A9">
        <w:rPr>
          <w:rFonts w:cs="Times New Roman"/>
          <w:szCs w:val="24"/>
          <w:lang w:val="en-US"/>
        </w:rPr>
        <w:t>Economica</w:t>
      </w:r>
      <w:proofErr w:type="spellEnd"/>
      <w:r w:rsidRPr="00F500A9">
        <w:rPr>
          <w:rFonts w:cs="Times New Roman"/>
          <w:szCs w:val="24"/>
          <w:lang w:val="en-US"/>
        </w:rPr>
        <w:t>. - 1937. - Vol. 4(16). - pp. 386-405.</w:t>
      </w:r>
    </w:p>
    <w:p w14:paraId="185EFFDB" w14:textId="493B4F05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Coles, J.L. Boards: Does one size fit all? / J.L. Coles, N.D. Daniel, L. Naveen // Journal of Financial Economics. - 2008. - №87(2). - pp. 329-356.</w:t>
      </w:r>
    </w:p>
    <w:p w14:paraId="0F8A32F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Daiser</w:t>
      </w:r>
      <w:proofErr w:type="spellEnd"/>
      <w:r w:rsidRPr="00F500A9">
        <w:rPr>
          <w:rFonts w:cs="Times New Roman"/>
          <w:szCs w:val="24"/>
          <w:lang w:val="en-US"/>
        </w:rPr>
        <w:t xml:space="preserve">, P. Corporate governance of state-owned enterprises: a systematic analysis of empirical literature / P. </w:t>
      </w:r>
      <w:proofErr w:type="spellStart"/>
      <w:r w:rsidRPr="00F500A9">
        <w:rPr>
          <w:rFonts w:cs="Times New Roman"/>
          <w:szCs w:val="24"/>
          <w:lang w:val="en-US"/>
        </w:rPr>
        <w:t>Daiser</w:t>
      </w:r>
      <w:proofErr w:type="spellEnd"/>
      <w:r w:rsidRPr="00F500A9">
        <w:rPr>
          <w:rFonts w:cs="Times New Roman"/>
          <w:szCs w:val="24"/>
          <w:lang w:val="en-US"/>
        </w:rPr>
        <w:t xml:space="preserve">, T. </w:t>
      </w:r>
      <w:proofErr w:type="spellStart"/>
      <w:r w:rsidRPr="00F500A9">
        <w:rPr>
          <w:rFonts w:cs="Times New Roman"/>
          <w:szCs w:val="24"/>
          <w:lang w:val="en-US"/>
        </w:rPr>
        <w:t>Ysa</w:t>
      </w:r>
      <w:proofErr w:type="spellEnd"/>
      <w:r w:rsidRPr="00F500A9">
        <w:rPr>
          <w:rFonts w:cs="Times New Roman"/>
          <w:szCs w:val="24"/>
          <w:lang w:val="en-US"/>
        </w:rPr>
        <w:t>, D. Schmitt // International Journal of Public Sector Management. - 2017. - Vol. 30. - pp. 447-466.</w:t>
      </w:r>
    </w:p>
    <w:p w14:paraId="43D2600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Dalton, D.R. Number of </w:t>
      </w:r>
      <w:proofErr w:type="gramStart"/>
      <w:r w:rsidRPr="00F500A9">
        <w:rPr>
          <w:rFonts w:cs="Times New Roman"/>
          <w:szCs w:val="24"/>
          <w:lang w:val="en-US"/>
        </w:rPr>
        <w:t>Directors</w:t>
      </w:r>
      <w:proofErr w:type="gramEnd"/>
      <w:r w:rsidRPr="00F500A9">
        <w:rPr>
          <w:rFonts w:cs="Times New Roman"/>
          <w:szCs w:val="24"/>
          <w:lang w:val="en-US"/>
        </w:rPr>
        <w:t xml:space="preserve"> and Financial Performance: A Meta-Analysis / D.R. Dalton, C.M. Daily, J.L. Johnson, A.E. </w:t>
      </w:r>
      <w:proofErr w:type="spellStart"/>
      <w:r w:rsidRPr="00F500A9">
        <w:rPr>
          <w:rFonts w:cs="Times New Roman"/>
          <w:szCs w:val="24"/>
          <w:lang w:val="en-US"/>
        </w:rPr>
        <w:t>Ellstrand</w:t>
      </w:r>
      <w:proofErr w:type="spellEnd"/>
      <w:r w:rsidRPr="00F500A9">
        <w:rPr>
          <w:rFonts w:cs="Times New Roman"/>
          <w:szCs w:val="24"/>
          <w:lang w:val="en-US"/>
        </w:rPr>
        <w:t xml:space="preserve"> // The Academy of Management Journal. - 1999. - №42(6). - pp. 674-686.</w:t>
      </w:r>
    </w:p>
    <w:p w14:paraId="78BC04F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Dang, R. Does board gender diversity influence firm profitability? A control function approach / R. Dang, L. </w:t>
      </w:r>
      <w:proofErr w:type="spellStart"/>
      <w:r w:rsidRPr="00F500A9">
        <w:rPr>
          <w:rFonts w:cs="Times New Roman"/>
          <w:szCs w:val="24"/>
          <w:lang w:val="en-US"/>
        </w:rPr>
        <w:t>Houanti</w:t>
      </w:r>
      <w:proofErr w:type="spellEnd"/>
      <w:r w:rsidRPr="00F500A9">
        <w:rPr>
          <w:rFonts w:cs="Times New Roman"/>
          <w:szCs w:val="24"/>
          <w:lang w:val="en-US"/>
        </w:rPr>
        <w:t xml:space="preserve">, K. Reddy, M. </w:t>
      </w:r>
      <w:proofErr w:type="spellStart"/>
      <w:r w:rsidRPr="00F500A9">
        <w:rPr>
          <w:rFonts w:cs="Times New Roman"/>
          <w:szCs w:val="24"/>
          <w:lang w:val="en-US"/>
        </w:rPr>
        <w:t>Simioni</w:t>
      </w:r>
      <w:proofErr w:type="spellEnd"/>
      <w:r w:rsidRPr="00F500A9">
        <w:rPr>
          <w:rFonts w:cs="Times New Roman"/>
          <w:szCs w:val="24"/>
          <w:lang w:val="en-US"/>
        </w:rPr>
        <w:t xml:space="preserve"> // Emerging Markets Review. - 2020. - Vol. 90. - pp. 168-181.</w:t>
      </w:r>
    </w:p>
    <w:p w14:paraId="6017C961" w14:textId="035349AA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Davis, J.H. Toward a Stewardship Theory of Management / J.H. Davis, F.D. </w:t>
      </w:r>
      <w:proofErr w:type="spellStart"/>
      <w:r w:rsidRPr="00F500A9">
        <w:rPr>
          <w:rFonts w:cs="Times New Roman"/>
          <w:szCs w:val="24"/>
          <w:lang w:val="en-US"/>
        </w:rPr>
        <w:t>Schoorman</w:t>
      </w:r>
      <w:proofErr w:type="spellEnd"/>
      <w:r w:rsidRPr="00F500A9">
        <w:rPr>
          <w:rFonts w:cs="Times New Roman"/>
          <w:szCs w:val="24"/>
          <w:lang w:val="en-US"/>
        </w:rPr>
        <w:t>, L. Donaldson // Academy of Management. - 1997. - №Vol. 22, No.1. - pp. 20-47.</w:t>
      </w:r>
    </w:p>
    <w:p w14:paraId="0B957112" w14:textId="2D3D9FE1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Eyenubo</w:t>
      </w:r>
      <w:proofErr w:type="spellEnd"/>
      <w:r w:rsidRPr="00F500A9">
        <w:rPr>
          <w:rFonts w:cs="Times New Roman"/>
          <w:szCs w:val="24"/>
          <w:lang w:val="en-US"/>
        </w:rPr>
        <w:t>, A.S. The impact of bigger board size on financial performance of firms: The Nigerian experience // Journal of Research in International Business and Management. - 2013. - Vol. 3(3). - pp. 85-90.</w:t>
      </w:r>
    </w:p>
    <w:p w14:paraId="7F1F896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Falato</w:t>
      </w:r>
      <w:proofErr w:type="spellEnd"/>
      <w:r w:rsidRPr="00F500A9">
        <w:rPr>
          <w:rFonts w:cs="Times New Roman"/>
          <w:szCs w:val="24"/>
          <w:lang w:val="en-US"/>
        </w:rPr>
        <w:t xml:space="preserve">, A. Distracted directors: Does board busyness hurt shareholder value? / A. </w:t>
      </w:r>
      <w:proofErr w:type="spellStart"/>
      <w:r w:rsidRPr="00F500A9">
        <w:rPr>
          <w:rFonts w:cs="Times New Roman"/>
          <w:szCs w:val="24"/>
          <w:lang w:val="en-US"/>
        </w:rPr>
        <w:t>Falato</w:t>
      </w:r>
      <w:proofErr w:type="spellEnd"/>
      <w:r w:rsidRPr="00F500A9">
        <w:rPr>
          <w:rFonts w:cs="Times New Roman"/>
          <w:szCs w:val="24"/>
          <w:lang w:val="en-US"/>
        </w:rPr>
        <w:t xml:space="preserve">, D. </w:t>
      </w:r>
      <w:proofErr w:type="spellStart"/>
      <w:r w:rsidRPr="00F500A9">
        <w:rPr>
          <w:rFonts w:cs="Times New Roman"/>
          <w:szCs w:val="24"/>
          <w:lang w:val="en-US"/>
        </w:rPr>
        <w:t>Kadyrzhanova</w:t>
      </w:r>
      <w:proofErr w:type="spellEnd"/>
      <w:r w:rsidRPr="00F500A9">
        <w:rPr>
          <w:rFonts w:cs="Times New Roman"/>
          <w:szCs w:val="24"/>
          <w:lang w:val="en-US"/>
        </w:rPr>
        <w:t xml:space="preserve">, U. </w:t>
      </w:r>
      <w:proofErr w:type="spellStart"/>
      <w:r w:rsidRPr="00F500A9">
        <w:rPr>
          <w:rFonts w:cs="Times New Roman"/>
          <w:szCs w:val="24"/>
          <w:lang w:val="en-US"/>
        </w:rPr>
        <w:t>Lel</w:t>
      </w:r>
      <w:proofErr w:type="spellEnd"/>
      <w:r w:rsidRPr="00F500A9">
        <w:rPr>
          <w:rFonts w:cs="Times New Roman"/>
          <w:szCs w:val="24"/>
          <w:lang w:val="en-US"/>
        </w:rPr>
        <w:t xml:space="preserve"> // Journal of Financial Economics. - 2014. - Vol. 113(3). - pp. 404-426.</w:t>
      </w:r>
    </w:p>
    <w:p w14:paraId="77E7AB7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Fama</w:t>
      </w:r>
      <w:proofErr w:type="spellEnd"/>
      <w:r w:rsidRPr="00F500A9">
        <w:rPr>
          <w:rFonts w:cs="Times New Roman"/>
          <w:szCs w:val="24"/>
          <w:lang w:val="en-US"/>
        </w:rPr>
        <w:t xml:space="preserve">, E.F. Separation of Ownership and Control / E.F. </w:t>
      </w:r>
      <w:proofErr w:type="spellStart"/>
      <w:r w:rsidRPr="00F500A9">
        <w:rPr>
          <w:rFonts w:cs="Times New Roman"/>
          <w:szCs w:val="24"/>
          <w:lang w:val="en-US"/>
        </w:rPr>
        <w:t>Fama</w:t>
      </w:r>
      <w:proofErr w:type="spellEnd"/>
      <w:r w:rsidRPr="00F500A9">
        <w:rPr>
          <w:rFonts w:cs="Times New Roman"/>
          <w:szCs w:val="24"/>
          <w:lang w:val="en-US"/>
        </w:rPr>
        <w:t>, M.C. Jensen // The Journal of Law &amp; Economics. - 1983. - №Vol. 26, No. 2. - pp. 301-325.</w:t>
      </w:r>
    </w:p>
    <w:p w14:paraId="0DA97C67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Fich</w:t>
      </w:r>
      <w:proofErr w:type="spellEnd"/>
      <w:r w:rsidRPr="00F500A9">
        <w:rPr>
          <w:rFonts w:cs="Times New Roman"/>
          <w:szCs w:val="24"/>
          <w:lang w:val="en-US"/>
        </w:rPr>
        <w:t xml:space="preserve">, E.M. Are Busy Boards Effective Monitors? / E.M. </w:t>
      </w:r>
      <w:proofErr w:type="spellStart"/>
      <w:r w:rsidRPr="00F500A9">
        <w:rPr>
          <w:rFonts w:cs="Times New Roman"/>
          <w:szCs w:val="24"/>
          <w:lang w:val="en-US"/>
        </w:rPr>
        <w:t>Fich</w:t>
      </w:r>
      <w:proofErr w:type="spellEnd"/>
      <w:r w:rsidRPr="00F500A9">
        <w:rPr>
          <w:rFonts w:cs="Times New Roman"/>
          <w:szCs w:val="24"/>
          <w:lang w:val="en-US"/>
        </w:rPr>
        <w:t xml:space="preserve">, A. </w:t>
      </w:r>
      <w:proofErr w:type="spellStart"/>
      <w:r w:rsidRPr="00F500A9">
        <w:rPr>
          <w:rFonts w:cs="Times New Roman"/>
          <w:szCs w:val="24"/>
          <w:lang w:val="en-US"/>
        </w:rPr>
        <w:t>Shivdasani</w:t>
      </w:r>
      <w:proofErr w:type="spellEnd"/>
      <w:r w:rsidRPr="00F500A9">
        <w:rPr>
          <w:rFonts w:cs="Times New Roman"/>
          <w:szCs w:val="24"/>
          <w:lang w:val="en-US"/>
        </w:rPr>
        <w:t xml:space="preserve"> // The Journal of Finance. - 2006. - Vol. 61(2). - pp. 689-724.</w:t>
      </w:r>
    </w:p>
    <w:p w14:paraId="3A162740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Finegold, D. Corporate Boards and Company Performance: review of research </w:t>
      </w:r>
      <w:proofErr w:type="gramStart"/>
      <w:r w:rsidRPr="00F500A9">
        <w:rPr>
          <w:rFonts w:cs="Times New Roman"/>
          <w:szCs w:val="24"/>
          <w:lang w:val="en-US"/>
        </w:rPr>
        <w:t>in light of</w:t>
      </w:r>
      <w:proofErr w:type="gramEnd"/>
      <w:r w:rsidRPr="00F500A9">
        <w:rPr>
          <w:rFonts w:cs="Times New Roman"/>
          <w:szCs w:val="24"/>
          <w:lang w:val="en-US"/>
        </w:rPr>
        <w:t xml:space="preserve"> recent reforms / D. Finegold, G.S. Benson, D. Hecht // Corporate Governance: An International Review. - 2007. - №15(5). – pp. 865-878.</w:t>
      </w:r>
    </w:p>
    <w:p w14:paraId="7EECA60D" w14:textId="302B3928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Fratini</w:t>
      </w:r>
      <w:proofErr w:type="spellEnd"/>
      <w:r w:rsidRPr="00F500A9">
        <w:rPr>
          <w:rFonts w:cs="Times New Roman"/>
          <w:szCs w:val="24"/>
          <w:lang w:val="en-US"/>
        </w:rPr>
        <w:t xml:space="preserve">, F. Corporate Governance and Performance: Evidence from Italian Companies / F. </w:t>
      </w:r>
      <w:proofErr w:type="spellStart"/>
      <w:r w:rsidRPr="00F500A9">
        <w:rPr>
          <w:rFonts w:cs="Times New Roman"/>
          <w:szCs w:val="24"/>
          <w:lang w:val="en-US"/>
        </w:rPr>
        <w:t>Fratini</w:t>
      </w:r>
      <w:proofErr w:type="spellEnd"/>
      <w:r w:rsidRPr="00F500A9">
        <w:rPr>
          <w:rFonts w:cs="Times New Roman"/>
          <w:szCs w:val="24"/>
          <w:lang w:val="en-US"/>
        </w:rPr>
        <w:t xml:space="preserve">, P. </w:t>
      </w:r>
      <w:proofErr w:type="spellStart"/>
      <w:proofErr w:type="gramStart"/>
      <w:r w:rsidRPr="00F500A9">
        <w:rPr>
          <w:rFonts w:cs="Times New Roman"/>
          <w:szCs w:val="24"/>
          <w:lang w:val="en-US"/>
        </w:rPr>
        <w:t>Tettamanzi</w:t>
      </w:r>
      <w:proofErr w:type="spellEnd"/>
      <w:r w:rsidRPr="00F500A9">
        <w:rPr>
          <w:rFonts w:cs="Times New Roman"/>
          <w:szCs w:val="24"/>
          <w:lang w:val="en-US"/>
        </w:rPr>
        <w:t xml:space="preserve">  /</w:t>
      </w:r>
      <w:proofErr w:type="gramEnd"/>
      <w:r w:rsidRPr="00F500A9">
        <w:rPr>
          <w:rFonts w:cs="Times New Roman"/>
          <w:szCs w:val="24"/>
          <w:lang w:val="en-US"/>
        </w:rPr>
        <w:t>/ Open Journal of Business and Management. - 2015. - №03(2). - pp. 199-218.</w:t>
      </w:r>
    </w:p>
    <w:p w14:paraId="57AB3ED3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Freeman, R.E. Strategic Management: A Stakeholder Approach. - Boston: Pitman, 1984. - 276 p.</w:t>
      </w:r>
    </w:p>
    <w:p w14:paraId="5F961977" w14:textId="053C89C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lastRenderedPageBreak/>
        <w:t>Geletkanycz</w:t>
      </w:r>
      <w:proofErr w:type="spellEnd"/>
      <w:r w:rsidRPr="00F500A9">
        <w:rPr>
          <w:rFonts w:cs="Times New Roman"/>
          <w:szCs w:val="24"/>
          <w:lang w:val="en-US"/>
        </w:rPr>
        <w:t xml:space="preserve">, M.A. CEO Outside Directorships and Firm Performance: A Reconciliation of Agency and Embeddedness Views / M.A. </w:t>
      </w:r>
      <w:proofErr w:type="spellStart"/>
      <w:r w:rsidRPr="00F500A9">
        <w:rPr>
          <w:rFonts w:cs="Times New Roman"/>
          <w:szCs w:val="24"/>
          <w:lang w:val="en-US"/>
        </w:rPr>
        <w:t>Geletkanycz</w:t>
      </w:r>
      <w:proofErr w:type="spellEnd"/>
      <w:r w:rsidRPr="00F500A9">
        <w:rPr>
          <w:rFonts w:cs="Times New Roman"/>
          <w:szCs w:val="24"/>
          <w:lang w:val="en-US"/>
        </w:rPr>
        <w:t>, B.K. Boyd // Academy of Management Journal. - 2011. - №54. - pp. 335-352.</w:t>
      </w:r>
    </w:p>
    <w:p w14:paraId="1C5BCAE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Goel, A. Effect of Board Size on Firm's Performance: </w:t>
      </w:r>
      <w:proofErr w:type="gramStart"/>
      <w:r w:rsidRPr="00F500A9">
        <w:rPr>
          <w:rFonts w:cs="Times New Roman"/>
          <w:szCs w:val="24"/>
          <w:lang w:val="en-US"/>
        </w:rPr>
        <w:t>Evidences</w:t>
      </w:r>
      <w:proofErr w:type="gramEnd"/>
      <w:r w:rsidRPr="00F500A9">
        <w:rPr>
          <w:rFonts w:cs="Times New Roman"/>
          <w:szCs w:val="24"/>
          <w:lang w:val="en-US"/>
        </w:rPr>
        <w:t xml:space="preserve"> from India / A. Goel, R. Sharma // International Journal of Applied Business and Economic Research. - 2020. - Vol. 15(22</w:t>
      </w:r>
      <w:proofErr w:type="gramStart"/>
      <w:r w:rsidRPr="00F500A9">
        <w:rPr>
          <w:rFonts w:cs="Times New Roman"/>
          <w:szCs w:val="24"/>
          <w:lang w:val="en-US"/>
        </w:rPr>
        <w:t>) .</w:t>
      </w:r>
      <w:proofErr w:type="gramEnd"/>
      <w:r w:rsidRPr="00F500A9">
        <w:rPr>
          <w:rFonts w:cs="Times New Roman"/>
          <w:szCs w:val="24"/>
          <w:lang w:val="en-US"/>
        </w:rPr>
        <w:t xml:space="preserve"> - pp. 139-151.</w:t>
      </w:r>
    </w:p>
    <w:p w14:paraId="08834C72" w14:textId="19CC2CCD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Hill, C.W.L. Stakeholder-Agency Theory/ C.W.L. Hill, T.M. Jones</w:t>
      </w:r>
      <w:r w:rsidR="00420878">
        <w:rPr>
          <w:rFonts w:cs="Times New Roman"/>
          <w:szCs w:val="24"/>
          <w:lang w:val="en-US"/>
        </w:rPr>
        <w:t xml:space="preserve"> </w:t>
      </w:r>
      <w:r w:rsidRPr="00F500A9">
        <w:rPr>
          <w:rFonts w:cs="Times New Roman"/>
          <w:szCs w:val="24"/>
          <w:lang w:val="en-US"/>
        </w:rPr>
        <w:t>// Journal of Management Studies. - 1992. - Vol. 29. - pp. 131-154.</w:t>
      </w:r>
    </w:p>
    <w:p w14:paraId="30186D0F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Hillman A.J. Resource Dependence Theory: A Review / A.J. Hillman A.J., M.C. Withers, B.J. Collins // Journal of Management. - 2009. - Vol. 35</w:t>
      </w:r>
    </w:p>
    <w:p w14:paraId="341CA26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Hillman, A.J. Politicians on the Board of Directors: Do Connections Affect the Bottom Line? // Journal of Management. - 2005. - Vol. 31(3)</w:t>
      </w:r>
    </w:p>
    <w:p w14:paraId="498F2DF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Hundal</w:t>
      </w:r>
      <w:proofErr w:type="spellEnd"/>
      <w:r w:rsidRPr="00F500A9">
        <w:rPr>
          <w:rFonts w:cs="Times New Roman"/>
          <w:szCs w:val="24"/>
          <w:lang w:val="en-US"/>
        </w:rPr>
        <w:t>, S. Multiple Directorships of Corporate Boards and Firm Performance in India // Corporate Ownership &amp; Control. - 2017. - Vol. 14(4). - pp. 150-164.</w:t>
      </w:r>
    </w:p>
    <w:p w14:paraId="14E37A28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Jensen, M. Theory of the Firm: Managerial Behavior, Agency Costs, and Ownership Structure / M. Jensen, W. </w:t>
      </w:r>
      <w:proofErr w:type="spellStart"/>
      <w:r w:rsidRPr="00F500A9">
        <w:rPr>
          <w:rFonts w:cs="Times New Roman"/>
          <w:szCs w:val="24"/>
          <w:lang w:val="en-US"/>
        </w:rPr>
        <w:t>Meckling</w:t>
      </w:r>
      <w:proofErr w:type="spellEnd"/>
      <w:r w:rsidRPr="00F500A9">
        <w:rPr>
          <w:rFonts w:cs="Times New Roman"/>
          <w:szCs w:val="24"/>
          <w:lang w:val="en-US"/>
        </w:rPr>
        <w:t xml:space="preserve"> // Journal of Financial Economics. - 1976. - Vol. 3, № 4. - pp.305–360.</w:t>
      </w:r>
    </w:p>
    <w:p w14:paraId="75D21C0E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Jiang, Y. Principal-principal conflicts during crisis / Y. Jiang, M. Peng // Asia Pacific Journal of Management. - 2015. - Vol.28 (4). – pp. 683-695.</w:t>
      </w:r>
    </w:p>
    <w:p w14:paraId="188B48E3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Johnson, S.G. Board Composition Beyond Independence: Social Capital, Human Capital, and Demographics / S.G. Johnson, K. </w:t>
      </w:r>
      <w:proofErr w:type="spellStart"/>
      <w:r w:rsidRPr="00F500A9">
        <w:rPr>
          <w:rFonts w:cs="Times New Roman"/>
          <w:szCs w:val="24"/>
          <w:lang w:val="en-US"/>
        </w:rPr>
        <w:t>Schnatterly</w:t>
      </w:r>
      <w:proofErr w:type="spellEnd"/>
      <w:r w:rsidRPr="00F500A9">
        <w:rPr>
          <w:rFonts w:cs="Times New Roman"/>
          <w:szCs w:val="24"/>
          <w:lang w:val="en-US"/>
        </w:rPr>
        <w:t>, A.D. Hill // Journal of Management. - 2013. - №Vol. 39. - pp. 232-262.</w:t>
      </w:r>
    </w:p>
    <w:p w14:paraId="3277F36C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Kajola</w:t>
      </w:r>
      <w:proofErr w:type="spellEnd"/>
      <w:r w:rsidRPr="00F500A9">
        <w:rPr>
          <w:rFonts w:cs="Times New Roman"/>
          <w:szCs w:val="24"/>
          <w:lang w:val="en-US"/>
        </w:rPr>
        <w:t xml:space="preserve">, S.O. The Effect of Corporate Board Size on Financial Performance of Nigerian Listed Firms / S.O. </w:t>
      </w:r>
      <w:proofErr w:type="spellStart"/>
      <w:r w:rsidRPr="00F500A9">
        <w:rPr>
          <w:rFonts w:cs="Times New Roman"/>
          <w:szCs w:val="24"/>
          <w:lang w:val="en-US"/>
        </w:rPr>
        <w:t>Kajola</w:t>
      </w:r>
      <w:proofErr w:type="spellEnd"/>
      <w:r w:rsidRPr="00F500A9">
        <w:rPr>
          <w:rFonts w:cs="Times New Roman"/>
          <w:szCs w:val="24"/>
          <w:lang w:val="en-US"/>
        </w:rPr>
        <w:t xml:space="preserve">, A.A. </w:t>
      </w:r>
      <w:proofErr w:type="spellStart"/>
      <w:r w:rsidRPr="00F500A9">
        <w:rPr>
          <w:rFonts w:cs="Times New Roman"/>
          <w:szCs w:val="24"/>
          <w:lang w:val="en-US"/>
        </w:rPr>
        <w:t>Onaolapo</w:t>
      </w:r>
      <w:proofErr w:type="spellEnd"/>
      <w:r w:rsidRPr="00F500A9">
        <w:rPr>
          <w:rFonts w:cs="Times New Roman"/>
          <w:szCs w:val="24"/>
          <w:lang w:val="en-US"/>
        </w:rPr>
        <w:t xml:space="preserve">, M.O. </w:t>
      </w:r>
      <w:proofErr w:type="spellStart"/>
      <w:r w:rsidRPr="00F500A9">
        <w:rPr>
          <w:rFonts w:cs="Times New Roman"/>
          <w:szCs w:val="24"/>
          <w:lang w:val="en-US"/>
        </w:rPr>
        <w:t>Adelowotan</w:t>
      </w:r>
      <w:proofErr w:type="spellEnd"/>
      <w:r w:rsidRPr="00F500A9">
        <w:rPr>
          <w:rFonts w:cs="Times New Roman"/>
          <w:szCs w:val="24"/>
          <w:lang w:val="en-US"/>
        </w:rPr>
        <w:t xml:space="preserve"> // Nigerian Journal of Management Sciences. - 2017. - Vol. 6(1</w:t>
      </w:r>
      <w:proofErr w:type="gramStart"/>
      <w:r w:rsidRPr="00F500A9">
        <w:rPr>
          <w:rFonts w:cs="Times New Roman"/>
          <w:szCs w:val="24"/>
          <w:lang w:val="en-US"/>
        </w:rPr>
        <w:t>) .</w:t>
      </w:r>
      <w:proofErr w:type="gramEnd"/>
      <w:r w:rsidRPr="00F500A9">
        <w:rPr>
          <w:rFonts w:cs="Times New Roman"/>
          <w:szCs w:val="24"/>
          <w:lang w:val="en-US"/>
        </w:rPr>
        <w:t xml:space="preserve"> - pp. 204-213.</w:t>
      </w:r>
    </w:p>
    <w:p w14:paraId="3EC25099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Kallamu</w:t>
      </w:r>
      <w:proofErr w:type="spellEnd"/>
      <w:r w:rsidRPr="00F500A9">
        <w:rPr>
          <w:rFonts w:cs="Times New Roman"/>
          <w:szCs w:val="24"/>
          <w:lang w:val="en-US"/>
        </w:rPr>
        <w:t>, B.S. Impact of Corporate Governance on Diversification in Finance Companies: Evidence from Malaysia // Journal of Economics Bibliography. - 2016. - №3(1). - pp. 108-122.</w:t>
      </w:r>
    </w:p>
    <w:p w14:paraId="3F9AD9A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Kanakriyah</w:t>
      </w:r>
      <w:proofErr w:type="spellEnd"/>
      <w:r w:rsidRPr="00F500A9">
        <w:rPr>
          <w:rFonts w:cs="Times New Roman"/>
          <w:szCs w:val="24"/>
          <w:lang w:val="en-US"/>
        </w:rPr>
        <w:t>, R. Impact of Board of Directors' Characteristics on Firm Performance: A Case Study in Jordan // The Journal of Asian Finance, Economics and Business. - 2021. - Vol. 8(3). - pp. 341-350.</w:t>
      </w:r>
    </w:p>
    <w:p w14:paraId="329D5807" w14:textId="48DF706A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Kathuria</w:t>
      </w:r>
      <w:proofErr w:type="spellEnd"/>
      <w:r w:rsidRPr="00F500A9">
        <w:rPr>
          <w:rFonts w:cs="Times New Roman"/>
          <w:szCs w:val="24"/>
          <w:lang w:val="en-US"/>
        </w:rPr>
        <w:t xml:space="preserve">, V. Board Size and Corporate Financial Performance: An Investigation / V. </w:t>
      </w:r>
      <w:proofErr w:type="spellStart"/>
      <w:r w:rsidRPr="00F500A9">
        <w:rPr>
          <w:rFonts w:cs="Times New Roman"/>
          <w:szCs w:val="24"/>
          <w:lang w:val="en-US"/>
        </w:rPr>
        <w:t>Kathuria</w:t>
      </w:r>
      <w:proofErr w:type="spellEnd"/>
      <w:r w:rsidRPr="00F500A9">
        <w:rPr>
          <w:rFonts w:cs="Times New Roman"/>
          <w:szCs w:val="24"/>
          <w:lang w:val="en-US"/>
        </w:rPr>
        <w:t xml:space="preserve">, S. Dash // </w:t>
      </w:r>
      <w:proofErr w:type="spellStart"/>
      <w:r w:rsidRPr="00F500A9">
        <w:rPr>
          <w:rFonts w:cs="Times New Roman"/>
          <w:szCs w:val="24"/>
          <w:lang w:val="en-US"/>
        </w:rPr>
        <w:t>Vikalpa</w:t>
      </w:r>
      <w:proofErr w:type="spellEnd"/>
      <w:r w:rsidRPr="00F500A9">
        <w:rPr>
          <w:rFonts w:cs="Times New Roman"/>
          <w:szCs w:val="24"/>
          <w:lang w:val="en-US"/>
        </w:rPr>
        <w:t>: The Journal for Decision Makers. - 1999. - №24(3). - pp. 11-17.</w:t>
      </w:r>
    </w:p>
    <w:p w14:paraId="5946D56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lastRenderedPageBreak/>
        <w:t>Kept</w:t>
      </w:r>
      <w:proofErr w:type="spellEnd"/>
      <w:r w:rsidRPr="00F500A9">
        <w:rPr>
          <w:rFonts w:cs="Times New Roman"/>
          <w:szCs w:val="24"/>
        </w:rPr>
        <w:t xml:space="preserve"> &amp; E+ Change. Барометр устойчивой трансформации бизнеса // </w:t>
      </w:r>
      <w:proofErr w:type="spellStart"/>
      <w:r w:rsidRPr="00F500A9">
        <w:rPr>
          <w:rFonts w:cs="Times New Roman"/>
          <w:szCs w:val="24"/>
        </w:rPr>
        <w:t>Kept</w:t>
      </w:r>
      <w:proofErr w:type="spellEnd"/>
      <w:r w:rsidRPr="00F500A9">
        <w:rPr>
          <w:rFonts w:cs="Times New Roman"/>
          <w:szCs w:val="24"/>
        </w:rPr>
        <w:t xml:space="preserve"> </w:t>
      </w:r>
      <w:bookmarkStart w:id="109" w:name="_Hlk131933088"/>
      <w:r w:rsidRPr="00F500A9">
        <w:rPr>
          <w:rFonts w:cs="Times New Roman"/>
          <w:szCs w:val="24"/>
        </w:rPr>
        <w:t>URL: https://assets.kept.ru/upload/pdf/2022/10/ru-kept-and-eplus-barometr-of-sustainable-business-transformation.pdf (дата обращения: 11.12.2022)</w:t>
      </w:r>
      <w:bookmarkEnd w:id="109"/>
      <w:r w:rsidRPr="00F500A9">
        <w:rPr>
          <w:rFonts w:cs="Times New Roman"/>
          <w:szCs w:val="24"/>
        </w:rPr>
        <w:t>.</w:t>
      </w:r>
    </w:p>
    <w:p w14:paraId="0D7536CC" w14:textId="3EE87856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Kramarić</w:t>
      </w:r>
      <w:proofErr w:type="spellEnd"/>
      <w:r w:rsidRPr="00F500A9">
        <w:rPr>
          <w:rFonts w:cs="Times New Roman"/>
          <w:szCs w:val="24"/>
          <w:lang w:val="en-US"/>
        </w:rPr>
        <w:t xml:space="preserve">, T.P. Measuring the impact of board characteristics on the performance of Croatian insurance companies / T.P. </w:t>
      </w:r>
      <w:proofErr w:type="spellStart"/>
      <w:r w:rsidRPr="00F500A9">
        <w:rPr>
          <w:rFonts w:cs="Times New Roman"/>
          <w:szCs w:val="24"/>
          <w:lang w:val="en-US"/>
        </w:rPr>
        <w:t>Kramaric</w:t>
      </w:r>
      <w:proofErr w:type="spellEnd"/>
      <w:r w:rsidRPr="00F500A9">
        <w:rPr>
          <w:rFonts w:cs="Times New Roman"/>
          <w:szCs w:val="24"/>
          <w:lang w:val="en-US"/>
        </w:rPr>
        <w:t xml:space="preserve">, A. </w:t>
      </w:r>
      <w:proofErr w:type="spellStart"/>
      <w:r w:rsidRPr="00F500A9">
        <w:rPr>
          <w:rFonts w:cs="Times New Roman"/>
          <w:szCs w:val="24"/>
          <w:lang w:val="en-US"/>
        </w:rPr>
        <w:t>Aleksic</w:t>
      </w:r>
      <w:proofErr w:type="spellEnd"/>
      <w:r w:rsidRPr="00F500A9">
        <w:rPr>
          <w:rFonts w:cs="Times New Roman"/>
          <w:szCs w:val="24"/>
          <w:lang w:val="en-US"/>
        </w:rPr>
        <w:t>, M.P. Bach // International Journal of Engineering Business Management. - 2018. - №10. - pp. 1-13.</w:t>
      </w:r>
    </w:p>
    <w:p w14:paraId="64C3DEF0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Kwaji</w:t>
      </w:r>
      <w:proofErr w:type="spellEnd"/>
      <w:r w:rsidRPr="00F500A9">
        <w:rPr>
          <w:rFonts w:cs="Times New Roman"/>
          <w:szCs w:val="24"/>
          <w:lang w:val="en-US"/>
        </w:rPr>
        <w:t xml:space="preserve"> Effect of board characteristics on the performance of listed food and beverages firms in Nigeria / </w:t>
      </w:r>
      <w:proofErr w:type="spellStart"/>
      <w:r w:rsidRPr="00F500A9">
        <w:rPr>
          <w:rFonts w:cs="Times New Roman"/>
          <w:szCs w:val="24"/>
          <w:lang w:val="en-US"/>
        </w:rPr>
        <w:t>Kwaji</w:t>
      </w:r>
      <w:proofErr w:type="spellEnd"/>
      <w:r w:rsidRPr="00F500A9">
        <w:rPr>
          <w:rFonts w:cs="Times New Roman"/>
          <w:szCs w:val="24"/>
          <w:lang w:val="en-US"/>
        </w:rPr>
        <w:t xml:space="preserve">, S. </w:t>
      </w:r>
      <w:proofErr w:type="spellStart"/>
      <w:r w:rsidRPr="00F500A9">
        <w:rPr>
          <w:rFonts w:cs="Times New Roman"/>
          <w:szCs w:val="24"/>
          <w:lang w:val="en-US"/>
        </w:rPr>
        <w:t>Fave</w:t>
      </w:r>
      <w:proofErr w:type="spellEnd"/>
      <w:r w:rsidRPr="00F500A9">
        <w:rPr>
          <w:rFonts w:cs="Times New Roman"/>
          <w:szCs w:val="24"/>
          <w:lang w:val="en-US"/>
        </w:rPr>
        <w:t xml:space="preserve">, </w:t>
      </w:r>
      <w:proofErr w:type="spellStart"/>
      <w:r w:rsidRPr="00F500A9">
        <w:rPr>
          <w:rFonts w:cs="Times New Roman"/>
          <w:szCs w:val="24"/>
          <w:lang w:val="en-US"/>
        </w:rPr>
        <w:t>Shmaki</w:t>
      </w:r>
      <w:proofErr w:type="spellEnd"/>
      <w:r w:rsidRPr="00F500A9">
        <w:rPr>
          <w:rFonts w:cs="Times New Roman"/>
          <w:szCs w:val="24"/>
          <w:lang w:val="en-US"/>
        </w:rPr>
        <w:t xml:space="preserve">, A. </w:t>
      </w:r>
      <w:proofErr w:type="spellStart"/>
      <w:r w:rsidRPr="00F500A9">
        <w:rPr>
          <w:rFonts w:cs="Times New Roman"/>
          <w:szCs w:val="24"/>
          <w:lang w:val="en-US"/>
        </w:rPr>
        <w:t>Rimamshung</w:t>
      </w:r>
      <w:proofErr w:type="spellEnd"/>
      <w:r w:rsidRPr="00F500A9">
        <w:rPr>
          <w:rFonts w:cs="Times New Roman"/>
          <w:szCs w:val="24"/>
          <w:lang w:val="en-US"/>
        </w:rPr>
        <w:t xml:space="preserve">, I.J. </w:t>
      </w:r>
      <w:proofErr w:type="spellStart"/>
      <w:r w:rsidRPr="00F500A9">
        <w:rPr>
          <w:rFonts w:cs="Times New Roman"/>
          <w:szCs w:val="24"/>
          <w:lang w:val="en-US"/>
        </w:rPr>
        <w:t>Dabari</w:t>
      </w:r>
      <w:proofErr w:type="spellEnd"/>
      <w:r w:rsidRPr="00F500A9">
        <w:rPr>
          <w:rFonts w:cs="Times New Roman"/>
          <w:szCs w:val="24"/>
          <w:lang w:val="en-US"/>
        </w:rPr>
        <w:t xml:space="preserve"> // International Journal of Development Research. - 2017. - Vol. 7(10). - pp. 16260-16265.</w:t>
      </w:r>
    </w:p>
    <w:p w14:paraId="494C8B2F" w14:textId="77777777" w:rsidR="00F500A9" w:rsidRPr="00F500A9" w:rsidRDefault="00F500A9" w:rsidP="00F500A9">
      <w:pPr>
        <w:pStyle w:val="a9"/>
        <w:numPr>
          <w:ilvl w:val="0"/>
          <w:numId w:val="13"/>
        </w:numPr>
        <w:tabs>
          <w:tab w:val="left" w:pos="3352"/>
        </w:tabs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Lane, P.G. Relative absorptive capacity and interorganizational learning / P.G. Lane, M. </w:t>
      </w:r>
      <w:proofErr w:type="spellStart"/>
      <w:r w:rsidRPr="00F500A9">
        <w:rPr>
          <w:rFonts w:cs="Times New Roman"/>
          <w:szCs w:val="24"/>
          <w:lang w:val="en-US"/>
        </w:rPr>
        <w:t>Lubatkin</w:t>
      </w:r>
      <w:proofErr w:type="spellEnd"/>
      <w:r w:rsidRPr="00F500A9">
        <w:rPr>
          <w:rFonts w:cs="Times New Roman"/>
          <w:szCs w:val="24"/>
          <w:lang w:val="en-US"/>
        </w:rPr>
        <w:t xml:space="preserve"> // Strategic Management Journal. - 1998. - Vol. 19. - pp. 461-477.</w:t>
      </w:r>
    </w:p>
    <w:p w14:paraId="1884566E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Lipczynski</w:t>
      </w:r>
      <w:proofErr w:type="spellEnd"/>
      <w:r w:rsidRPr="00F500A9">
        <w:rPr>
          <w:rFonts w:cs="Times New Roman"/>
          <w:szCs w:val="24"/>
          <w:lang w:val="en-US"/>
        </w:rPr>
        <w:t xml:space="preserve">, J. and Wilson, J. Industrial </w:t>
      </w:r>
      <w:proofErr w:type="spellStart"/>
      <w:r w:rsidRPr="00F500A9">
        <w:rPr>
          <w:rFonts w:cs="Times New Roman"/>
          <w:szCs w:val="24"/>
          <w:lang w:val="en-US"/>
        </w:rPr>
        <w:t>Organisation</w:t>
      </w:r>
      <w:proofErr w:type="spellEnd"/>
      <w:r w:rsidRPr="00F500A9">
        <w:rPr>
          <w:rFonts w:cs="Times New Roman"/>
          <w:szCs w:val="24"/>
          <w:lang w:val="en-US"/>
        </w:rPr>
        <w:t>: An Analysis of Competitive Markets. - Prentice Hall, UK: 2001</w:t>
      </w:r>
    </w:p>
    <w:p w14:paraId="27F470F6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Lipton, M. A modest proposal for improved corporate governance / M. Lipton, J.W. Lorsch // Business </w:t>
      </w:r>
      <w:proofErr w:type="spellStart"/>
      <w:r w:rsidRPr="00F500A9">
        <w:rPr>
          <w:rFonts w:cs="Times New Roman"/>
          <w:szCs w:val="24"/>
          <w:lang w:val="en-US"/>
        </w:rPr>
        <w:t>Lawer</w:t>
      </w:r>
      <w:proofErr w:type="spellEnd"/>
      <w:r w:rsidRPr="00F500A9">
        <w:rPr>
          <w:rFonts w:cs="Times New Roman"/>
          <w:szCs w:val="24"/>
          <w:lang w:val="en-US"/>
        </w:rPr>
        <w:t>. – 1992. - 48 (1). – pp. 59-77.</w:t>
      </w:r>
    </w:p>
    <w:p w14:paraId="679E4D47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Merendino</w:t>
      </w:r>
      <w:proofErr w:type="spellEnd"/>
      <w:r w:rsidRPr="00F500A9">
        <w:rPr>
          <w:rFonts w:cs="Times New Roman"/>
          <w:szCs w:val="24"/>
          <w:lang w:val="en-US"/>
        </w:rPr>
        <w:t xml:space="preserve">, A. The board of directors and firm performance: empirical evidence from listed companies / A. </w:t>
      </w:r>
      <w:proofErr w:type="spellStart"/>
      <w:r w:rsidRPr="00F500A9">
        <w:rPr>
          <w:rFonts w:cs="Times New Roman"/>
          <w:szCs w:val="24"/>
          <w:lang w:val="en-US"/>
        </w:rPr>
        <w:t>Merendino</w:t>
      </w:r>
      <w:proofErr w:type="spellEnd"/>
      <w:r w:rsidRPr="00F500A9">
        <w:rPr>
          <w:rFonts w:cs="Times New Roman"/>
          <w:szCs w:val="24"/>
          <w:lang w:val="en-US"/>
        </w:rPr>
        <w:t xml:space="preserve">, R. Melville // Corporate Governance International Journal of Business in </w:t>
      </w:r>
      <w:proofErr w:type="gramStart"/>
      <w:r w:rsidRPr="00F500A9">
        <w:rPr>
          <w:rFonts w:cs="Times New Roman"/>
          <w:szCs w:val="24"/>
          <w:lang w:val="en-US"/>
        </w:rPr>
        <w:t>Society .</w:t>
      </w:r>
      <w:proofErr w:type="gramEnd"/>
      <w:r w:rsidRPr="00F500A9">
        <w:rPr>
          <w:rFonts w:cs="Times New Roman"/>
          <w:szCs w:val="24"/>
          <w:lang w:val="en-US"/>
        </w:rPr>
        <w:t xml:space="preserve"> - 2019. - №19(3). - pp. 508-551.</w:t>
      </w:r>
    </w:p>
    <w:p w14:paraId="3F079AAC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Mihail</w:t>
      </w:r>
      <w:proofErr w:type="spellEnd"/>
      <w:r w:rsidRPr="00F500A9">
        <w:rPr>
          <w:rFonts w:cs="Times New Roman"/>
          <w:szCs w:val="24"/>
          <w:lang w:val="en-US"/>
        </w:rPr>
        <w:t xml:space="preserve">, B.A. The Influence of the Independent Non-Executive Board Members on the Financial Performance of the Companies Listed in the Bucharest Stock Exchange / B.A. </w:t>
      </w:r>
      <w:proofErr w:type="spellStart"/>
      <w:r w:rsidRPr="00F500A9">
        <w:rPr>
          <w:rFonts w:cs="Times New Roman"/>
          <w:szCs w:val="24"/>
          <w:lang w:val="en-US"/>
        </w:rPr>
        <w:t>Mihail</w:t>
      </w:r>
      <w:proofErr w:type="spellEnd"/>
      <w:r w:rsidRPr="00F500A9">
        <w:rPr>
          <w:rFonts w:cs="Times New Roman"/>
          <w:szCs w:val="24"/>
          <w:lang w:val="en-US"/>
        </w:rPr>
        <w:t xml:space="preserve">, C.D. </w:t>
      </w:r>
      <w:proofErr w:type="spellStart"/>
      <w:r w:rsidRPr="00F500A9">
        <w:rPr>
          <w:rFonts w:cs="Times New Roman"/>
          <w:szCs w:val="24"/>
          <w:lang w:val="en-US"/>
        </w:rPr>
        <w:t>Micu</w:t>
      </w:r>
      <w:proofErr w:type="spellEnd"/>
      <w:r w:rsidRPr="00F500A9">
        <w:rPr>
          <w:rFonts w:cs="Times New Roman"/>
          <w:szCs w:val="24"/>
          <w:lang w:val="en-US"/>
        </w:rPr>
        <w:t xml:space="preserve"> // Journal of Risk and Financial Management. - 2021. - Vol. 14(10). -  pp. 1-14.</w:t>
      </w:r>
    </w:p>
    <w:p w14:paraId="21C5985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Mishra, S. Do Independent Directors Improve Firm Performance? Evidence from India // Global Business Review. - 2020. - pp. 1-19.</w:t>
      </w:r>
    </w:p>
    <w:p w14:paraId="3471417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color w:val="000000"/>
          <w:szCs w:val="24"/>
          <w:lang w:val="en-US"/>
        </w:rPr>
        <w:t>Muhammad, H. Capital structure and firm performance: the role of corporate governance/ H. Muhammad</w:t>
      </w:r>
      <w:r w:rsidRPr="00F500A9">
        <w:rPr>
          <w:rFonts w:cs="Times New Roman"/>
          <w:szCs w:val="24"/>
          <w:lang w:val="en-US"/>
        </w:rPr>
        <w:t xml:space="preserve">, S. </w:t>
      </w:r>
      <w:proofErr w:type="spellStart"/>
      <w:r w:rsidRPr="00F500A9">
        <w:rPr>
          <w:rFonts w:cs="Times New Roman"/>
          <w:szCs w:val="24"/>
          <w:lang w:val="en-US"/>
        </w:rPr>
        <w:t>Migliori</w:t>
      </w:r>
      <w:proofErr w:type="spellEnd"/>
      <w:r w:rsidRPr="00F500A9">
        <w:rPr>
          <w:rFonts w:cs="Times New Roman"/>
          <w:szCs w:val="24"/>
          <w:lang w:val="en-US"/>
        </w:rPr>
        <w:t xml:space="preserve">, S. </w:t>
      </w:r>
      <w:proofErr w:type="spellStart"/>
      <w:r w:rsidRPr="00F500A9">
        <w:rPr>
          <w:rFonts w:cs="Times New Roman"/>
          <w:szCs w:val="24"/>
          <w:lang w:val="en-US"/>
        </w:rPr>
        <w:t>Mohsni</w:t>
      </w:r>
      <w:proofErr w:type="spellEnd"/>
      <w:r w:rsidRPr="00F500A9">
        <w:rPr>
          <w:rFonts w:cs="Times New Roman"/>
          <w:color w:val="000000"/>
          <w:szCs w:val="24"/>
          <w:lang w:val="en-US"/>
        </w:rPr>
        <w:t xml:space="preserve"> // International Journal of Business Governance and Ethics. - 2021. - №15(4). - pp. 436 - 458.</w:t>
      </w:r>
    </w:p>
    <w:p w14:paraId="77E9CE4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Naseem, M.A. Board Attributes and Financial Performance: The Evidence from an Emerging Economy / M.A. Naseem, S. </w:t>
      </w:r>
      <w:proofErr w:type="spellStart"/>
      <w:r w:rsidRPr="00F500A9">
        <w:rPr>
          <w:rFonts w:cs="Times New Roman"/>
          <w:szCs w:val="24"/>
          <w:lang w:val="en-US"/>
        </w:rPr>
        <w:t>Xiaoming</w:t>
      </w:r>
      <w:proofErr w:type="spellEnd"/>
      <w:r w:rsidRPr="00F500A9">
        <w:rPr>
          <w:rFonts w:cs="Times New Roman"/>
          <w:szCs w:val="24"/>
          <w:lang w:val="en-US"/>
        </w:rPr>
        <w:t>, S. Riaz, R.U. Rehman // Journal of Developing Areas. - 2017. - Vol. 51(3). - pp. 281-297.</w:t>
      </w:r>
    </w:p>
    <w:p w14:paraId="5F9BFF71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Nielsen, S. The Contribution of Women on Boards of Directors: Going beyond the Surface / S. Nielsen, M. </w:t>
      </w:r>
      <w:proofErr w:type="spellStart"/>
      <w:r w:rsidRPr="00F500A9">
        <w:rPr>
          <w:rFonts w:cs="Times New Roman"/>
          <w:szCs w:val="24"/>
          <w:lang w:val="en-US"/>
        </w:rPr>
        <w:t>Huse</w:t>
      </w:r>
      <w:proofErr w:type="spellEnd"/>
      <w:r w:rsidRPr="00F500A9">
        <w:rPr>
          <w:rFonts w:cs="Times New Roman"/>
          <w:szCs w:val="24"/>
          <w:lang w:val="en-US"/>
        </w:rPr>
        <w:t xml:space="preserve"> // Corporate Governance: An International Review. - 2010. - Vol. 18(2). - pp. 136-148. </w:t>
      </w:r>
      <w:proofErr w:type="spellStart"/>
      <w:r w:rsidRPr="00F500A9">
        <w:rPr>
          <w:rFonts w:cs="Times New Roman"/>
          <w:szCs w:val="24"/>
          <w:lang w:val="en-US"/>
        </w:rPr>
        <w:t>Sanda</w:t>
      </w:r>
      <w:proofErr w:type="spellEnd"/>
      <w:r w:rsidRPr="00F500A9">
        <w:rPr>
          <w:rFonts w:cs="Times New Roman"/>
          <w:szCs w:val="24"/>
          <w:lang w:val="en-US"/>
        </w:rPr>
        <w:t xml:space="preserve">, Garba, </w:t>
      </w:r>
      <w:proofErr w:type="spellStart"/>
      <w:r w:rsidRPr="00F500A9">
        <w:rPr>
          <w:rFonts w:cs="Times New Roman"/>
          <w:szCs w:val="24"/>
          <w:lang w:val="en-US"/>
        </w:rPr>
        <w:t>Milailu</w:t>
      </w:r>
      <w:proofErr w:type="spellEnd"/>
      <w:r w:rsidRPr="00F500A9">
        <w:rPr>
          <w:rFonts w:cs="Times New Roman"/>
          <w:szCs w:val="24"/>
          <w:lang w:val="en-US"/>
        </w:rPr>
        <w:t>, 2011</w:t>
      </w:r>
    </w:p>
    <w:p w14:paraId="7EA376F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Omer, T.C. Do Well-Connected Directors Affect Firm Value? / T.C. Omer, M.K. Shelley, F.M. Tice // Journal of Applied Finance. - 2014. - Vol. 2. - pp. 1-16.</w:t>
      </w:r>
    </w:p>
    <w:p w14:paraId="6018485C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color w:val="000000"/>
          <w:szCs w:val="24"/>
          <w:lang w:val="en-US"/>
        </w:rPr>
        <w:lastRenderedPageBreak/>
        <w:t>Orozco, L.A. Trends on the relationship between board size and financial and reputational corporate performance: The Colombian case / L.A. Orozco, J. Vargas, R. Galindo-Dorado // European Journal of Management and Business Economics. - 2018. - №27(2). - pp. 183-197.</w:t>
      </w:r>
    </w:p>
    <w:p w14:paraId="1E9CCEDC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Patton, A. Why won't directors rock the boat? / A. Patton, J. Baker // Harvard business review. - 1987. - Vol. 62. - pp. 10-12.</w:t>
      </w:r>
    </w:p>
    <w:p w14:paraId="00B894CF" w14:textId="40812D76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Pfeffer, J.  The External Control of Organizations: A Resource Dependence Perspective. Harper &amp; Row: N. Y. / J. Pfeffer, G.R. </w:t>
      </w:r>
      <w:proofErr w:type="spellStart"/>
      <w:r w:rsidRPr="00F500A9">
        <w:rPr>
          <w:rFonts w:cs="Times New Roman"/>
          <w:szCs w:val="24"/>
          <w:lang w:val="en-US"/>
        </w:rPr>
        <w:t>Salancik</w:t>
      </w:r>
      <w:proofErr w:type="spellEnd"/>
      <w:r w:rsidR="00420878">
        <w:rPr>
          <w:rFonts w:cs="Times New Roman"/>
          <w:szCs w:val="24"/>
          <w:lang w:val="en-US"/>
        </w:rPr>
        <w:t>.</w:t>
      </w:r>
      <w:r w:rsidRPr="00F500A9">
        <w:rPr>
          <w:rFonts w:cs="Times New Roman"/>
          <w:szCs w:val="24"/>
          <w:lang w:val="en-US"/>
        </w:rPr>
        <w:t xml:space="preserve"> – 1978. </w:t>
      </w:r>
    </w:p>
    <w:p w14:paraId="4431763B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Pfeffer, J. Size and Composition of Corporate Boards of Directors: The Organization and Its Environment // Administrative Science Quarterly. - 1972. - №17. - pp. 218-228.</w:t>
      </w:r>
    </w:p>
    <w:p w14:paraId="389195A5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Plumlee, M. Voluntary environmental disclosure quality and firm value: Further evidence / M. Plumlee, D. Brown, R.M. Hayes, R.S. Marshall // Journal of Accounting and Public Policy. - 2015. - Vol. 34(4). - pp.336-361.</w:t>
      </w:r>
    </w:p>
    <w:p w14:paraId="4426A293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Post, J.E. Redefining the Corporation Stakeholder Management and Organizational Wealth / J.E. Post, L.E. Preston, S. Sachs.  - Stanford: Stanford University Press, 2002. - 376 p.</w:t>
      </w:r>
    </w:p>
    <w:p w14:paraId="1937ADC2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r w:rsidRPr="00F500A9">
        <w:rPr>
          <w:rFonts w:cs="Times New Roman"/>
          <w:szCs w:val="24"/>
        </w:rPr>
        <w:t>PricewaterhouseCoopers. Устойчивое развитие в фокусе внимания советов директоров. Опрос членов советов директоров российских компаний, 2019 г. // PricewaterhouseCoopers URL: https://www.b-soc.ru/wp-content/uploads/2019/11/polnyj-tekst-issledovaniya.pdf (дата обращения: 10.03.2023).</w:t>
      </w:r>
    </w:p>
    <w:p w14:paraId="0811A27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Purushottam</w:t>
      </w:r>
      <w:proofErr w:type="spellEnd"/>
      <w:r w:rsidRPr="00F500A9">
        <w:rPr>
          <w:rFonts w:cs="Times New Roman"/>
          <w:szCs w:val="24"/>
          <w:lang w:val="en-US"/>
        </w:rPr>
        <w:t>, N.V. Board size and firm performance: a Study on BSE 100 companies // Journal of Management. - 2019. - Vol. 6(3</w:t>
      </w:r>
      <w:proofErr w:type="gramStart"/>
      <w:r w:rsidRPr="00F500A9">
        <w:rPr>
          <w:rFonts w:cs="Times New Roman"/>
          <w:szCs w:val="24"/>
          <w:lang w:val="en-US"/>
        </w:rPr>
        <w:t>) .</w:t>
      </w:r>
      <w:proofErr w:type="gramEnd"/>
      <w:r w:rsidRPr="00F500A9">
        <w:rPr>
          <w:rFonts w:cs="Times New Roman"/>
          <w:szCs w:val="24"/>
          <w:lang w:val="en-US"/>
        </w:rPr>
        <w:t xml:space="preserve"> - pp. 117-123.</w:t>
      </w:r>
    </w:p>
    <w:p w14:paraId="2792E23C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Reguera</w:t>
      </w:r>
      <w:proofErr w:type="spellEnd"/>
      <w:r w:rsidRPr="00F500A9">
        <w:rPr>
          <w:rFonts w:cs="Times New Roman"/>
          <w:szCs w:val="24"/>
          <w:lang w:val="en-US"/>
        </w:rPr>
        <w:t xml:space="preserve">-Alvarado, N. The effect of independent directors’ characteristics on firm performance: Tenure and multiple directorships / N. </w:t>
      </w:r>
      <w:proofErr w:type="spellStart"/>
      <w:r w:rsidRPr="00F500A9">
        <w:rPr>
          <w:rFonts w:cs="Times New Roman"/>
          <w:szCs w:val="24"/>
          <w:lang w:val="en-US"/>
        </w:rPr>
        <w:t>Reguera</w:t>
      </w:r>
      <w:proofErr w:type="spellEnd"/>
      <w:r w:rsidRPr="00F500A9">
        <w:rPr>
          <w:rFonts w:cs="Times New Roman"/>
          <w:szCs w:val="24"/>
          <w:lang w:val="en-US"/>
        </w:rPr>
        <w:t>-Alvarado, F. Bravo // Research in International Business and Finance. - 2017. - Vol. 41. - pp. 590-599.</w:t>
      </w:r>
    </w:p>
    <w:p w14:paraId="48FDEF50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Rodriguez-Fernandez, M. Social Responsibility and Financial Performance: The Role of Good Corporate Governance // Business Research Quarterly. - 2016. - Vol. 19(2). - pp. 137-151.</w:t>
      </w:r>
    </w:p>
    <w:p w14:paraId="50D2AFE5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Sanda</w:t>
      </w:r>
      <w:proofErr w:type="spellEnd"/>
      <w:r w:rsidRPr="00F500A9">
        <w:rPr>
          <w:rFonts w:cs="Times New Roman"/>
          <w:szCs w:val="24"/>
          <w:lang w:val="en-US"/>
        </w:rPr>
        <w:t xml:space="preserve">, A.U. Corporate governance mechanisms and firms' financial performance in Nigeria / A.U. </w:t>
      </w:r>
      <w:proofErr w:type="spellStart"/>
      <w:r w:rsidRPr="00F500A9">
        <w:rPr>
          <w:rFonts w:cs="Times New Roman"/>
          <w:szCs w:val="24"/>
          <w:lang w:val="en-US"/>
        </w:rPr>
        <w:t>Sanda</w:t>
      </w:r>
      <w:proofErr w:type="spellEnd"/>
      <w:r w:rsidRPr="00F500A9">
        <w:rPr>
          <w:rFonts w:cs="Times New Roman"/>
          <w:szCs w:val="24"/>
          <w:lang w:val="en-US"/>
        </w:rPr>
        <w:t xml:space="preserve">, A.S. </w:t>
      </w:r>
      <w:proofErr w:type="spellStart"/>
      <w:r w:rsidRPr="00F500A9">
        <w:rPr>
          <w:rFonts w:cs="Times New Roman"/>
          <w:szCs w:val="24"/>
          <w:lang w:val="en-US"/>
        </w:rPr>
        <w:t>Mikailu</w:t>
      </w:r>
      <w:proofErr w:type="spellEnd"/>
      <w:r w:rsidRPr="00F500A9">
        <w:rPr>
          <w:rFonts w:cs="Times New Roman"/>
          <w:szCs w:val="24"/>
          <w:lang w:val="en-US"/>
        </w:rPr>
        <w:t>, T. Garba // Afro-Asian Journal of Finance and Accounting. - 2010. - Vol. 2(1). - pp. 22-39.</w:t>
      </w:r>
    </w:p>
    <w:p w14:paraId="3DB2CA3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 xml:space="preserve">Shleifer, A. A Survey of Corporate Governance / A. Shleifer, R.W. </w:t>
      </w:r>
      <w:proofErr w:type="spellStart"/>
      <w:r w:rsidRPr="00F500A9">
        <w:rPr>
          <w:rFonts w:cs="Times New Roman"/>
          <w:szCs w:val="24"/>
          <w:lang w:val="en-US"/>
        </w:rPr>
        <w:t>Vishny</w:t>
      </w:r>
      <w:proofErr w:type="spellEnd"/>
      <w:r w:rsidRPr="00F500A9">
        <w:rPr>
          <w:rFonts w:cs="Times New Roman"/>
          <w:szCs w:val="24"/>
          <w:lang w:val="en-US"/>
        </w:rPr>
        <w:t xml:space="preserve"> // The Journal of Finance. - 1997. - Vol. 52. - pp. 737-783.</w:t>
      </w:r>
    </w:p>
    <w:p w14:paraId="0F059580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lastRenderedPageBreak/>
        <w:t xml:space="preserve">Shukla, A. Impact of corporate social responsibility on financial performance of energy firms in India / A. Shukla, </w:t>
      </w:r>
      <w:proofErr w:type="spellStart"/>
      <w:r w:rsidRPr="00F500A9">
        <w:rPr>
          <w:rFonts w:cs="Times New Roman"/>
          <w:szCs w:val="24"/>
          <w:lang w:val="en-US"/>
        </w:rPr>
        <w:t>Greetika</w:t>
      </w:r>
      <w:proofErr w:type="spellEnd"/>
      <w:r w:rsidRPr="00F500A9">
        <w:rPr>
          <w:rFonts w:cs="Times New Roman"/>
          <w:szCs w:val="24"/>
          <w:lang w:val="en-US"/>
        </w:rPr>
        <w:t xml:space="preserve"> // International Journal of Business Governance and Ethics. - 2022. - Vol. 16(1). - pp. 88-105.</w:t>
      </w:r>
    </w:p>
    <w:p w14:paraId="64451555" w14:textId="6DEC3B44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Simionescu</w:t>
      </w:r>
      <w:proofErr w:type="spellEnd"/>
      <w:r w:rsidRPr="00F500A9">
        <w:rPr>
          <w:rFonts w:cs="Times New Roman"/>
          <w:szCs w:val="24"/>
          <w:lang w:val="en-US"/>
        </w:rPr>
        <w:t xml:space="preserve">, L.N. Does board gender diversity affect firm performance? Empirical evidence from Standard &amp; Poor’s 500 Information Technology Sector / L.N. </w:t>
      </w:r>
      <w:proofErr w:type="spellStart"/>
      <w:r w:rsidRPr="00F500A9">
        <w:rPr>
          <w:rFonts w:cs="Times New Roman"/>
          <w:szCs w:val="24"/>
          <w:lang w:val="en-US"/>
        </w:rPr>
        <w:t>Simionescu</w:t>
      </w:r>
      <w:proofErr w:type="spellEnd"/>
      <w:r w:rsidRPr="00F500A9">
        <w:rPr>
          <w:rFonts w:cs="Times New Roman"/>
          <w:szCs w:val="24"/>
          <w:lang w:val="en-US"/>
        </w:rPr>
        <w:t xml:space="preserve">, S.C. </w:t>
      </w:r>
      <w:proofErr w:type="spellStart"/>
      <w:r w:rsidRPr="00F500A9">
        <w:rPr>
          <w:rFonts w:cs="Times New Roman"/>
          <w:szCs w:val="24"/>
          <w:lang w:val="en-US"/>
        </w:rPr>
        <w:t>Cherghina</w:t>
      </w:r>
      <w:proofErr w:type="spellEnd"/>
      <w:r w:rsidRPr="00F500A9">
        <w:rPr>
          <w:rFonts w:cs="Times New Roman"/>
          <w:szCs w:val="24"/>
          <w:lang w:val="en-US"/>
        </w:rPr>
        <w:t xml:space="preserve">, H. </w:t>
      </w:r>
      <w:proofErr w:type="spellStart"/>
      <w:r w:rsidRPr="00F500A9">
        <w:rPr>
          <w:rFonts w:cs="Times New Roman"/>
          <w:szCs w:val="24"/>
          <w:lang w:val="en-US"/>
        </w:rPr>
        <w:t>Tawail</w:t>
      </w:r>
      <w:proofErr w:type="spellEnd"/>
      <w:r w:rsidRPr="00F500A9">
        <w:rPr>
          <w:rFonts w:cs="Times New Roman"/>
          <w:szCs w:val="24"/>
          <w:lang w:val="en-US"/>
        </w:rPr>
        <w:t>, Z. Sheikha// Financial Innovation. - 2021. - Vol. 7(52)</w:t>
      </w:r>
    </w:p>
    <w:p w14:paraId="495042CF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Simon, H.A. Administrative Behavior: A Study of Decision-Making Processes in Administrative Organization. - 4th ed. - NY: The Free Press, 1997. - 384 p.</w:t>
      </w:r>
    </w:p>
    <w:p w14:paraId="271FCC61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SpenserStuard</w:t>
      </w:r>
      <w:proofErr w:type="spellEnd"/>
      <w:r w:rsidRPr="00F500A9">
        <w:rPr>
          <w:rFonts w:cs="Times New Roman"/>
          <w:szCs w:val="24"/>
        </w:rPr>
        <w:t xml:space="preserve">. Российский индекс советов директоров 2020 // </w:t>
      </w:r>
      <w:proofErr w:type="spellStart"/>
      <w:r w:rsidRPr="00F500A9">
        <w:rPr>
          <w:rFonts w:cs="Times New Roman"/>
          <w:szCs w:val="24"/>
        </w:rPr>
        <w:t>SpenserStuard</w:t>
      </w:r>
      <w:proofErr w:type="spellEnd"/>
      <w:r w:rsidRPr="00F500A9">
        <w:rPr>
          <w:rFonts w:cs="Times New Roman"/>
          <w:szCs w:val="24"/>
        </w:rPr>
        <w:t xml:space="preserve"> </w:t>
      </w:r>
      <w:bookmarkStart w:id="110" w:name="_Hlk131933990"/>
      <w:r w:rsidRPr="00F500A9">
        <w:rPr>
          <w:rFonts w:cs="Times New Roman"/>
          <w:szCs w:val="24"/>
        </w:rPr>
        <w:t>URL: https://www.spencerstuart.com/-/media/2021/june/russiabi2020/russiabi_2020.pdf (дата обращения: 05.03.2023).</w:t>
      </w:r>
    </w:p>
    <w:bookmarkEnd w:id="110"/>
    <w:p w14:paraId="09F05C2A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Stanton</w:t>
      </w:r>
      <w:proofErr w:type="spellEnd"/>
      <w:r w:rsidRPr="00F500A9">
        <w:rPr>
          <w:rFonts w:cs="Times New Roman"/>
          <w:szCs w:val="24"/>
        </w:rPr>
        <w:t xml:space="preserve"> Chase. Советы директоров крупнейших российских публичных компаний // </w:t>
      </w:r>
      <w:proofErr w:type="spellStart"/>
      <w:r w:rsidRPr="00F500A9">
        <w:rPr>
          <w:rFonts w:cs="Times New Roman"/>
          <w:szCs w:val="24"/>
        </w:rPr>
        <w:t>Stanton</w:t>
      </w:r>
      <w:proofErr w:type="spellEnd"/>
      <w:r w:rsidRPr="00F500A9">
        <w:rPr>
          <w:rFonts w:cs="Times New Roman"/>
          <w:szCs w:val="24"/>
        </w:rPr>
        <w:t xml:space="preserve"> Chase URL: https://www.stantonchase.com/wp-content/uploads/2020/08/BoD_Russia_Report_2020_v14_RUS_Final-1.pdf (дата обращения: 05.03.2023).</w:t>
      </w:r>
    </w:p>
    <w:p w14:paraId="650C7034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F500A9">
        <w:rPr>
          <w:rFonts w:cs="Times New Roman"/>
          <w:szCs w:val="24"/>
        </w:rPr>
        <w:t>Stanton</w:t>
      </w:r>
      <w:proofErr w:type="spellEnd"/>
      <w:r w:rsidRPr="00F500A9">
        <w:rPr>
          <w:rFonts w:cs="Times New Roman"/>
          <w:szCs w:val="24"/>
        </w:rPr>
        <w:t xml:space="preserve"> Chase. Советы директоров крупнейших российских публичных компаний // </w:t>
      </w:r>
      <w:proofErr w:type="spellStart"/>
      <w:r w:rsidRPr="00F500A9">
        <w:rPr>
          <w:rFonts w:cs="Times New Roman"/>
          <w:szCs w:val="24"/>
        </w:rPr>
        <w:t>Stanton</w:t>
      </w:r>
      <w:proofErr w:type="spellEnd"/>
      <w:r w:rsidRPr="00F500A9">
        <w:rPr>
          <w:rFonts w:cs="Times New Roman"/>
          <w:szCs w:val="24"/>
        </w:rPr>
        <w:t xml:space="preserve"> Chase URL: https://www.stantonchase.com/wp-content/uploads/2021/09/BoD_Russia_Report_2021_RUS_v9.pdf (дата обращения: 05.03.2023).</w:t>
      </w:r>
    </w:p>
    <w:p w14:paraId="29395688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Upadhyay, A.D. Inside directors, risk aversion, and firm performance / A.D. Upadhyay, R. Bhargava, S. Faircloth, H. Zeng // Review of Financial Economics. - 2017. - Vol. 32. - pp. 64-74.</w:t>
      </w:r>
    </w:p>
    <w:p w14:paraId="4711E69C" w14:textId="77777777" w:rsid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proofErr w:type="spellStart"/>
      <w:r w:rsidRPr="00F500A9">
        <w:rPr>
          <w:rFonts w:cs="Times New Roman"/>
          <w:szCs w:val="24"/>
          <w:lang w:val="en-US"/>
        </w:rPr>
        <w:t>Vafaei</w:t>
      </w:r>
      <w:proofErr w:type="spellEnd"/>
      <w:r w:rsidRPr="00F500A9">
        <w:rPr>
          <w:rFonts w:cs="Times New Roman"/>
          <w:szCs w:val="24"/>
          <w:lang w:val="en-US"/>
        </w:rPr>
        <w:t xml:space="preserve">, A. Board Diversity and Financial Performance in the Top 500 Australian Firms / A. </w:t>
      </w:r>
      <w:proofErr w:type="spellStart"/>
      <w:r w:rsidRPr="00F500A9">
        <w:rPr>
          <w:rFonts w:cs="Times New Roman"/>
          <w:szCs w:val="24"/>
          <w:lang w:val="en-US"/>
        </w:rPr>
        <w:t>Vafaei</w:t>
      </w:r>
      <w:proofErr w:type="spellEnd"/>
      <w:r w:rsidRPr="00F500A9">
        <w:rPr>
          <w:rFonts w:cs="Times New Roman"/>
          <w:szCs w:val="24"/>
          <w:lang w:val="en-US"/>
        </w:rPr>
        <w:t>, A. Kamran, P. Mather // Australian Accounting Review. - 2015. - Vol. 25(4). - pp. 413-427.</w:t>
      </w:r>
    </w:p>
    <w:p w14:paraId="3C851013" w14:textId="1EABFCE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Williamson, O.E. The Economic Institutions of Capitalism. - NY: The Free Press, 1985. - 450 p.</w:t>
      </w:r>
    </w:p>
    <w:p w14:paraId="57C6801E" w14:textId="77777777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Young M.N. Corporate Governance in Emerging Economies: A Review of the Principal–Principal Perspective / M.N. Young, M.W. Peng, D. Ahlstrom, G.B. Bruton, Y. Jiang // Journal of Management Studies. - 2008. - №Vol.45 (1). - pp. 196-220.</w:t>
      </w:r>
    </w:p>
    <w:p w14:paraId="2574DD49" w14:textId="06885064" w:rsidR="00F500A9" w:rsidRPr="00F500A9" w:rsidRDefault="00F500A9" w:rsidP="00F500A9">
      <w:pPr>
        <w:pStyle w:val="a9"/>
        <w:numPr>
          <w:ilvl w:val="0"/>
          <w:numId w:val="13"/>
        </w:numPr>
        <w:rPr>
          <w:rFonts w:cs="Times New Roman"/>
          <w:szCs w:val="24"/>
          <w:lang w:val="en-US"/>
        </w:rPr>
      </w:pPr>
      <w:r w:rsidRPr="00F500A9">
        <w:rPr>
          <w:rFonts w:cs="Times New Roman"/>
          <w:szCs w:val="24"/>
          <w:lang w:val="en-US"/>
        </w:rPr>
        <w:t>Zhang K. What’s the value of politically connected directors? / K. Zhang, C. Truong // Journal of Contemporary Accounting &amp; Economics. - 2019. - Vol. 15(3)</w:t>
      </w:r>
    </w:p>
    <w:p w14:paraId="23A0A692" w14:textId="77777777" w:rsidR="00265D75" w:rsidRPr="00F500A9" w:rsidRDefault="00265D75" w:rsidP="00265D75">
      <w:pPr>
        <w:ind w:left="360"/>
        <w:rPr>
          <w:rFonts w:cs="Times New Roman"/>
          <w:sz w:val="22"/>
          <w:lang w:val="en-US"/>
        </w:rPr>
      </w:pPr>
    </w:p>
    <w:p w14:paraId="643109E6" w14:textId="4855B75D" w:rsidR="00312BD5" w:rsidRPr="00F500A9" w:rsidRDefault="00312BD5" w:rsidP="00786950">
      <w:pPr>
        <w:rPr>
          <w:lang w:val="en-US"/>
        </w:rPr>
      </w:pPr>
    </w:p>
    <w:p w14:paraId="32860559" w14:textId="303794F8" w:rsidR="00312BD5" w:rsidRDefault="00312BD5" w:rsidP="00312BD5">
      <w:pPr>
        <w:pStyle w:val="1"/>
      </w:pPr>
      <w:bookmarkStart w:id="111" w:name="_Toc136001555"/>
      <w:r>
        <w:lastRenderedPageBreak/>
        <w:t>Приложения</w:t>
      </w:r>
      <w:bookmarkEnd w:id="111"/>
    </w:p>
    <w:p w14:paraId="5F5AB354" w14:textId="088323B6" w:rsidR="00722AAD" w:rsidRPr="00B81B65" w:rsidRDefault="00722AAD" w:rsidP="00B81B65">
      <w:pPr>
        <w:pStyle w:val="a2"/>
      </w:pPr>
      <w:bookmarkStart w:id="112" w:name="_Ref131877064"/>
      <w:r w:rsidRPr="00B81B65">
        <w:t>Корреляционная матрица переменных</w:t>
      </w:r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043"/>
        <w:gridCol w:w="1392"/>
        <w:gridCol w:w="1170"/>
        <w:gridCol w:w="1043"/>
        <w:gridCol w:w="1093"/>
        <w:gridCol w:w="1043"/>
        <w:gridCol w:w="1168"/>
      </w:tblGrid>
      <w:tr w:rsidR="003B5693" w:rsidRPr="00722AAD" w14:paraId="712DD3B9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8899B00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20C11C3" w14:textId="23E48A42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BD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412399C" w14:textId="2D488F35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Independent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A38F25D" w14:textId="56AD830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Executive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5B68159" w14:textId="4FE094DF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B5693">
              <w:rPr>
                <w:rFonts w:cs="Times New Roman"/>
                <w:color w:val="000000"/>
                <w:sz w:val="22"/>
              </w:rPr>
              <w:t>Women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58D0994" w14:textId="48D1EEB2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B5693">
              <w:rPr>
                <w:rFonts w:cs="Times New Roman"/>
                <w:color w:val="000000"/>
                <w:sz w:val="22"/>
              </w:rPr>
              <w:t>Gov_exp</w:t>
            </w:r>
            <w:proofErr w:type="spellEnd"/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EB528DE" w14:textId="12CFA831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Multi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6ED85AB" w14:textId="5959025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B5693">
              <w:rPr>
                <w:rFonts w:cs="Times New Roman"/>
                <w:color w:val="000000"/>
                <w:sz w:val="22"/>
              </w:rPr>
              <w:t>ES_factor</w:t>
            </w:r>
            <w:proofErr w:type="spellEnd"/>
          </w:p>
        </w:tc>
      </w:tr>
      <w:tr w:rsidR="003B5693" w:rsidRPr="00722AAD" w14:paraId="07929F58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62061E9" w14:textId="283D5CF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BD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358EB4F" w14:textId="4FECBCD6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547EA00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2E8D399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90A6701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F1E63B6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BE4087F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626BFA3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5693" w:rsidRPr="00722AAD" w14:paraId="65067587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EF79F41" w14:textId="71471DB2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Independent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CA54181" w14:textId="6CFA3E7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0.27***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ACEB0E2" w14:textId="01F48598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664785D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76A4C58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3FFAD86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2B0DA8E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5BD2A24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5693" w:rsidRPr="00722AAD" w14:paraId="0FF7B0ED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3D79CB3" w14:textId="076DC528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Executive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1A36501" w14:textId="14C4544B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0.05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466B95F" w14:textId="6F734E8B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0.13*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3E23B77" w14:textId="50CB5DFB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91028C8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BF977B7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C729973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3758EE5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5693" w:rsidRPr="00722AAD" w14:paraId="50739B5E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C4B1D62" w14:textId="6F9BA0C6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5693">
              <w:rPr>
                <w:rFonts w:cs="Times New Roman"/>
                <w:color w:val="000000"/>
                <w:sz w:val="22"/>
              </w:rPr>
              <w:t>Women</w:t>
            </w:r>
            <w:proofErr w:type="spellEnd"/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8B315A9" w14:textId="31F88DBA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-0.12*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952E529" w14:textId="736C9A0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-0.23***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C2E3DE6" w14:textId="20F2AC35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-0.19**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5095888" w14:textId="5EA20ACD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29600D1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FAA4098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17CEBED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5693" w:rsidRPr="00722AAD" w14:paraId="081BD4D2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E1C4ECB" w14:textId="583CFB5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5693">
              <w:rPr>
                <w:rFonts w:cs="Times New Roman"/>
                <w:color w:val="000000"/>
                <w:sz w:val="22"/>
              </w:rPr>
              <w:t>Gov_exp</w:t>
            </w:r>
            <w:proofErr w:type="spellEnd"/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F07C64C" w14:textId="498A75DD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0.24***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84F1187" w14:textId="0EC5712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0.18**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C601932" w14:textId="47176B0D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0.26***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DB372FF" w14:textId="110FF1CA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-0.17**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84F86B1" w14:textId="57A01156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DEEF710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388F496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5693" w:rsidRPr="00722AAD" w14:paraId="32A774E9" w14:textId="77777777" w:rsidTr="003B5693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EC023DA" w14:textId="71D6A994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Multi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C2C3871" w14:textId="1F39D0FC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0.15*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677DFD26" w14:textId="5DB65AB4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0.24***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7657A30" w14:textId="3DC2CB7E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-0.2***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B0D660B" w14:textId="6D6054AA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0.11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C108F56" w14:textId="54890900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-0.04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25799D3" w14:textId="18005EA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5B52DB6" w14:textId="77777777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5693" w:rsidRPr="00722AAD" w14:paraId="409FBAA2" w14:textId="77777777" w:rsidTr="003B5693">
        <w:trPr>
          <w:trHeight w:val="300"/>
        </w:trPr>
        <w:tc>
          <w:tcPr>
            <w:tcW w:w="745" w:type="pct"/>
            <w:shd w:val="clear" w:color="000000" w:fill="FFFFFF"/>
            <w:noWrap/>
            <w:vAlign w:val="center"/>
            <w:hideMark/>
          </w:tcPr>
          <w:p w14:paraId="5D3CE7A8" w14:textId="5309C67B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5693">
              <w:rPr>
                <w:rFonts w:cs="Times New Roman"/>
                <w:color w:val="000000"/>
                <w:sz w:val="22"/>
              </w:rPr>
              <w:t>ES_factor</w:t>
            </w:r>
            <w:proofErr w:type="spellEnd"/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4901025" w14:textId="3F1F57CF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0.28***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5C81570" w14:textId="16735FE3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0.39***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7EB33CC" w14:textId="1D3C30FD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0.13*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52EBEDF" w14:textId="330885F1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-0.2**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D5D5FD5" w14:textId="53F2FE38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0.23***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2323AA9" w14:textId="6C96567E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0.37***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C01156D" w14:textId="160021AF" w:rsidR="003B5693" w:rsidRPr="003B5693" w:rsidRDefault="003B5693" w:rsidP="003B569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5693">
              <w:rPr>
                <w:rFonts w:cs="Times New Roman"/>
                <w:color w:val="000000"/>
                <w:sz w:val="22"/>
              </w:rPr>
              <w:t>1***</w:t>
            </w:r>
          </w:p>
        </w:tc>
      </w:tr>
    </w:tbl>
    <w:p w14:paraId="1DAD6250" w14:textId="1FA14900" w:rsidR="00722AAD" w:rsidRDefault="00722AAD" w:rsidP="00722AAD"/>
    <w:p w14:paraId="2064ABBD" w14:textId="77777777" w:rsidR="006957CD" w:rsidRPr="00B81B65" w:rsidRDefault="006957CD" w:rsidP="00B81B65">
      <w:pPr>
        <w:pStyle w:val="a2"/>
      </w:pPr>
      <w:bookmarkStart w:id="113" w:name="_Ref131877084"/>
      <w:r w:rsidRPr="00B81B65">
        <w:t>Базовая регрессионная модель с зависимой переменной ROA</w:t>
      </w:r>
      <w:bookmarkEnd w:id="113"/>
    </w:p>
    <w:p w14:paraId="097A4674" w14:textId="77D82E5D" w:rsidR="00722AAD" w:rsidRDefault="00BA2769" w:rsidP="006957CD">
      <w:pPr>
        <w:pStyle w:val="a2"/>
        <w:numPr>
          <w:ilvl w:val="0"/>
          <w:numId w:val="0"/>
        </w:numPr>
        <w:jc w:val="center"/>
      </w:pPr>
      <w:r w:rsidRPr="00BA2769">
        <w:rPr>
          <w:noProof/>
        </w:rPr>
        <w:drawing>
          <wp:inline distT="0" distB="0" distL="0" distR="0" wp14:anchorId="3B779415" wp14:editId="3A275989">
            <wp:extent cx="3568214" cy="216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821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2A91" w14:textId="5FB33B64" w:rsidR="00F87696" w:rsidRPr="00B81B65" w:rsidRDefault="00F87696" w:rsidP="00B81B65">
      <w:pPr>
        <w:pStyle w:val="a2"/>
      </w:pPr>
      <w:r w:rsidRPr="00B81B65">
        <w:t>Базовая регрессионная модель с зависимой переменной ROE</w:t>
      </w:r>
    </w:p>
    <w:p w14:paraId="6AA3D299" w14:textId="19D7CDAB" w:rsidR="006957CD" w:rsidRDefault="00BA2769" w:rsidP="00223E45">
      <w:pPr>
        <w:pStyle w:val="a2"/>
        <w:numPr>
          <w:ilvl w:val="0"/>
          <w:numId w:val="0"/>
        </w:numPr>
        <w:jc w:val="center"/>
      </w:pPr>
      <w:r w:rsidRPr="00BA2769">
        <w:rPr>
          <w:noProof/>
        </w:rPr>
        <w:drawing>
          <wp:inline distT="0" distB="0" distL="0" distR="0" wp14:anchorId="06F9E5DA" wp14:editId="0086B00B">
            <wp:extent cx="3751726" cy="21600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5172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BA891" w14:textId="4C4032A4" w:rsidR="00F87696" w:rsidRPr="00B81B65" w:rsidRDefault="00F87696" w:rsidP="00B81B65">
      <w:pPr>
        <w:pStyle w:val="a2"/>
      </w:pPr>
      <w:r w:rsidRPr="00B81B65">
        <w:t>Базовая регрессионная модель с зависимой переменной ROIC</w:t>
      </w:r>
    </w:p>
    <w:p w14:paraId="55E3AB92" w14:textId="1FCF1884" w:rsidR="00F87696" w:rsidRDefault="00BA2769" w:rsidP="001A5221">
      <w:pPr>
        <w:pStyle w:val="a2"/>
        <w:numPr>
          <w:ilvl w:val="0"/>
          <w:numId w:val="0"/>
        </w:numPr>
        <w:jc w:val="center"/>
      </w:pPr>
      <w:r w:rsidRPr="00BA2769">
        <w:rPr>
          <w:noProof/>
        </w:rPr>
        <w:lastRenderedPageBreak/>
        <w:drawing>
          <wp:inline distT="0" distB="0" distL="0" distR="0" wp14:anchorId="66EC3753" wp14:editId="386F1F35">
            <wp:extent cx="3739922" cy="216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3992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6BF7" w14:textId="39E0C47B" w:rsidR="003117F0" w:rsidRPr="00B81B65" w:rsidRDefault="003117F0" w:rsidP="00B81B65">
      <w:pPr>
        <w:pStyle w:val="a2"/>
      </w:pPr>
      <w:r w:rsidRPr="00B81B65">
        <w:t xml:space="preserve">Базовая регрессионная модель с зависимой переменной </w:t>
      </w:r>
      <w:proofErr w:type="spellStart"/>
      <w:r w:rsidRPr="00B81B65">
        <w:t>Q_log</w:t>
      </w:r>
      <w:proofErr w:type="spellEnd"/>
    </w:p>
    <w:p w14:paraId="7EDE6F16" w14:textId="6BBE1372" w:rsidR="003117F0" w:rsidRPr="003117F0" w:rsidRDefault="00BA2769" w:rsidP="001A5221">
      <w:pPr>
        <w:pStyle w:val="a2"/>
        <w:numPr>
          <w:ilvl w:val="0"/>
          <w:numId w:val="0"/>
        </w:numPr>
        <w:ind w:left="1636"/>
        <w:jc w:val="both"/>
      </w:pPr>
      <w:r w:rsidRPr="00BA2769">
        <w:rPr>
          <w:noProof/>
        </w:rPr>
        <w:drawing>
          <wp:inline distT="0" distB="0" distL="0" distR="0" wp14:anchorId="75FCE3BD" wp14:editId="42BF510D">
            <wp:extent cx="3713803" cy="2160000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1380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2AEE" w14:textId="74EA9FE2" w:rsidR="003117F0" w:rsidRPr="003117F0" w:rsidRDefault="003117F0" w:rsidP="00B81B65">
      <w:pPr>
        <w:pStyle w:val="a2"/>
      </w:pPr>
      <w:r w:rsidRPr="003117F0">
        <w:t xml:space="preserve">Базовая регрессионная модель с зависимой переменной </w:t>
      </w:r>
      <w:r>
        <w:rPr>
          <w:lang w:val="en-US"/>
        </w:rPr>
        <w:t>MB</w:t>
      </w:r>
      <w:r w:rsidRPr="003117F0">
        <w:t>_</w:t>
      </w:r>
      <w:r>
        <w:rPr>
          <w:lang w:val="en-US"/>
        </w:rPr>
        <w:t>log</w:t>
      </w:r>
    </w:p>
    <w:p w14:paraId="12CB50D9" w14:textId="09B1AB6F" w:rsidR="003117F0" w:rsidRDefault="00BA2769" w:rsidP="00223E45">
      <w:pPr>
        <w:pStyle w:val="a2"/>
        <w:numPr>
          <w:ilvl w:val="0"/>
          <w:numId w:val="0"/>
        </w:numPr>
        <w:jc w:val="center"/>
      </w:pPr>
      <w:r w:rsidRPr="00BA2769">
        <w:rPr>
          <w:noProof/>
        </w:rPr>
        <w:drawing>
          <wp:inline distT="0" distB="0" distL="0" distR="0" wp14:anchorId="000A7122" wp14:editId="4F56D29B">
            <wp:extent cx="3726817" cy="2160000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2681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38BD" w14:textId="225E684C" w:rsidR="00F41A4A" w:rsidRPr="00B81B65" w:rsidRDefault="00F41A4A" w:rsidP="00B81B65">
      <w:pPr>
        <w:pStyle w:val="a2"/>
      </w:pPr>
      <w:r w:rsidRPr="00B81B65">
        <w:t>Регрессионная модель</w:t>
      </w:r>
      <w:r w:rsidR="00223E45" w:rsidRPr="00B81B65">
        <w:t xml:space="preserve"> 1</w:t>
      </w:r>
      <w:r w:rsidRPr="00B81B65">
        <w:t xml:space="preserve"> с зависимой переменной ROA (с робастными стандартными ошибками)</w:t>
      </w:r>
    </w:p>
    <w:p w14:paraId="1D8ED355" w14:textId="7A01494E" w:rsidR="00223E45" w:rsidRDefault="00BA2769" w:rsidP="00223E45">
      <w:pPr>
        <w:pStyle w:val="a2"/>
        <w:numPr>
          <w:ilvl w:val="0"/>
          <w:numId w:val="0"/>
        </w:numPr>
        <w:jc w:val="center"/>
      </w:pPr>
      <w:r w:rsidRPr="00BA2769">
        <w:rPr>
          <w:noProof/>
        </w:rPr>
        <w:lastRenderedPageBreak/>
        <w:drawing>
          <wp:inline distT="0" distB="0" distL="0" distR="0" wp14:anchorId="1E661C24" wp14:editId="3C574A36">
            <wp:extent cx="3795429" cy="2160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954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B710" w14:textId="57454816" w:rsidR="00223E45" w:rsidRDefault="00223E45" w:rsidP="00223E45">
      <w:pPr>
        <w:pStyle w:val="a2"/>
      </w:pPr>
      <w:r>
        <w:t xml:space="preserve">Регрессионная модель 2 с зависимой переменной </w:t>
      </w:r>
      <w:r w:rsidRPr="00223E45">
        <w:rPr>
          <w:lang w:val="en-US"/>
        </w:rPr>
        <w:t>ROE</w:t>
      </w:r>
      <w:r w:rsidRPr="00223E45">
        <w:t xml:space="preserve"> (</w:t>
      </w:r>
      <w:r w:rsidRPr="00F41A4A">
        <w:t xml:space="preserve">с робастными </w:t>
      </w:r>
      <w:r w:rsidRPr="00223E45">
        <w:t>стандартными</w:t>
      </w:r>
      <w:r w:rsidRPr="00F41A4A">
        <w:t xml:space="preserve"> ошибками)</w:t>
      </w:r>
    </w:p>
    <w:p w14:paraId="17EB5F84" w14:textId="3ED1BA87" w:rsidR="00223E45" w:rsidRDefault="00BA2769" w:rsidP="00223E45">
      <w:pPr>
        <w:pStyle w:val="a2"/>
        <w:numPr>
          <w:ilvl w:val="0"/>
          <w:numId w:val="0"/>
        </w:numPr>
        <w:ind w:left="720" w:hanging="360"/>
        <w:jc w:val="center"/>
      </w:pPr>
      <w:r w:rsidRPr="00BA2769">
        <w:rPr>
          <w:noProof/>
        </w:rPr>
        <w:drawing>
          <wp:inline distT="0" distB="0" distL="0" distR="0" wp14:anchorId="0EEDA157" wp14:editId="122189EB">
            <wp:extent cx="3830746" cy="2160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3074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8E9D" w14:textId="5A4945B1" w:rsidR="00223E45" w:rsidRDefault="00223E45" w:rsidP="00223E45">
      <w:pPr>
        <w:pStyle w:val="a2"/>
      </w:pPr>
      <w:r>
        <w:t xml:space="preserve">Регрессионная модель 3 с зависимой переменной </w:t>
      </w:r>
      <w:r w:rsidRPr="00223E45">
        <w:rPr>
          <w:lang w:val="en-US"/>
        </w:rPr>
        <w:t>RO</w:t>
      </w:r>
      <w:r>
        <w:rPr>
          <w:lang w:val="en-US"/>
        </w:rPr>
        <w:t>IC</w:t>
      </w:r>
      <w:r w:rsidRPr="00223E45">
        <w:t xml:space="preserve"> (</w:t>
      </w:r>
      <w:r w:rsidRPr="00F41A4A">
        <w:t xml:space="preserve">с робастными </w:t>
      </w:r>
      <w:r w:rsidRPr="00223E45">
        <w:t>стандартными</w:t>
      </w:r>
      <w:r w:rsidRPr="00F41A4A">
        <w:t xml:space="preserve"> ошибками)</w:t>
      </w:r>
    </w:p>
    <w:p w14:paraId="48038705" w14:textId="1F45F100" w:rsidR="00223E45" w:rsidRDefault="00BA2769" w:rsidP="00223E45">
      <w:pPr>
        <w:pStyle w:val="a2"/>
        <w:numPr>
          <w:ilvl w:val="0"/>
          <w:numId w:val="0"/>
        </w:numPr>
        <w:ind w:left="360"/>
        <w:jc w:val="center"/>
      </w:pPr>
      <w:r w:rsidRPr="00BA2769">
        <w:rPr>
          <w:noProof/>
        </w:rPr>
        <w:drawing>
          <wp:inline distT="0" distB="0" distL="0" distR="0" wp14:anchorId="593B50CF" wp14:editId="14386CE1">
            <wp:extent cx="3795728" cy="2160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9572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6C1F" w14:textId="53057B90" w:rsidR="00BA2769" w:rsidRPr="00B81B65" w:rsidRDefault="00BA2769" w:rsidP="00B81B65">
      <w:pPr>
        <w:pStyle w:val="a2"/>
      </w:pPr>
      <w:r w:rsidRPr="00B81B65">
        <w:t xml:space="preserve">Регрессионная модель 4 с зависимой переменной </w:t>
      </w:r>
      <w:proofErr w:type="spellStart"/>
      <w:r w:rsidRPr="00B81B65">
        <w:t>Q_log</w:t>
      </w:r>
      <w:proofErr w:type="spellEnd"/>
      <w:r w:rsidRPr="00B81B65">
        <w:t xml:space="preserve"> (с робастными стандартными ошибками)</w:t>
      </w:r>
    </w:p>
    <w:p w14:paraId="4EC28903" w14:textId="012B9C1D" w:rsidR="00223E45" w:rsidRDefault="00BA2769" w:rsidP="00BA2769">
      <w:pPr>
        <w:pStyle w:val="a2"/>
        <w:numPr>
          <w:ilvl w:val="0"/>
          <w:numId w:val="0"/>
        </w:numPr>
        <w:ind w:left="720" w:hanging="360"/>
        <w:jc w:val="center"/>
      </w:pPr>
      <w:r w:rsidRPr="00BA2769">
        <w:rPr>
          <w:noProof/>
        </w:rPr>
        <w:lastRenderedPageBreak/>
        <w:drawing>
          <wp:inline distT="0" distB="0" distL="0" distR="0" wp14:anchorId="7D419CD0" wp14:editId="401D1D22">
            <wp:extent cx="3695423" cy="2160000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9542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F978" w14:textId="7C340286" w:rsidR="00BA2769" w:rsidRPr="00B81B65" w:rsidRDefault="00BA2769" w:rsidP="00B81B65">
      <w:pPr>
        <w:pStyle w:val="a2"/>
      </w:pPr>
      <w:r w:rsidRPr="00B81B65">
        <w:t xml:space="preserve">Регрессионная модель с зависимой переменной </w:t>
      </w:r>
      <w:proofErr w:type="spellStart"/>
      <w:r w:rsidRPr="00B81B65">
        <w:t>MB_log</w:t>
      </w:r>
      <w:proofErr w:type="spellEnd"/>
      <w:r w:rsidRPr="00B81B65">
        <w:t xml:space="preserve"> (с робастными стандартными ошибками)</w:t>
      </w:r>
    </w:p>
    <w:p w14:paraId="7E13D041" w14:textId="442D6BDF" w:rsidR="00223E45" w:rsidRPr="00223E45" w:rsidRDefault="00BA2769" w:rsidP="001A5221">
      <w:pPr>
        <w:pStyle w:val="a2"/>
        <w:numPr>
          <w:ilvl w:val="0"/>
          <w:numId w:val="0"/>
        </w:numPr>
        <w:ind w:left="1636"/>
        <w:jc w:val="both"/>
      </w:pPr>
      <w:r w:rsidRPr="00BA2769">
        <w:rPr>
          <w:noProof/>
        </w:rPr>
        <w:drawing>
          <wp:inline distT="0" distB="0" distL="0" distR="0" wp14:anchorId="65F7B977" wp14:editId="451B4978">
            <wp:extent cx="3826732" cy="2160000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2673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E45" w:rsidRPr="00223E45" w:rsidSect="00662C86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7E2A" w14:textId="77777777" w:rsidR="00D64F4F" w:rsidRDefault="00D64F4F" w:rsidP="00A23173">
      <w:pPr>
        <w:spacing w:after="0" w:line="240" w:lineRule="auto"/>
      </w:pPr>
      <w:r>
        <w:separator/>
      </w:r>
    </w:p>
  </w:endnote>
  <w:endnote w:type="continuationSeparator" w:id="0">
    <w:p w14:paraId="37724E21" w14:textId="77777777" w:rsidR="00D64F4F" w:rsidRDefault="00D64F4F" w:rsidP="00A2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128328"/>
      <w:docPartObj>
        <w:docPartGallery w:val="Page Numbers (Bottom of Page)"/>
        <w:docPartUnique/>
      </w:docPartObj>
    </w:sdtPr>
    <w:sdtContent>
      <w:p w14:paraId="5AA9535E" w14:textId="17544B70" w:rsidR="00FF334A" w:rsidRDefault="00FF33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0CCFE" w14:textId="77777777" w:rsidR="00FF334A" w:rsidRDefault="00FF33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8E10" w14:textId="77777777" w:rsidR="00D64F4F" w:rsidRDefault="00D64F4F" w:rsidP="00A23173">
      <w:pPr>
        <w:spacing w:after="0" w:line="240" w:lineRule="auto"/>
      </w:pPr>
      <w:r>
        <w:separator/>
      </w:r>
    </w:p>
  </w:footnote>
  <w:footnote w:type="continuationSeparator" w:id="0">
    <w:p w14:paraId="45FF7BB9" w14:textId="77777777" w:rsidR="00D64F4F" w:rsidRDefault="00D64F4F" w:rsidP="00A23173">
      <w:pPr>
        <w:spacing w:after="0" w:line="240" w:lineRule="auto"/>
      </w:pPr>
      <w:r>
        <w:continuationSeparator/>
      </w:r>
    </w:p>
  </w:footnote>
  <w:footnote w:id="1">
    <w:p w14:paraId="5D2A2F40" w14:textId="166BE9BD" w:rsidR="007207DD" w:rsidRDefault="007207DD" w:rsidP="007207DD">
      <w:pPr>
        <w:pStyle w:val="aa"/>
      </w:pPr>
      <w:r>
        <w:rPr>
          <w:rStyle w:val="ac"/>
        </w:rPr>
        <w:footnoteRef/>
      </w:r>
      <w:bookmarkStart w:id="1" w:name="_Hlk131878958"/>
      <w:r w:rsidRPr="00D74F7F">
        <w:t>Развитие корпоративных отношений // Банк России URL: https://www.cbr.ru/issuers_corporate/development_corp_relations/ (дата обращения: 11.12.2022).</w:t>
      </w:r>
      <w:bookmarkEnd w:id="1"/>
    </w:p>
  </w:footnote>
  <w:footnote w:id="2">
    <w:p w14:paraId="3F25BE40" w14:textId="688FEC66" w:rsidR="00FF4D50" w:rsidRDefault="00FF4D50">
      <w:pPr>
        <w:pStyle w:val="aa"/>
      </w:pPr>
      <w:r>
        <w:rPr>
          <w:rStyle w:val="ac"/>
        </w:rPr>
        <w:footnoteRef/>
      </w:r>
      <w:r>
        <w:t xml:space="preserve"> </w:t>
      </w:r>
      <w:r w:rsidR="00746905" w:rsidRPr="00746905">
        <w:t>Эффективная система корпоративного управления: как ее построить, оценить и с какими проблемами придется столкнуться // Комсомольская правда URL: https://www.kp.ru/guide/upravlenie-kompaniei.html (дата обращения: 11.12.2022).</w:t>
      </w:r>
    </w:p>
  </w:footnote>
  <w:footnote w:id="3">
    <w:p w14:paraId="3663A4E9" w14:textId="77777777" w:rsidR="007207DD" w:rsidRDefault="007207DD" w:rsidP="007207DD">
      <w:pPr>
        <w:pStyle w:val="aa"/>
      </w:pPr>
      <w:r>
        <w:rPr>
          <w:rStyle w:val="ac"/>
        </w:rPr>
        <w:footnoteRef/>
      </w:r>
      <w:r>
        <w:t xml:space="preserve"> </w:t>
      </w:r>
      <w:bookmarkStart w:id="2" w:name="_Hlk131879662"/>
      <w:r w:rsidRPr="006E7D90">
        <w:t>Как улучшить корпоративное управление в госкомпаниях // Научно- образовательный портал IQ URL: https://iq.hse.ru/news/205006407.html (дата обращения: 11.12.2022).</w:t>
      </w:r>
    </w:p>
    <w:bookmarkEnd w:id="2"/>
  </w:footnote>
  <w:footnote w:id="4">
    <w:p w14:paraId="2961DB23" w14:textId="56A4B580" w:rsidR="00D50489" w:rsidRDefault="00D50489" w:rsidP="00D50489">
      <w:pPr>
        <w:pStyle w:val="aa"/>
      </w:pPr>
      <w:r>
        <w:rPr>
          <w:rStyle w:val="ac"/>
        </w:rPr>
        <w:footnoteRef/>
      </w:r>
      <w:r>
        <w:t xml:space="preserve"> </w:t>
      </w:r>
      <w:r w:rsidR="001528AD" w:rsidRPr="001528AD">
        <w:t>Почему нефинансовые показатели приобретают все большую значимость для инвесторов // Ernst &amp; Young URL: https://www.ey.com/ru_kz (дата обращения: 11.12.2022).</w:t>
      </w:r>
    </w:p>
  </w:footnote>
  <w:footnote w:id="5">
    <w:p w14:paraId="3795DC38" w14:textId="44F2BB78" w:rsidR="00D50489" w:rsidRDefault="00D50489">
      <w:pPr>
        <w:pStyle w:val="aa"/>
      </w:pPr>
      <w:r>
        <w:rPr>
          <w:rStyle w:val="ac"/>
        </w:rPr>
        <w:footnoteRef/>
      </w:r>
      <w:proofErr w:type="spellStart"/>
      <w:r w:rsidR="001528AD" w:rsidRPr="001528AD">
        <w:t>Kept</w:t>
      </w:r>
      <w:proofErr w:type="spellEnd"/>
      <w:r w:rsidR="001528AD" w:rsidRPr="001528AD">
        <w:t xml:space="preserve"> &amp; E+ Change. Барометр устойчивой трансформации бизнеса // </w:t>
      </w:r>
      <w:proofErr w:type="spellStart"/>
      <w:r w:rsidR="001528AD" w:rsidRPr="001528AD">
        <w:t>Kept</w:t>
      </w:r>
      <w:proofErr w:type="spellEnd"/>
      <w:r w:rsidR="001528AD" w:rsidRPr="001528AD">
        <w:t xml:space="preserve"> URL: https://assets.kept.ru/upload/pdf/2022/10/ru-kept-and-eplus-barometr-of-sustainable-business-transformation.pdf (дата обращения: 11.12.2022).</w:t>
      </w:r>
    </w:p>
  </w:footnote>
  <w:footnote w:id="6">
    <w:p w14:paraId="6FE68FFD" w14:textId="2FA06F87" w:rsidR="00853138" w:rsidRDefault="00853138">
      <w:pPr>
        <w:pStyle w:val="aa"/>
      </w:pPr>
      <w:r>
        <w:rPr>
          <w:rStyle w:val="ac"/>
        </w:rPr>
        <w:footnoteRef/>
      </w:r>
      <w:r>
        <w:t xml:space="preserve"> </w:t>
      </w:r>
      <w:bookmarkStart w:id="7" w:name="_Hlk131880638"/>
      <w:r>
        <w:t>Корпоративное управление: история и практика // Федеральная служба по финансовым рынкам URL: http://koet.syktsu.ru/download/ku_istoriya_praktika.pdf</w:t>
      </w:r>
      <w:bookmarkEnd w:id="7"/>
    </w:p>
  </w:footnote>
  <w:footnote w:id="7">
    <w:p w14:paraId="4778F428" w14:textId="1BB48505" w:rsidR="00706ACC" w:rsidRDefault="00706ACC">
      <w:pPr>
        <w:pStyle w:val="aa"/>
      </w:pPr>
      <w:r>
        <w:rPr>
          <w:rStyle w:val="ac"/>
        </w:rPr>
        <w:footnoteRef/>
      </w:r>
      <w:r>
        <w:t xml:space="preserve"> </w:t>
      </w:r>
      <w:bookmarkStart w:id="31" w:name="_Hlk131880962"/>
      <w:r w:rsidRPr="006E7D90">
        <w:t>Как улучшить корпоративное управление в госкомпаниях // Научно</w:t>
      </w:r>
      <w:r w:rsidR="00477220">
        <w:t xml:space="preserve"> </w:t>
      </w:r>
      <w:r w:rsidRPr="006E7D90">
        <w:t xml:space="preserve">- образовательный портал IQ URL: https://iq.hse.ru/news/205006407.html (дата обращения: </w:t>
      </w:r>
      <w:r w:rsidR="00173DFB" w:rsidRPr="00173DFB">
        <w:rPr>
          <w:color w:val="000000" w:themeColor="text1"/>
        </w:rPr>
        <w:t>12.02</w:t>
      </w:r>
      <w:r w:rsidRPr="00173DFB">
        <w:rPr>
          <w:color w:val="000000" w:themeColor="text1"/>
        </w:rPr>
        <w:t>.202</w:t>
      </w:r>
      <w:r w:rsidR="00173DFB" w:rsidRPr="00173DFB">
        <w:rPr>
          <w:color w:val="000000" w:themeColor="text1"/>
        </w:rPr>
        <w:t>3</w:t>
      </w:r>
      <w:r w:rsidRPr="006E7D90">
        <w:t>).</w:t>
      </w:r>
      <w:bookmarkEnd w:id="31"/>
    </w:p>
  </w:footnote>
  <w:footnote w:id="8">
    <w:p w14:paraId="46F21716" w14:textId="2D86C3AE" w:rsidR="00A04412" w:rsidRDefault="00A04412">
      <w:pPr>
        <w:pStyle w:val="aa"/>
      </w:pPr>
      <w:r>
        <w:rPr>
          <w:rStyle w:val="ac"/>
        </w:rPr>
        <w:footnoteRef/>
      </w:r>
      <w:bookmarkStart w:id="36" w:name="_Hlk131930014"/>
      <w:r w:rsidR="0054564F" w:rsidRPr="0054564F">
        <w:t>Отчет о деятельности Федерального агентства по управлению государственным имуществом за 2013 год // Федеральное агентство по управлению государственным имуществом, 2014 URL: https://rosim.gov.ru/about/reports/performance/202363 (дата обращения: 20.02.2023).</w:t>
      </w:r>
    </w:p>
    <w:bookmarkEnd w:id="36"/>
  </w:footnote>
  <w:footnote w:id="9">
    <w:p w14:paraId="506C8FE4" w14:textId="38FEE4C2" w:rsidR="00E97EDD" w:rsidRDefault="00E97EDD">
      <w:pPr>
        <w:pStyle w:val="aa"/>
      </w:pPr>
      <w:r>
        <w:rPr>
          <w:rStyle w:val="ac"/>
        </w:rPr>
        <w:footnoteRef/>
      </w:r>
      <w:bookmarkStart w:id="37" w:name="_Hlk131930463"/>
      <w:r w:rsidR="0054564F" w:rsidRPr="0054564F">
        <w:t>Структура акционерного капитала // Татнефть URL: https://www.tatneft.ru/aktsioneram-i-investoram/equity_structure (дата обращения: 20.02.2023).</w:t>
      </w:r>
    </w:p>
    <w:bookmarkEnd w:id="37"/>
  </w:footnote>
  <w:footnote w:id="10">
    <w:p w14:paraId="6FD9030E" w14:textId="259AC869" w:rsidR="007604E1" w:rsidRDefault="007604E1">
      <w:pPr>
        <w:pStyle w:val="aa"/>
      </w:pPr>
      <w:r>
        <w:rPr>
          <w:rStyle w:val="ac"/>
        </w:rPr>
        <w:footnoteRef/>
      </w:r>
      <w:r w:rsidR="00E266A4" w:rsidRPr="00E266A4">
        <w:t>Госсектор в российской экономике // Аналитический центр при Правительстве РФ URL: https://ac.gov.ru/publications/topics/topic/2345 (дата обращения: 20.02.2023).</w:t>
      </w:r>
    </w:p>
  </w:footnote>
  <w:footnote w:id="11">
    <w:p w14:paraId="7DD086EC" w14:textId="3E072722" w:rsidR="002C334E" w:rsidRDefault="002C334E">
      <w:pPr>
        <w:pStyle w:val="aa"/>
      </w:pPr>
      <w:r>
        <w:rPr>
          <w:rStyle w:val="ac"/>
        </w:rPr>
        <w:footnoteRef/>
      </w:r>
      <w:r w:rsidR="00E266A4" w:rsidRPr="00E266A4">
        <w:t>МВФ оценил долю государства в российской экономике в 33% // РБК URL: https://www.rbc.ru/economics/12/03/2019/5c879e0c9a79472f59316a90 (дата обращения: 20.02.2023).</w:t>
      </w:r>
    </w:p>
  </w:footnote>
  <w:footnote w:id="12">
    <w:p w14:paraId="77E54A46" w14:textId="337505AA" w:rsidR="002C334E" w:rsidRDefault="002C334E">
      <w:pPr>
        <w:pStyle w:val="aa"/>
      </w:pPr>
      <w:r>
        <w:rPr>
          <w:rStyle w:val="ac"/>
        </w:rPr>
        <w:footnoteRef/>
      </w:r>
      <w:r w:rsidR="00E266A4" w:rsidRPr="00E266A4">
        <w:t>ФАС заявила о контроле государства над 70% российской экономики // РБК URL: https://www.rbc.ru/economics/29/09/2016/57ecd5429a794730e1479fac (дата обращения: 20.02.2023).</w:t>
      </w:r>
    </w:p>
  </w:footnote>
  <w:footnote w:id="13">
    <w:p w14:paraId="048D3F90" w14:textId="2B671B15" w:rsidR="002C334E" w:rsidRDefault="002C334E">
      <w:pPr>
        <w:pStyle w:val="aa"/>
      </w:pPr>
      <w:r>
        <w:rPr>
          <w:rStyle w:val="ac"/>
        </w:rPr>
        <w:footnoteRef/>
      </w:r>
      <w:r w:rsidR="00E266A4" w:rsidRPr="00E266A4">
        <w:t>Монополизация и «</w:t>
      </w:r>
      <w:proofErr w:type="spellStart"/>
      <w:r w:rsidR="00E266A4" w:rsidRPr="00E266A4">
        <w:t>дирижизм</w:t>
      </w:r>
      <w:proofErr w:type="spellEnd"/>
      <w:r w:rsidR="00E266A4" w:rsidRPr="00E266A4">
        <w:t xml:space="preserve">»: за что </w:t>
      </w:r>
      <w:proofErr w:type="spellStart"/>
      <w:r w:rsidR="00E266A4" w:rsidRPr="00E266A4">
        <w:t>Moody's</w:t>
      </w:r>
      <w:proofErr w:type="spellEnd"/>
      <w:r w:rsidR="00E266A4" w:rsidRPr="00E266A4">
        <w:t xml:space="preserve"> раскритиковал экономику России // РБК URL: https://www.rbc.ru/economics/25/02/2019/5c7276d69a7947a62be84e98 (дата обращения: 20.02.2023).</w:t>
      </w:r>
    </w:p>
  </w:footnote>
  <w:footnote w:id="14">
    <w:p w14:paraId="6F6C20AA" w14:textId="7D17E6BE" w:rsidR="002A2C52" w:rsidRDefault="002A2C52">
      <w:pPr>
        <w:pStyle w:val="aa"/>
      </w:pPr>
      <w:r>
        <w:rPr>
          <w:rStyle w:val="ac"/>
        </w:rPr>
        <w:footnoteRef/>
      </w:r>
      <w:r w:rsidR="00E266A4" w:rsidRPr="00E266A4">
        <w:t>Решетников предложил усилить роль государства как инвестора последней инстанции // Ведомости URL: https://www.vedomosti.ru/economics/articles/2022/11/03/948854-reshetnikov-predlozhil-usilit (дата обращения: 25.02.2023).</w:t>
      </w:r>
    </w:p>
  </w:footnote>
  <w:footnote w:id="15">
    <w:p w14:paraId="222E0894" w14:textId="7707B0D6" w:rsidR="00A91A91" w:rsidRDefault="00A91A91">
      <w:pPr>
        <w:pStyle w:val="aa"/>
      </w:pPr>
      <w:r>
        <w:rPr>
          <w:rStyle w:val="ac"/>
        </w:rPr>
        <w:footnoteRef/>
      </w:r>
      <w:r w:rsidR="00C120A1" w:rsidRPr="00C120A1">
        <w:t>Структура акционерного капитала // Россети URL: https://www.rosseti.ru/investors/capital/share/ (дата обращения: 25.02.2023).</w:t>
      </w:r>
    </w:p>
  </w:footnote>
  <w:footnote w:id="16">
    <w:p w14:paraId="5B0BE21E" w14:textId="260DB5E4" w:rsidR="00247DED" w:rsidRDefault="00247DED">
      <w:pPr>
        <w:pStyle w:val="aa"/>
      </w:pPr>
      <w:r>
        <w:rPr>
          <w:rStyle w:val="ac"/>
        </w:rPr>
        <w:footnoteRef/>
      </w:r>
      <w:r w:rsidR="00C120A1" w:rsidRPr="00C120A1">
        <w:t>Индексы акций государственного сектора // Московская Биржа URL: https://www.moex.com/ru/index/publicsector/ (дата обращения: 27.02.2023).</w:t>
      </w:r>
    </w:p>
  </w:footnote>
  <w:footnote w:id="17">
    <w:p w14:paraId="71EE7642" w14:textId="7FC06EB3" w:rsidR="001E2AFD" w:rsidRDefault="001E2AFD">
      <w:pPr>
        <w:pStyle w:val="aa"/>
      </w:pPr>
      <w:r>
        <w:rPr>
          <w:rStyle w:val="ac"/>
        </w:rPr>
        <w:footnoteRef/>
      </w:r>
      <w:r>
        <w:t xml:space="preserve"> </w:t>
      </w:r>
      <w:r w:rsidR="005A4D4E" w:rsidRPr="005A4D4E">
        <w:t>Компаниям разрешили не раскрывать отчетность до июля 2023 года // РБК URL: https://quote.rbc.ru/news/article/638470639a794723d4dd1b01 (дата обращения: 01.03.2023).</w:t>
      </w:r>
    </w:p>
  </w:footnote>
  <w:footnote w:id="18">
    <w:p w14:paraId="491C5D86" w14:textId="6841ADD8" w:rsidR="00E1003D" w:rsidRDefault="00E1003D">
      <w:pPr>
        <w:pStyle w:val="aa"/>
      </w:pPr>
      <w:r>
        <w:rPr>
          <w:rStyle w:val="ac"/>
        </w:rPr>
        <w:footnoteRef/>
      </w:r>
      <w:r>
        <w:t xml:space="preserve"> </w:t>
      </w:r>
      <w:r w:rsidR="005A4D4E" w:rsidRPr="005A4D4E">
        <w:t>Как улучшить корпоративное управление в госкомпаниях // Научно-образовательный портал IQ URL: https://iq.hse.ru/news/205006407.html (дата обращения: 05.03.2023).</w:t>
      </w:r>
    </w:p>
  </w:footnote>
  <w:footnote w:id="19">
    <w:p w14:paraId="678236E2" w14:textId="4049AB87" w:rsidR="00DD3450" w:rsidRDefault="00DD3450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="005A4D4E" w:rsidRPr="005A4D4E">
        <w:t>Stanton</w:t>
      </w:r>
      <w:proofErr w:type="spellEnd"/>
      <w:r w:rsidR="005A4D4E" w:rsidRPr="005A4D4E">
        <w:t xml:space="preserve"> Chase. Советы директоров крупнейших российских публичных компаний // </w:t>
      </w:r>
      <w:proofErr w:type="spellStart"/>
      <w:r w:rsidR="005A4D4E" w:rsidRPr="005A4D4E">
        <w:t>Stanton</w:t>
      </w:r>
      <w:proofErr w:type="spellEnd"/>
      <w:r w:rsidR="005A4D4E" w:rsidRPr="005A4D4E">
        <w:t xml:space="preserve"> Chase URL: https://www.stantonchase.com/wp-content/uploads/2020/08/BoD_Russia_Report_2020_v14_RUS_Final-1.pdf (дата обращения: 05.03.2023).</w:t>
      </w:r>
    </w:p>
  </w:footnote>
  <w:footnote w:id="20">
    <w:p w14:paraId="0B34B339" w14:textId="41D6C59A" w:rsidR="00DD3450" w:rsidRDefault="00DD3450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="005A4D4E" w:rsidRPr="005A4D4E">
        <w:t>Stanton</w:t>
      </w:r>
      <w:proofErr w:type="spellEnd"/>
      <w:r w:rsidR="005A4D4E" w:rsidRPr="005A4D4E">
        <w:t xml:space="preserve"> Chase. Советы директоров крупнейших российских публичных компаний // </w:t>
      </w:r>
      <w:proofErr w:type="spellStart"/>
      <w:r w:rsidR="005A4D4E" w:rsidRPr="005A4D4E">
        <w:t>Stanton</w:t>
      </w:r>
      <w:proofErr w:type="spellEnd"/>
      <w:r w:rsidR="005A4D4E" w:rsidRPr="005A4D4E">
        <w:t xml:space="preserve"> Chase URL: https://www.stantonchase.com/wp-content/uploads/2021/09/BoD_Russia_Report_2021_RUS_v9.pdf (дата обращения: 05.03.2023).</w:t>
      </w:r>
    </w:p>
  </w:footnote>
  <w:footnote w:id="21">
    <w:p w14:paraId="3E106D81" w14:textId="775FD84C" w:rsidR="00DD3450" w:rsidRDefault="00DD3450" w:rsidP="00DD3450">
      <w:pPr>
        <w:pStyle w:val="aa"/>
      </w:pPr>
      <w:r>
        <w:rPr>
          <w:rStyle w:val="ac"/>
        </w:rPr>
        <w:footnoteRef/>
      </w:r>
      <w:proofErr w:type="spellStart"/>
      <w:r w:rsidR="005A4D4E" w:rsidRPr="005A4D4E">
        <w:t>SpenserStuard</w:t>
      </w:r>
      <w:proofErr w:type="spellEnd"/>
      <w:r w:rsidR="005A4D4E" w:rsidRPr="005A4D4E">
        <w:t xml:space="preserve">. Российский индекс советов директоров 2020 // </w:t>
      </w:r>
      <w:proofErr w:type="spellStart"/>
      <w:r w:rsidR="005A4D4E" w:rsidRPr="005A4D4E">
        <w:t>SpenserStuard</w:t>
      </w:r>
      <w:proofErr w:type="spellEnd"/>
      <w:r w:rsidR="005A4D4E" w:rsidRPr="005A4D4E">
        <w:t xml:space="preserve"> URL: https://www.spencerstuart.com/-/media/2021/june/russiabi2020/russiabi_2020.pdf (дата обращения: 05.03.2023).</w:t>
      </w:r>
    </w:p>
  </w:footnote>
  <w:footnote w:id="22">
    <w:p w14:paraId="7BE7BCC2" w14:textId="73C8695F" w:rsidR="00A34A05" w:rsidRDefault="00A34A05">
      <w:pPr>
        <w:pStyle w:val="aa"/>
      </w:pPr>
      <w:r>
        <w:rPr>
          <w:rStyle w:val="ac"/>
        </w:rPr>
        <w:footnoteRef/>
      </w:r>
      <w:r w:rsidR="00B9456C" w:rsidRPr="00B9456C">
        <w:t>НОКС. Обзор практик корпоративного управления-2022. Результаты исследования // НОКС URL: https://nokc.org.ru/obzor-korp-upravlenia/ (дата обращения: 07.03.2023).</w:t>
      </w:r>
    </w:p>
  </w:footnote>
  <w:footnote w:id="23">
    <w:p w14:paraId="2707DB12" w14:textId="412B404E" w:rsidR="008470D8" w:rsidRPr="00B9456C" w:rsidRDefault="008470D8">
      <w:pPr>
        <w:pStyle w:val="aa"/>
      </w:pPr>
      <w:r>
        <w:rPr>
          <w:rStyle w:val="ac"/>
        </w:rPr>
        <w:footnoteRef/>
      </w:r>
      <w:r>
        <w:t xml:space="preserve"> </w:t>
      </w:r>
      <w:r w:rsidR="00B9456C" w:rsidRPr="00B9456C">
        <w:t>Люди в советах директоров: как соответствовать новым требованиям // Риск-менеджмент. Практика. - 2021. - №4</w:t>
      </w:r>
      <w:r w:rsidR="00B9456C">
        <w:t xml:space="preserve"> </w:t>
      </w:r>
    </w:p>
  </w:footnote>
  <w:footnote w:id="24">
    <w:p w14:paraId="54475630" w14:textId="6E5676A5" w:rsidR="00AB581F" w:rsidRPr="00904D8A" w:rsidRDefault="00AB581F" w:rsidP="00AB581F">
      <w:pPr>
        <w:pStyle w:val="aa"/>
      </w:pPr>
      <w:r>
        <w:rPr>
          <w:rStyle w:val="ac"/>
        </w:rPr>
        <w:footnoteRef/>
      </w:r>
      <w:r w:rsidR="00B9456C">
        <w:rPr>
          <w:lang w:val="en-US"/>
        </w:rPr>
        <w:t>URL</w:t>
      </w:r>
      <w:r w:rsidR="00B9456C" w:rsidRPr="00B9456C">
        <w:t>:</w:t>
      </w:r>
      <w:hyperlink r:id="rId1" w:history="1">
        <w:r w:rsidR="00B9456C" w:rsidRPr="00904D8A">
          <w:rPr>
            <w:rStyle w:val="a8"/>
            <w:color w:val="000000" w:themeColor="text1"/>
            <w:u w:val="none"/>
            <w:lang w:val="en-US"/>
          </w:rPr>
          <w:t>https</w:t>
        </w:r>
        <w:r w:rsidR="00B9456C" w:rsidRPr="00904D8A">
          <w:rPr>
            <w:rStyle w:val="a8"/>
            <w:color w:val="000000" w:themeColor="text1"/>
            <w:u w:val="none"/>
          </w:rPr>
          <w:t>://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www</w:t>
        </w:r>
        <w:r w:rsidR="00B9456C" w:rsidRPr="00904D8A">
          <w:rPr>
            <w:rStyle w:val="a8"/>
            <w:color w:val="000000" w:themeColor="text1"/>
            <w:u w:val="none"/>
          </w:rPr>
          <w:t>.</w:t>
        </w:r>
        <w:proofErr w:type="spellStart"/>
        <w:r w:rsidR="00B9456C" w:rsidRPr="00904D8A">
          <w:rPr>
            <w:rStyle w:val="a8"/>
            <w:color w:val="000000" w:themeColor="text1"/>
            <w:u w:val="none"/>
            <w:lang w:val="en-US"/>
          </w:rPr>
          <w:t>stantonchase</w:t>
        </w:r>
        <w:proofErr w:type="spellEnd"/>
        <w:r w:rsidR="00B9456C" w:rsidRPr="00904D8A">
          <w:rPr>
            <w:rStyle w:val="a8"/>
            <w:color w:val="000000" w:themeColor="text1"/>
            <w:u w:val="none"/>
          </w:rPr>
          <w:t>.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com</w:t>
        </w:r>
        <w:r w:rsidR="00B9456C" w:rsidRPr="00904D8A">
          <w:rPr>
            <w:rStyle w:val="a8"/>
            <w:color w:val="000000" w:themeColor="text1"/>
            <w:u w:val="none"/>
          </w:rPr>
          <w:t>/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wp</w:t>
        </w:r>
        <w:r w:rsidR="00B9456C" w:rsidRPr="00904D8A">
          <w:rPr>
            <w:rStyle w:val="a8"/>
            <w:color w:val="000000" w:themeColor="text1"/>
            <w:u w:val="none"/>
          </w:rPr>
          <w:t>-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content</w:t>
        </w:r>
        <w:r w:rsidR="00B9456C" w:rsidRPr="00904D8A">
          <w:rPr>
            <w:rStyle w:val="a8"/>
            <w:color w:val="000000" w:themeColor="text1"/>
            <w:u w:val="none"/>
          </w:rPr>
          <w:t>/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uploads</w:t>
        </w:r>
        <w:r w:rsidR="00B9456C" w:rsidRPr="00904D8A">
          <w:rPr>
            <w:rStyle w:val="a8"/>
            <w:color w:val="000000" w:themeColor="text1"/>
            <w:u w:val="none"/>
          </w:rPr>
          <w:t>/2021/09/</w:t>
        </w:r>
        <w:proofErr w:type="spellStart"/>
        <w:r w:rsidR="00B9456C" w:rsidRPr="00904D8A">
          <w:rPr>
            <w:rStyle w:val="a8"/>
            <w:color w:val="000000" w:themeColor="text1"/>
            <w:u w:val="none"/>
            <w:lang w:val="en-US"/>
          </w:rPr>
          <w:t>BoD</w:t>
        </w:r>
        <w:proofErr w:type="spellEnd"/>
        <w:r w:rsidR="00B9456C" w:rsidRPr="00904D8A">
          <w:rPr>
            <w:rStyle w:val="a8"/>
            <w:color w:val="000000" w:themeColor="text1"/>
            <w:u w:val="none"/>
          </w:rPr>
          <w:t>_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Russia</w:t>
        </w:r>
        <w:r w:rsidR="00B9456C" w:rsidRPr="00904D8A">
          <w:rPr>
            <w:rStyle w:val="a8"/>
            <w:color w:val="000000" w:themeColor="text1"/>
            <w:u w:val="none"/>
          </w:rPr>
          <w:t>_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Report</w:t>
        </w:r>
        <w:r w:rsidR="00B9456C" w:rsidRPr="00904D8A">
          <w:rPr>
            <w:rStyle w:val="a8"/>
            <w:color w:val="000000" w:themeColor="text1"/>
            <w:u w:val="none"/>
          </w:rPr>
          <w:t>_2021_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RUS</w:t>
        </w:r>
        <w:r w:rsidR="00B9456C" w:rsidRPr="00904D8A">
          <w:rPr>
            <w:rStyle w:val="a8"/>
            <w:color w:val="000000" w:themeColor="text1"/>
            <w:u w:val="none"/>
          </w:rPr>
          <w:t>_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v</w:t>
        </w:r>
        <w:r w:rsidR="00B9456C" w:rsidRPr="00904D8A">
          <w:rPr>
            <w:rStyle w:val="a8"/>
            <w:color w:val="000000" w:themeColor="text1"/>
            <w:u w:val="none"/>
          </w:rPr>
          <w:t>9.</w:t>
        </w:r>
        <w:r w:rsidR="00B9456C" w:rsidRPr="00904D8A">
          <w:rPr>
            <w:rStyle w:val="a8"/>
            <w:color w:val="000000" w:themeColor="text1"/>
            <w:u w:val="none"/>
            <w:lang w:val="en-US"/>
          </w:rPr>
          <w:t>pdf</w:t>
        </w:r>
      </w:hyperlink>
      <w:r w:rsidR="00904D8A">
        <w:rPr>
          <w:color w:val="000000" w:themeColor="text1"/>
        </w:rPr>
        <w:t xml:space="preserve"> (дата обращения: 10.03.2023)</w:t>
      </w:r>
    </w:p>
  </w:footnote>
  <w:footnote w:id="25">
    <w:p w14:paraId="4259CDCE" w14:textId="4A6E9BA4" w:rsidR="00185DF4" w:rsidRDefault="00185DF4">
      <w:pPr>
        <w:pStyle w:val="aa"/>
      </w:pPr>
      <w:r>
        <w:rPr>
          <w:rStyle w:val="ac"/>
        </w:rPr>
        <w:footnoteRef/>
      </w:r>
      <w:r>
        <w:t xml:space="preserve"> </w:t>
      </w:r>
      <w:r w:rsidR="00B9456C" w:rsidRPr="00B9456C">
        <w:t>Советам директоров публичных компаний рекомендовано учитывать ESG-факторы при выработке стратегии // Банк России URL: https://www.cbr.ru/press/event/?id=12558 (дата обращения: 10.03.2023).</w:t>
      </w:r>
    </w:p>
  </w:footnote>
  <w:footnote w:id="26">
    <w:p w14:paraId="0EAEC10C" w14:textId="77777777" w:rsidR="00E203F3" w:rsidRDefault="00E203F3" w:rsidP="00E203F3">
      <w:pPr>
        <w:pStyle w:val="aa"/>
      </w:pPr>
      <w:r>
        <w:rPr>
          <w:rStyle w:val="ac"/>
        </w:rPr>
        <w:footnoteRef/>
      </w:r>
      <w:r>
        <w:t xml:space="preserve"> </w:t>
      </w:r>
      <w:r w:rsidRPr="00904D8A">
        <w:t>PricewaterhouseCoopers. Устойчивое развитие в фокусе внимания советов директоров. Опрос членов советов директоров российских компаний, 2019 г. // PricewaterhouseCoopers URL: https://www.b-soc.ru/wp-content/uploads/2019/11/polnyj-tekst-issledovaniya.pdf (дата обращения: 10.03.2023).</w:t>
      </w:r>
    </w:p>
  </w:footnote>
  <w:footnote w:id="27">
    <w:p w14:paraId="01223C75" w14:textId="281F327B" w:rsidR="00814829" w:rsidRDefault="00814829">
      <w:pPr>
        <w:pStyle w:val="aa"/>
      </w:pPr>
      <w:r>
        <w:rPr>
          <w:rStyle w:val="ac"/>
        </w:rPr>
        <w:footnoteRef/>
      </w:r>
      <w:proofErr w:type="gramStart"/>
      <w:r w:rsidR="00904D8A" w:rsidRPr="007306E3">
        <w:t>URL:https://assets.kept.ru/upload/pdf/2022/10/ru-kept-and-eplus-barometr-of-sustainable-business</w:t>
      </w:r>
      <w:r w:rsidR="00904D8A">
        <w:t>-</w:t>
      </w:r>
      <w:r w:rsidR="00904D8A" w:rsidRPr="007306E3">
        <w:t>transformation.pdf</w:t>
      </w:r>
      <w:proofErr w:type="gramEnd"/>
      <w:r w:rsidR="00904D8A" w:rsidRPr="007306E3">
        <w:t xml:space="preserve"> (дата обращения: 1</w:t>
      </w:r>
      <w:r w:rsidR="00904D8A">
        <w:t>0.03</w:t>
      </w:r>
      <w:r w:rsidR="00904D8A" w:rsidRPr="007306E3">
        <w:t>.202</w:t>
      </w:r>
      <w:r w:rsidR="00904D8A">
        <w:t>3</w:t>
      </w:r>
      <w:r w:rsidR="00904D8A" w:rsidRPr="007306E3">
        <w:t>)</w:t>
      </w:r>
    </w:p>
  </w:footnote>
  <w:footnote w:id="28">
    <w:p w14:paraId="556B48C4" w14:textId="14CC6CC1" w:rsidR="009513F6" w:rsidRDefault="009513F6">
      <w:pPr>
        <w:pStyle w:val="aa"/>
      </w:pPr>
      <w:r>
        <w:rPr>
          <w:rStyle w:val="ac"/>
        </w:rPr>
        <w:footnoteRef/>
      </w:r>
      <w:r>
        <w:t xml:space="preserve"> </w:t>
      </w:r>
      <w:r w:rsidR="00904D8A" w:rsidRPr="00904D8A">
        <w:t>Корпоративное управление и ESG-трансформация российских компаний // Центр устойчивого развития Школы управления СКОЛКОВО URL: https://www.skolkovo.ru/researches/korporativnoe-upravlenie-i-esg-transformaciya-rossijskih-kompanij/ (дата обращения: 10.03.2023).</w:t>
      </w:r>
    </w:p>
  </w:footnote>
  <w:footnote w:id="29">
    <w:p w14:paraId="10501645" w14:textId="659284CA" w:rsidR="00530586" w:rsidRPr="00530586" w:rsidRDefault="00530586">
      <w:pPr>
        <w:pStyle w:val="aa"/>
      </w:pPr>
      <w:r>
        <w:rPr>
          <w:rStyle w:val="ac"/>
        </w:rPr>
        <w:footnoteRef/>
      </w:r>
      <w:r>
        <w:t xml:space="preserve"> </w:t>
      </w:r>
      <w:r w:rsidR="00904D8A" w:rsidRPr="00904D8A">
        <w:t>Рентабельность инвестированного капитала, ROIC // Альт-Инвест URL: https://www.alt-invest.ru/lib/roic/ (дата обращения: 12.03.2023).</w:t>
      </w:r>
    </w:p>
  </w:footnote>
  <w:footnote w:id="30">
    <w:p w14:paraId="72DC02BB" w14:textId="227F7DA9" w:rsidR="00190D93" w:rsidRPr="000D3E57" w:rsidRDefault="00190D93">
      <w:pPr>
        <w:pStyle w:val="aa"/>
      </w:pPr>
      <w:r>
        <w:rPr>
          <w:rStyle w:val="ac"/>
        </w:rPr>
        <w:footnoteRef/>
      </w:r>
      <w:r w:rsidRPr="000D3E57">
        <w:t xml:space="preserve"> </w:t>
      </w:r>
      <w:r w:rsidR="000D3E57" w:rsidRPr="000D3E57">
        <w:rPr>
          <w:color w:val="000000" w:themeColor="text1"/>
          <w:lang w:val="en-US"/>
        </w:rPr>
        <w:t>URL</w:t>
      </w:r>
      <w:r w:rsidR="000D3E57" w:rsidRPr="000D3E57">
        <w:rPr>
          <w:color w:val="000000" w:themeColor="text1"/>
        </w:rPr>
        <w:t xml:space="preserve">: </w:t>
      </w:r>
      <w:hyperlink r:id="rId2" w:history="1">
        <w:r w:rsidR="000D3E57" w:rsidRPr="000D3E57">
          <w:rPr>
            <w:rStyle w:val="a8"/>
            <w:color w:val="000000" w:themeColor="text1"/>
            <w:u w:val="none"/>
            <w:lang w:val="en-US"/>
          </w:rPr>
          <w:t>https</w:t>
        </w:r>
        <w:r w:rsidR="000D3E57" w:rsidRPr="000D3E57">
          <w:rPr>
            <w:rStyle w:val="a8"/>
            <w:color w:val="000000" w:themeColor="text1"/>
            <w:u w:val="none"/>
          </w:rPr>
          <w:t>://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www</w:t>
        </w:r>
        <w:r w:rsidR="000D3E57" w:rsidRPr="000D3E57">
          <w:rPr>
            <w:rStyle w:val="a8"/>
            <w:color w:val="000000" w:themeColor="text1"/>
            <w:u w:val="none"/>
          </w:rPr>
          <w:t>.</w:t>
        </w:r>
        <w:proofErr w:type="spellStart"/>
        <w:r w:rsidR="000D3E57" w:rsidRPr="000D3E57">
          <w:rPr>
            <w:rStyle w:val="a8"/>
            <w:color w:val="000000" w:themeColor="text1"/>
            <w:u w:val="none"/>
            <w:lang w:val="en-US"/>
          </w:rPr>
          <w:t>stantonchase</w:t>
        </w:r>
        <w:proofErr w:type="spellEnd"/>
        <w:r w:rsidR="000D3E57" w:rsidRPr="000D3E57">
          <w:rPr>
            <w:rStyle w:val="a8"/>
            <w:color w:val="000000" w:themeColor="text1"/>
            <w:u w:val="none"/>
          </w:rPr>
          <w:t>.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com</w:t>
        </w:r>
        <w:r w:rsidR="000D3E57" w:rsidRPr="000D3E57">
          <w:rPr>
            <w:rStyle w:val="a8"/>
            <w:color w:val="000000" w:themeColor="text1"/>
            <w:u w:val="none"/>
          </w:rPr>
          <w:t>/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wp</w:t>
        </w:r>
        <w:r w:rsidR="000D3E57" w:rsidRPr="000D3E57">
          <w:rPr>
            <w:rStyle w:val="a8"/>
            <w:color w:val="000000" w:themeColor="text1"/>
            <w:u w:val="none"/>
          </w:rPr>
          <w:t>-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content</w:t>
        </w:r>
        <w:r w:rsidR="000D3E57" w:rsidRPr="000D3E57">
          <w:rPr>
            <w:rStyle w:val="a8"/>
            <w:color w:val="000000" w:themeColor="text1"/>
            <w:u w:val="none"/>
          </w:rPr>
          <w:t>/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uploads</w:t>
        </w:r>
        <w:r w:rsidR="000D3E57" w:rsidRPr="000D3E57">
          <w:rPr>
            <w:rStyle w:val="a8"/>
            <w:color w:val="000000" w:themeColor="text1"/>
            <w:u w:val="none"/>
          </w:rPr>
          <w:t>/2021/09/</w:t>
        </w:r>
        <w:proofErr w:type="spellStart"/>
        <w:r w:rsidR="000D3E57" w:rsidRPr="000D3E57">
          <w:rPr>
            <w:rStyle w:val="a8"/>
            <w:color w:val="000000" w:themeColor="text1"/>
            <w:u w:val="none"/>
            <w:lang w:val="en-US"/>
          </w:rPr>
          <w:t>BoD</w:t>
        </w:r>
        <w:proofErr w:type="spellEnd"/>
        <w:r w:rsidR="000D3E57" w:rsidRPr="000D3E57">
          <w:rPr>
            <w:rStyle w:val="a8"/>
            <w:color w:val="000000" w:themeColor="text1"/>
            <w:u w:val="none"/>
          </w:rPr>
          <w:t>_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Russia</w:t>
        </w:r>
        <w:r w:rsidR="000D3E57" w:rsidRPr="000D3E57">
          <w:rPr>
            <w:rStyle w:val="a8"/>
            <w:color w:val="000000" w:themeColor="text1"/>
            <w:u w:val="none"/>
          </w:rPr>
          <w:t>_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Report</w:t>
        </w:r>
        <w:r w:rsidR="000D3E57" w:rsidRPr="000D3E57">
          <w:rPr>
            <w:rStyle w:val="a8"/>
            <w:color w:val="000000" w:themeColor="text1"/>
            <w:u w:val="none"/>
          </w:rPr>
          <w:t>_2021_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RUS</w:t>
        </w:r>
        <w:r w:rsidR="000D3E57" w:rsidRPr="000D3E57">
          <w:rPr>
            <w:rStyle w:val="a8"/>
            <w:color w:val="000000" w:themeColor="text1"/>
            <w:u w:val="none"/>
          </w:rPr>
          <w:t>_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v</w:t>
        </w:r>
        <w:r w:rsidR="000D3E57" w:rsidRPr="000D3E57">
          <w:rPr>
            <w:rStyle w:val="a8"/>
            <w:color w:val="000000" w:themeColor="text1"/>
            <w:u w:val="none"/>
          </w:rPr>
          <w:t>9.</w:t>
        </w:r>
        <w:r w:rsidR="000D3E57" w:rsidRPr="000D3E57">
          <w:rPr>
            <w:rStyle w:val="a8"/>
            <w:color w:val="000000" w:themeColor="text1"/>
            <w:u w:val="none"/>
            <w:lang w:val="en-US"/>
          </w:rPr>
          <w:t>pdf</w:t>
        </w:r>
      </w:hyperlink>
      <w:r w:rsidR="000D3E57" w:rsidRPr="000D3E57">
        <w:rPr>
          <w:color w:val="000000" w:themeColor="text1"/>
        </w:rPr>
        <w:t xml:space="preserve"> (дата обращения: 15.03.2023)</w:t>
      </w:r>
    </w:p>
  </w:footnote>
  <w:footnote w:id="31">
    <w:p w14:paraId="1856F3A7" w14:textId="561B7172" w:rsidR="000D3E57" w:rsidRDefault="000D3E57">
      <w:pPr>
        <w:pStyle w:val="aa"/>
      </w:pPr>
      <w:r>
        <w:rPr>
          <w:rStyle w:val="ac"/>
        </w:rPr>
        <w:footnoteRef/>
      </w:r>
      <w:r>
        <w:t xml:space="preserve"> </w:t>
      </w:r>
      <w:r w:rsidRPr="000D3E57">
        <w:t>URL: https://www.spencerstuart.com/-/media/2021/june/russiabi2020/russiabi_2020.pdf (дата обращения: 05.03.2023).</w:t>
      </w:r>
    </w:p>
  </w:footnote>
  <w:footnote w:id="32">
    <w:p w14:paraId="6A8190B4" w14:textId="046DF98D" w:rsidR="000D3E57" w:rsidRDefault="000D3E57">
      <w:pPr>
        <w:pStyle w:val="aa"/>
      </w:pPr>
      <w:r>
        <w:rPr>
          <w:rStyle w:val="ac"/>
        </w:rPr>
        <w:footnoteRef/>
      </w:r>
      <w:r>
        <w:t xml:space="preserve"> </w:t>
      </w:r>
      <w:r w:rsidRPr="000D3E57">
        <w:t>URL: https://www.spencerstuart.com/-/media/2021/june/russiabi2020/russiabi_2020.pdf (дата обращения: 05.03.2023).</w:t>
      </w:r>
    </w:p>
  </w:footnote>
  <w:footnote w:id="33">
    <w:p w14:paraId="447520D0" w14:textId="0CAC7D9A" w:rsidR="00062B0E" w:rsidRPr="000D3E57" w:rsidRDefault="00062B0E">
      <w:pPr>
        <w:pStyle w:val="aa"/>
      </w:pPr>
      <w:r>
        <w:rPr>
          <w:rStyle w:val="ac"/>
        </w:rPr>
        <w:footnoteRef/>
      </w:r>
      <w:r w:rsidR="0062070C">
        <w:rPr>
          <w:lang w:val="en-US"/>
        </w:rPr>
        <w:t>U</w:t>
      </w:r>
      <w:r w:rsidR="00E71D54" w:rsidRPr="007306E3">
        <w:t>RL: https://www.ey.com/ru_kz (дата обращения: 11.12.2023)</w:t>
      </w:r>
      <w:r w:rsidR="00E71D54">
        <w:t xml:space="preserve"> </w:t>
      </w:r>
    </w:p>
  </w:footnote>
  <w:footnote w:id="34">
    <w:p w14:paraId="313011B4" w14:textId="53CB0303" w:rsidR="00062B0E" w:rsidRPr="00E71D54" w:rsidRDefault="00062B0E">
      <w:pPr>
        <w:pStyle w:val="aa"/>
      </w:pPr>
      <w:r>
        <w:rPr>
          <w:rStyle w:val="ac"/>
        </w:rPr>
        <w:footnoteRef/>
      </w:r>
      <w:r w:rsidR="00E71D54">
        <w:rPr>
          <w:lang w:val="en-US"/>
        </w:rPr>
        <w:t>URL</w:t>
      </w:r>
      <w:r w:rsidR="00E71D54" w:rsidRPr="00E71D54">
        <w:t xml:space="preserve">: </w:t>
      </w:r>
      <w:hyperlink r:id="rId3" w:history="1">
        <w:r w:rsidR="00E71D54" w:rsidRPr="00E71D54">
          <w:rPr>
            <w:rStyle w:val="a8"/>
            <w:color w:val="000000" w:themeColor="text1"/>
            <w:u w:val="none"/>
            <w:lang w:val="en-US"/>
          </w:rPr>
          <w:t>https</w:t>
        </w:r>
        <w:r w:rsidR="00E71D54" w:rsidRPr="00E71D54">
          <w:rPr>
            <w:rStyle w:val="a8"/>
            <w:color w:val="000000" w:themeColor="text1"/>
            <w:u w:val="none"/>
          </w:rPr>
          <w:t>://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www</w:t>
        </w:r>
        <w:r w:rsidR="00E71D54" w:rsidRPr="00E71D54">
          <w:rPr>
            <w:rStyle w:val="a8"/>
            <w:color w:val="000000" w:themeColor="text1"/>
            <w:u w:val="none"/>
          </w:rPr>
          <w:t>.</w:t>
        </w:r>
        <w:proofErr w:type="spellStart"/>
        <w:r w:rsidR="00E71D54" w:rsidRPr="00E71D54">
          <w:rPr>
            <w:rStyle w:val="a8"/>
            <w:color w:val="000000" w:themeColor="text1"/>
            <w:u w:val="none"/>
            <w:lang w:val="en-US"/>
          </w:rPr>
          <w:t>stantonchase</w:t>
        </w:r>
        <w:proofErr w:type="spellEnd"/>
        <w:r w:rsidR="00E71D54" w:rsidRPr="00E71D54">
          <w:rPr>
            <w:rStyle w:val="a8"/>
            <w:color w:val="000000" w:themeColor="text1"/>
            <w:u w:val="none"/>
          </w:rPr>
          <w:t>.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com</w:t>
        </w:r>
        <w:r w:rsidR="00E71D54" w:rsidRPr="00E71D54">
          <w:rPr>
            <w:rStyle w:val="a8"/>
            <w:color w:val="000000" w:themeColor="text1"/>
            <w:u w:val="none"/>
          </w:rPr>
          <w:t>/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wp</w:t>
        </w:r>
        <w:r w:rsidR="00E71D54" w:rsidRPr="00E71D54">
          <w:rPr>
            <w:rStyle w:val="a8"/>
            <w:color w:val="000000" w:themeColor="text1"/>
            <w:u w:val="none"/>
          </w:rPr>
          <w:t>-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content</w:t>
        </w:r>
        <w:r w:rsidR="00E71D54" w:rsidRPr="00E71D54">
          <w:rPr>
            <w:rStyle w:val="a8"/>
            <w:color w:val="000000" w:themeColor="text1"/>
            <w:u w:val="none"/>
          </w:rPr>
          <w:t>/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uploads</w:t>
        </w:r>
        <w:r w:rsidR="00E71D54" w:rsidRPr="00E71D54">
          <w:rPr>
            <w:rStyle w:val="a8"/>
            <w:color w:val="000000" w:themeColor="text1"/>
            <w:u w:val="none"/>
          </w:rPr>
          <w:t>/2021/09/</w:t>
        </w:r>
        <w:proofErr w:type="spellStart"/>
        <w:r w:rsidR="00E71D54" w:rsidRPr="00E71D54">
          <w:rPr>
            <w:rStyle w:val="a8"/>
            <w:color w:val="000000" w:themeColor="text1"/>
            <w:u w:val="none"/>
            <w:lang w:val="en-US"/>
          </w:rPr>
          <w:t>BoD</w:t>
        </w:r>
        <w:proofErr w:type="spellEnd"/>
        <w:r w:rsidR="00E71D54" w:rsidRPr="00E71D54">
          <w:rPr>
            <w:rStyle w:val="a8"/>
            <w:color w:val="000000" w:themeColor="text1"/>
            <w:u w:val="none"/>
          </w:rPr>
          <w:t>_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Russia</w:t>
        </w:r>
        <w:r w:rsidR="00E71D54" w:rsidRPr="00E71D54">
          <w:rPr>
            <w:rStyle w:val="a8"/>
            <w:color w:val="000000" w:themeColor="text1"/>
            <w:u w:val="none"/>
          </w:rPr>
          <w:t>_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Report</w:t>
        </w:r>
        <w:r w:rsidR="00E71D54" w:rsidRPr="00E71D54">
          <w:rPr>
            <w:rStyle w:val="a8"/>
            <w:color w:val="000000" w:themeColor="text1"/>
            <w:u w:val="none"/>
          </w:rPr>
          <w:t>_2021_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RUS</w:t>
        </w:r>
        <w:r w:rsidR="00E71D54" w:rsidRPr="00E71D54">
          <w:rPr>
            <w:rStyle w:val="a8"/>
            <w:color w:val="000000" w:themeColor="text1"/>
            <w:u w:val="none"/>
          </w:rPr>
          <w:t>_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v</w:t>
        </w:r>
        <w:r w:rsidR="00E71D54" w:rsidRPr="00E71D54">
          <w:rPr>
            <w:rStyle w:val="a8"/>
            <w:color w:val="000000" w:themeColor="text1"/>
            <w:u w:val="none"/>
          </w:rPr>
          <w:t>9.</w:t>
        </w:r>
        <w:r w:rsidR="00E71D54" w:rsidRPr="00E71D54">
          <w:rPr>
            <w:rStyle w:val="a8"/>
            <w:color w:val="000000" w:themeColor="text1"/>
            <w:u w:val="none"/>
            <w:lang w:val="en-US"/>
          </w:rPr>
          <w:t>pdf</w:t>
        </w:r>
      </w:hyperlink>
      <w:r w:rsidR="00E71D54" w:rsidRPr="00E71D54">
        <w:rPr>
          <w:color w:val="000000" w:themeColor="text1"/>
        </w:rPr>
        <w:t xml:space="preserve"> (дата обращения: 05.03.2023)</w:t>
      </w:r>
    </w:p>
  </w:footnote>
  <w:footnote w:id="35">
    <w:p w14:paraId="24DF5981" w14:textId="505B25EE" w:rsidR="00FF0079" w:rsidRDefault="00FF0079">
      <w:pPr>
        <w:pStyle w:val="aa"/>
      </w:pPr>
      <w:r w:rsidRPr="001A5221">
        <w:rPr>
          <w:rStyle w:val="ac"/>
        </w:rPr>
        <w:footnoteRef/>
      </w:r>
      <w:r w:rsidR="001A5221" w:rsidRPr="00904D8A">
        <w:t>URL: https://www.b-soc.ru/wp-content/uploads/2019/11/polnyj-tekst-issledovaniya.pdf (дата обращения: 10.03.2023).</w:t>
      </w:r>
    </w:p>
  </w:footnote>
  <w:footnote w:id="36">
    <w:p w14:paraId="2201FC2E" w14:textId="2EC3AE7E" w:rsidR="002A2C7F" w:rsidRDefault="002A2C7F">
      <w:pPr>
        <w:pStyle w:val="aa"/>
      </w:pPr>
      <w:r>
        <w:rPr>
          <w:rStyle w:val="ac"/>
        </w:rPr>
        <w:footnoteRef/>
      </w:r>
      <w:r>
        <w:t xml:space="preserve"> </w:t>
      </w:r>
      <w:r w:rsidR="00E71D54" w:rsidRPr="00E71D54">
        <w:t>Компании с государственным участием на Московской бирже // Газпромбанк Инвестиции URL: https://gazprombank.investments/blog/education/state-participation-companies/ (дата обращения: 25.03.2023).</w:t>
      </w:r>
    </w:p>
  </w:footnote>
  <w:footnote w:id="37">
    <w:p w14:paraId="63B51E22" w14:textId="79394D81" w:rsidR="00775A94" w:rsidRPr="002F35C0" w:rsidRDefault="00775A94">
      <w:pPr>
        <w:pStyle w:val="aa"/>
      </w:pPr>
      <w:r>
        <w:rPr>
          <w:rStyle w:val="ac"/>
        </w:rPr>
        <w:footnoteRef/>
      </w:r>
      <w:r>
        <w:t xml:space="preserve"> </w:t>
      </w:r>
      <w:r w:rsidR="00E71D54" w:rsidRPr="00E71D54">
        <w:t>Падение экономики России из-за пандемии стало максимальным за 11 лет // РБК URL: https://www.rbc.ru/economics/01/02/2021/6017e1819a7947cb98f23f95 (дата обращения: 25.03.2023).</w:t>
      </w:r>
    </w:p>
  </w:footnote>
  <w:footnote w:id="38">
    <w:p w14:paraId="6F3913BF" w14:textId="77777777" w:rsidR="00233B1D" w:rsidRDefault="00233B1D" w:rsidP="00233B1D">
      <w:pPr>
        <w:pStyle w:val="aa"/>
      </w:pPr>
      <w:r>
        <w:rPr>
          <w:rStyle w:val="ac"/>
        </w:rPr>
        <w:footnoteRef/>
      </w:r>
      <w:r>
        <w:t xml:space="preserve"> </w:t>
      </w:r>
      <w:r w:rsidRPr="000D3E57">
        <w:t>URL: https://www.spencerstuart.com/-/media/2021/june/russiabi2020/russiabi_2020.pdf (дата обращения: 05.03.2023).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773"/>
    <w:multiLevelType w:val="hybridMultilevel"/>
    <w:tmpl w:val="FC32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874"/>
    <w:multiLevelType w:val="hybridMultilevel"/>
    <w:tmpl w:val="72DE4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E0750D"/>
    <w:multiLevelType w:val="hybridMultilevel"/>
    <w:tmpl w:val="A2869286"/>
    <w:lvl w:ilvl="0" w:tplc="4882322E">
      <w:start w:val="1"/>
      <w:numFmt w:val="decimal"/>
      <w:lvlText w:val="Рис. 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7B0A9C"/>
    <w:multiLevelType w:val="hybridMultilevel"/>
    <w:tmpl w:val="B79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1F42"/>
    <w:multiLevelType w:val="hybridMultilevel"/>
    <w:tmpl w:val="70169A6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434E8E"/>
    <w:multiLevelType w:val="hybridMultilevel"/>
    <w:tmpl w:val="BB9CE89A"/>
    <w:lvl w:ilvl="0" w:tplc="0682EF28">
      <w:start w:val="1"/>
      <w:numFmt w:val="decimal"/>
      <w:pStyle w:val="a"/>
      <w:lvlText w:val="Таблица 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ED2"/>
    <w:multiLevelType w:val="hybridMultilevel"/>
    <w:tmpl w:val="EAB0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796B"/>
    <w:multiLevelType w:val="hybridMultilevel"/>
    <w:tmpl w:val="077099B0"/>
    <w:lvl w:ilvl="0" w:tplc="9D96219E">
      <w:start w:val="1"/>
      <w:numFmt w:val="decimal"/>
      <w:pStyle w:val="a0"/>
      <w:lvlText w:val="Гипотеза 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13D0"/>
    <w:multiLevelType w:val="hybridMultilevel"/>
    <w:tmpl w:val="8D7649F2"/>
    <w:lvl w:ilvl="0" w:tplc="79DC7032">
      <w:start w:val="1"/>
      <w:numFmt w:val="decimal"/>
      <w:pStyle w:val="a1"/>
      <w:lvlText w:val="Рис. 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51F90"/>
    <w:multiLevelType w:val="hybridMultilevel"/>
    <w:tmpl w:val="0EF8C060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6A520C47"/>
    <w:multiLevelType w:val="hybridMultilevel"/>
    <w:tmpl w:val="70169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7583993"/>
    <w:multiLevelType w:val="hybridMultilevel"/>
    <w:tmpl w:val="8D3E0AC0"/>
    <w:lvl w:ilvl="0" w:tplc="F112CF32">
      <w:start w:val="1"/>
      <w:numFmt w:val="decimal"/>
      <w:pStyle w:val="a2"/>
      <w:lvlText w:val="Приложение 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D3513"/>
    <w:multiLevelType w:val="hybridMultilevel"/>
    <w:tmpl w:val="C2A02A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624338967">
    <w:abstractNumId w:val="9"/>
  </w:num>
  <w:num w:numId="2" w16cid:durableId="2017224390">
    <w:abstractNumId w:val="12"/>
  </w:num>
  <w:num w:numId="3" w16cid:durableId="570505148">
    <w:abstractNumId w:val="6"/>
  </w:num>
  <w:num w:numId="4" w16cid:durableId="613562837">
    <w:abstractNumId w:val="7"/>
  </w:num>
  <w:num w:numId="5" w16cid:durableId="1235968936">
    <w:abstractNumId w:val="10"/>
  </w:num>
  <w:num w:numId="6" w16cid:durableId="783427022">
    <w:abstractNumId w:val="0"/>
  </w:num>
  <w:num w:numId="7" w16cid:durableId="736779250">
    <w:abstractNumId w:val="2"/>
  </w:num>
  <w:num w:numId="8" w16cid:durableId="1753814849">
    <w:abstractNumId w:val="8"/>
  </w:num>
  <w:num w:numId="9" w16cid:durableId="1411611083">
    <w:abstractNumId w:val="4"/>
  </w:num>
  <w:num w:numId="10" w16cid:durableId="1166441421">
    <w:abstractNumId w:val="5"/>
  </w:num>
  <w:num w:numId="11" w16cid:durableId="1674332788">
    <w:abstractNumId w:val="11"/>
  </w:num>
  <w:num w:numId="12" w16cid:durableId="271867216">
    <w:abstractNumId w:val="11"/>
    <w:lvlOverride w:ilvl="0">
      <w:startOverride w:val="1"/>
    </w:lvlOverride>
  </w:num>
  <w:num w:numId="13" w16cid:durableId="1437293021">
    <w:abstractNumId w:val="3"/>
  </w:num>
  <w:num w:numId="14" w16cid:durableId="1191914496">
    <w:abstractNumId w:val="11"/>
    <w:lvlOverride w:ilvl="0">
      <w:startOverride w:val="1"/>
    </w:lvlOverride>
  </w:num>
  <w:num w:numId="15" w16cid:durableId="373038685">
    <w:abstractNumId w:val="11"/>
    <w:lvlOverride w:ilvl="0">
      <w:startOverride w:val="1"/>
    </w:lvlOverride>
  </w:num>
  <w:num w:numId="16" w16cid:durableId="962149671">
    <w:abstractNumId w:val="11"/>
    <w:lvlOverride w:ilvl="0">
      <w:startOverride w:val="1"/>
    </w:lvlOverride>
  </w:num>
  <w:num w:numId="17" w16cid:durableId="30501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5"/>
    <w:rsid w:val="00001213"/>
    <w:rsid w:val="000018B7"/>
    <w:rsid w:val="000036E8"/>
    <w:rsid w:val="000067D5"/>
    <w:rsid w:val="00006D78"/>
    <w:rsid w:val="000078D7"/>
    <w:rsid w:val="00011261"/>
    <w:rsid w:val="00011BAF"/>
    <w:rsid w:val="000200FD"/>
    <w:rsid w:val="0002098E"/>
    <w:rsid w:val="000237F4"/>
    <w:rsid w:val="000255DA"/>
    <w:rsid w:val="00026317"/>
    <w:rsid w:val="000308C8"/>
    <w:rsid w:val="00035092"/>
    <w:rsid w:val="000374BD"/>
    <w:rsid w:val="00043C75"/>
    <w:rsid w:val="000526A8"/>
    <w:rsid w:val="00054494"/>
    <w:rsid w:val="00056DAD"/>
    <w:rsid w:val="000613F0"/>
    <w:rsid w:val="00062B0E"/>
    <w:rsid w:val="000741D9"/>
    <w:rsid w:val="00075671"/>
    <w:rsid w:val="00077E16"/>
    <w:rsid w:val="00080173"/>
    <w:rsid w:val="00081C2F"/>
    <w:rsid w:val="00083A5F"/>
    <w:rsid w:val="00084F3B"/>
    <w:rsid w:val="000853CB"/>
    <w:rsid w:val="0008768D"/>
    <w:rsid w:val="000946FF"/>
    <w:rsid w:val="000970AB"/>
    <w:rsid w:val="000A0127"/>
    <w:rsid w:val="000B00EB"/>
    <w:rsid w:val="000B08C1"/>
    <w:rsid w:val="000B4293"/>
    <w:rsid w:val="000B45CF"/>
    <w:rsid w:val="000B531E"/>
    <w:rsid w:val="000B5A5E"/>
    <w:rsid w:val="000B5EE7"/>
    <w:rsid w:val="000B6DB4"/>
    <w:rsid w:val="000B7858"/>
    <w:rsid w:val="000C1367"/>
    <w:rsid w:val="000C1EC0"/>
    <w:rsid w:val="000C216E"/>
    <w:rsid w:val="000C2B2C"/>
    <w:rsid w:val="000C6CB7"/>
    <w:rsid w:val="000D09B6"/>
    <w:rsid w:val="000D1F1F"/>
    <w:rsid w:val="000D3E57"/>
    <w:rsid w:val="000D4253"/>
    <w:rsid w:val="000D5BBE"/>
    <w:rsid w:val="000D6E9C"/>
    <w:rsid w:val="000E4FC8"/>
    <w:rsid w:val="000E63F0"/>
    <w:rsid w:val="000F3A11"/>
    <w:rsid w:val="000F4FB8"/>
    <w:rsid w:val="000F7B00"/>
    <w:rsid w:val="000F7C88"/>
    <w:rsid w:val="0010078B"/>
    <w:rsid w:val="00103FB6"/>
    <w:rsid w:val="00104A0B"/>
    <w:rsid w:val="00107D7E"/>
    <w:rsid w:val="00110E1C"/>
    <w:rsid w:val="001135DD"/>
    <w:rsid w:val="001144CA"/>
    <w:rsid w:val="0012051E"/>
    <w:rsid w:val="00120C0C"/>
    <w:rsid w:val="0012327A"/>
    <w:rsid w:val="00123586"/>
    <w:rsid w:val="001250A9"/>
    <w:rsid w:val="0012549B"/>
    <w:rsid w:val="00126E0F"/>
    <w:rsid w:val="00127D72"/>
    <w:rsid w:val="00131135"/>
    <w:rsid w:val="001312EB"/>
    <w:rsid w:val="00142336"/>
    <w:rsid w:val="001516B5"/>
    <w:rsid w:val="00151CCB"/>
    <w:rsid w:val="001528AD"/>
    <w:rsid w:val="001530CA"/>
    <w:rsid w:val="00163096"/>
    <w:rsid w:val="00163982"/>
    <w:rsid w:val="00165798"/>
    <w:rsid w:val="00167BCF"/>
    <w:rsid w:val="00167C3D"/>
    <w:rsid w:val="00172665"/>
    <w:rsid w:val="00173DFB"/>
    <w:rsid w:val="001826CB"/>
    <w:rsid w:val="00185DF4"/>
    <w:rsid w:val="00186877"/>
    <w:rsid w:val="00190D93"/>
    <w:rsid w:val="001916B0"/>
    <w:rsid w:val="00192B65"/>
    <w:rsid w:val="001934BE"/>
    <w:rsid w:val="00193A61"/>
    <w:rsid w:val="00193B8C"/>
    <w:rsid w:val="00195950"/>
    <w:rsid w:val="00195D57"/>
    <w:rsid w:val="00195F32"/>
    <w:rsid w:val="001962B8"/>
    <w:rsid w:val="0019737A"/>
    <w:rsid w:val="001A1B44"/>
    <w:rsid w:val="001A3B6D"/>
    <w:rsid w:val="001A5221"/>
    <w:rsid w:val="001A6446"/>
    <w:rsid w:val="001B36CB"/>
    <w:rsid w:val="001B4F1D"/>
    <w:rsid w:val="001C1C60"/>
    <w:rsid w:val="001C3982"/>
    <w:rsid w:val="001C67BC"/>
    <w:rsid w:val="001D658E"/>
    <w:rsid w:val="001D722D"/>
    <w:rsid w:val="001E09FD"/>
    <w:rsid w:val="001E0C97"/>
    <w:rsid w:val="001E2AFD"/>
    <w:rsid w:val="001E3276"/>
    <w:rsid w:val="001E75E3"/>
    <w:rsid w:val="001F2EF3"/>
    <w:rsid w:val="001F3D32"/>
    <w:rsid w:val="00200A3A"/>
    <w:rsid w:val="00203890"/>
    <w:rsid w:val="00205532"/>
    <w:rsid w:val="00205538"/>
    <w:rsid w:val="00206ED5"/>
    <w:rsid w:val="0020758D"/>
    <w:rsid w:val="002103E1"/>
    <w:rsid w:val="00222E75"/>
    <w:rsid w:val="00223E45"/>
    <w:rsid w:val="00224776"/>
    <w:rsid w:val="00226E9D"/>
    <w:rsid w:val="002276BD"/>
    <w:rsid w:val="00227E61"/>
    <w:rsid w:val="00233B1D"/>
    <w:rsid w:val="00236CE8"/>
    <w:rsid w:val="00240017"/>
    <w:rsid w:val="00247DED"/>
    <w:rsid w:val="00247E6A"/>
    <w:rsid w:val="00250010"/>
    <w:rsid w:val="002500A2"/>
    <w:rsid w:val="00251F1B"/>
    <w:rsid w:val="0025295A"/>
    <w:rsid w:val="002603F0"/>
    <w:rsid w:val="00265D75"/>
    <w:rsid w:val="00265FB6"/>
    <w:rsid w:val="00267FD8"/>
    <w:rsid w:val="00271873"/>
    <w:rsid w:val="002726AF"/>
    <w:rsid w:val="002736D7"/>
    <w:rsid w:val="002747A3"/>
    <w:rsid w:val="0027671D"/>
    <w:rsid w:val="00282534"/>
    <w:rsid w:val="00283AD4"/>
    <w:rsid w:val="00284855"/>
    <w:rsid w:val="00284D78"/>
    <w:rsid w:val="00284F47"/>
    <w:rsid w:val="002854EF"/>
    <w:rsid w:val="00290F6B"/>
    <w:rsid w:val="002927DD"/>
    <w:rsid w:val="00297DD8"/>
    <w:rsid w:val="002A2C52"/>
    <w:rsid w:val="002A2C7F"/>
    <w:rsid w:val="002A5F35"/>
    <w:rsid w:val="002A6D7B"/>
    <w:rsid w:val="002B1C40"/>
    <w:rsid w:val="002C1004"/>
    <w:rsid w:val="002C2C7E"/>
    <w:rsid w:val="002C2FBF"/>
    <w:rsid w:val="002C334E"/>
    <w:rsid w:val="002C4240"/>
    <w:rsid w:val="002C451B"/>
    <w:rsid w:val="002C57C7"/>
    <w:rsid w:val="002D1FB8"/>
    <w:rsid w:val="002D253E"/>
    <w:rsid w:val="002D2956"/>
    <w:rsid w:val="002D38B4"/>
    <w:rsid w:val="002D38B5"/>
    <w:rsid w:val="002E248A"/>
    <w:rsid w:val="002E2993"/>
    <w:rsid w:val="002E67DF"/>
    <w:rsid w:val="002F0925"/>
    <w:rsid w:val="002F35C0"/>
    <w:rsid w:val="002F4DD1"/>
    <w:rsid w:val="00300743"/>
    <w:rsid w:val="00305D80"/>
    <w:rsid w:val="003117F0"/>
    <w:rsid w:val="0031187A"/>
    <w:rsid w:val="003128A9"/>
    <w:rsid w:val="00312BD5"/>
    <w:rsid w:val="00312C7E"/>
    <w:rsid w:val="00313C16"/>
    <w:rsid w:val="00317151"/>
    <w:rsid w:val="003204F7"/>
    <w:rsid w:val="0032230F"/>
    <w:rsid w:val="0032348F"/>
    <w:rsid w:val="003254B6"/>
    <w:rsid w:val="00331192"/>
    <w:rsid w:val="00332927"/>
    <w:rsid w:val="00333563"/>
    <w:rsid w:val="00334039"/>
    <w:rsid w:val="00335F23"/>
    <w:rsid w:val="003378F7"/>
    <w:rsid w:val="00342D7C"/>
    <w:rsid w:val="003441EE"/>
    <w:rsid w:val="0034787B"/>
    <w:rsid w:val="003555AC"/>
    <w:rsid w:val="00356879"/>
    <w:rsid w:val="00357A29"/>
    <w:rsid w:val="00370202"/>
    <w:rsid w:val="00370ED5"/>
    <w:rsid w:val="00373437"/>
    <w:rsid w:val="00374556"/>
    <w:rsid w:val="00375CA9"/>
    <w:rsid w:val="00383685"/>
    <w:rsid w:val="00385CE1"/>
    <w:rsid w:val="003862CF"/>
    <w:rsid w:val="00390673"/>
    <w:rsid w:val="003906FC"/>
    <w:rsid w:val="003929CD"/>
    <w:rsid w:val="00394291"/>
    <w:rsid w:val="003963E4"/>
    <w:rsid w:val="0039695B"/>
    <w:rsid w:val="003A10F7"/>
    <w:rsid w:val="003A45A8"/>
    <w:rsid w:val="003A5F2F"/>
    <w:rsid w:val="003A6DE6"/>
    <w:rsid w:val="003A72AF"/>
    <w:rsid w:val="003A7F44"/>
    <w:rsid w:val="003B13D2"/>
    <w:rsid w:val="003B2A9E"/>
    <w:rsid w:val="003B3838"/>
    <w:rsid w:val="003B5693"/>
    <w:rsid w:val="003B5797"/>
    <w:rsid w:val="003C1275"/>
    <w:rsid w:val="003C26E8"/>
    <w:rsid w:val="003C404A"/>
    <w:rsid w:val="003C4632"/>
    <w:rsid w:val="003C582F"/>
    <w:rsid w:val="003C59D1"/>
    <w:rsid w:val="003C77CB"/>
    <w:rsid w:val="003D1FDC"/>
    <w:rsid w:val="003D47D5"/>
    <w:rsid w:val="003D793B"/>
    <w:rsid w:val="003E2AEB"/>
    <w:rsid w:val="003E4F76"/>
    <w:rsid w:val="003E5120"/>
    <w:rsid w:val="003E5444"/>
    <w:rsid w:val="003F3C1B"/>
    <w:rsid w:val="003F7289"/>
    <w:rsid w:val="003F778D"/>
    <w:rsid w:val="00400FC6"/>
    <w:rsid w:val="004024D4"/>
    <w:rsid w:val="0040513D"/>
    <w:rsid w:val="004112B2"/>
    <w:rsid w:val="0041224F"/>
    <w:rsid w:val="00416A4F"/>
    <w:rsid w:val="00417009"/>
    <w:rsid w:val="00420878"/>
    <w:rsid w:val="004263FD"/>
    <w:rsid w:val="00427B3F"/>
    <w:rsid w:val="004337C6"/>
    <w:rsid w:val="00433E8E"/>
    <w:rsid w:val="00434319"/>
    <w:rsid w:val="0044151D"/>
    <w:rsid w:val="004416B7"/>
    <w:rsid w:val="004453BC"/>
    <w:rsid w:val="004518A1"/>
    <w:rsid w:val="0045253C"/>
    <w:rsid w:val="00452651"/>
    <w:rsid w:val="004532BC"/>
    <w:rsid w:val="00460D27"/>
    <w:rsid w:val="00461171"/>
    <w:rsid w:val="004704CE"/>
    <w:rsid w:val="00471F06"/>
    <w:rsid w:val="00474B2F"/>
    <w:rsid w:val="00475947"/>
    <w:rsid w:val="004761FE"/>
    <w:rsid w:val="00477220"/>
    <w:rsid w:val="004823FF"/>
    <w:rsid w:val="00483536"/>
    <w:rsid w:val="004843A9"/>
    <w:rsid w:val="004857E2"/>
    <w:rsid w:val="00486D2B"/>
    <w:rsid w:val="0049057A"/>
    <w:rsid w:val="00491BDE"/>
    <w:rsid w:val="0049313B"/>
    <w:rsid w:val="0049333C"/>
    <w:rsid w:val="004940E9"/>
    <w:rsid w:val="00496CF6"/>
    <w:rsid w:val="00496FF9"/>
    <w:rsid w:val="004A1F77"/>
    <w:rsid w:val="004A5580"/>
    <w:rsid w:val="004B36C8"/>
    <w:rsid w:val="004C246B"/>
    <w:rsid w:val="004C2E09"/>
    <w:rsid w:val="004C383D"/>
    <w:rsid w:val="004C38BC"/>
    <w:rsid w:val="004C3B5F"/>
    <w:rsid w:val="004C437D"/>
    <w:rsid w:val="004C4850"/>
    <w:rsid w:val="004C6FC0"/>
    <w:rsid w:val="004D2452"/>
    <w:rsid w:val="004E1A07"/>
    <w:rsid w:val="004E457F"/>
    <w:rsid w:val="004E54B8"/>
    <w:rsid w:val="004E58FA"/>
    <w:rsid w:val="004E59BB"/>
    <w:rsid w:val="004E6A0A"/>
    <w:rsid w:val="004F41A3"/>
    <w:rsid w:val="004F4427"/>
    <w:rsid w:val="004F7382"/>
    <w:rsid w:val="00501C6D"/>
    <w:rsid w:val="005042B8"/>
    <w:rsid w:val="00510FB6"/>
    <w:rsid w:val="00513F4A"/>
    <w:rsid w:val="00514244"/>
    <w:rsid w:val="00516584"/>
    <w:rsid w:val="0051784F"/>
    <w:rsid w:val="00520C3B"/>
    <w:rsid w:val="005251BE"/>
    <w:rsid w:val="00526749"/>
    <w:rsid w:val="00527B49"/>
    <w:rsid w:val="00527C3E"/>
    <w:rsid w:val="00530586"/>
    <w:rsid w:val="00532AAF"/>
    <w:rsid w:val="0053503B"/>
    <w:rsid w:val="00540299"/>
    <w:rsid w:val="0054564F"/>
    <w:rsid w:val="0054572A"/>
    <w:rsid w:val="0055282C"/>
    <w:rsid w:val="00554796"/>
    <w:rsid w:val="00555FD3"/>
    <w:rsid w:val="00557F52"/>
    <w:rsid w:val="005602E1"/>
    <w:rsid w:val="005624A7"/>
    <w:rsid w:val="00562C5D"/>
    <w:rsid w:val="005656F8"/>
    <w:rsid w:val="005661E7"/>
    <w:rsid w:val="00567C98"/>
    <w:rsid w:val="0057007A"/>
    <w:rsid w:val="00571ECA"/>
    <w:rsid w:val="00572F37"/>
    <w:rsid w:val="0058379C"/>
    <w:rsid w:val="005852A1"/>
    <w:rsid w:val="00596779"/>
    <w:rsid w:val="00597289"/>
    <w:rsid w:val="00597FC6"/>
    <w:rsid w:val="005A4D4E"/>
    <w:rsid w:val="005A57B0"/>
    <w:rsid w:val="005A6D88"/>
    <w:rsid w:val="005B129A"/>
    <w:rsid w:val="005B2088"/>
    <w:rsid w:val="005B508E"/>
    <w:rsid w:val="005B51DB"/>
    <w:rsid w:val="005B59E7"/>
    <w:rsid w:val="005C051B"/>
    <w:rsid w:val="005C051C"/>
    <w:rsid w:val="005C155B"/>
    <w:rsid w:val="005C15CD"/>
    <w:rsid w:val="005C2421"/>
    <w:rsid w:val="005C28F8"/>
    <w:rsid w:val="005C4035"/>
    <w:rsid w:val="005C425B"/>
    <w:rsid w:val="005C69E6"/>
    <w:rsid w:val="005C6B87"/>
    <w:rsid w:val="005D0E20"/>
    <w:rsid w:val="005D0EC3"/>
    <w:rsid w:val="005D21E5"/>
    <w:rsid w:val="005D688E"/>
    <w:rsid w:val="005D6AC2"/>
    <w:rsid w:val="005D7E94"/>
    <w:rsid w:val="005D7FDC"/>
    <w:rsid w:val="005E0750"/>
    <w:rsid w:val="005E240B"/>
    <w:rsid w:val="005E3B26"/>
    <w:rsid w:val="005E5A58"/>
    <w:rsid w:val="005F5EF5"/>
    <w:rsid w:val="005F67B9"/>
    <w:rsid w:val="005F7B1F"/>
    <w:rsid w:val="00601ED0"/>
    <w:rsid w:val="00602C7E"/>
    <w:rsid w:val="00604522"/>
    <w:rsid w:val="00605D58"/>
    <w:rsid w:val="006064F6"/>
    <w:rsid w:val="0060716A"/>
    <w:rsid w:val="00607EE1"/>
    <w:rsid w:val="00610AAE"/>
    <w:rsid w:val="00611F98"/>
    <w:rsid w:val="006138CF"/>
    <w:rsid w:val="00615041"/>
    <w:rsid w:val="00616377"/>
    <w:rsid w:val="0062070C"/>
    <w:rsid w:val="00620913"/>
    <w:rsid w:val="00622063"/>
    <w:rsid w:val="006268B5"/>
    <w:rsid w:val="006271DA"/>
    <w:rsid w:val="00631767"/>
    <w:rsid w:val="00631EFB"/>
    <w:rsid w:val="0063232F"/>
    <w:rsid w:val="006372D2"/>
    <w:rsid w:val="00637323"/>
    <w:rsid w:val="006463FC"/>
    <w:rsid w:val="006536F2"/>
    <w:rsid w:val="00655152"/>
    <w:rsid w:val="00662C86"/>
    <w:rsid w:val="00662E31"/>
    <w:rsid w:val="006672A3"/>
    <w:rsid w:val="00670DAB"/>
    <w:rsid w:val="00670DEA"/>
    <w:rsid w:val="00675CD7"/>
    <w:rsid w:val="00677A18"/>
    <w:rsid w:val="006813A6"/>
    <w:rsid w:val="0068154A"/>
    <w:rsid w:val="006832E5"/>
    <w:rsid w:val="006833EB"/>
    <w:rsid w:val="00683EE0"/>
    <w:rsid w:val="0068412A"/>
    <w:rsid w:val="00686895"/>
    <w:rsid w:val="006906B9"/>
    <w:rsid w:val="006957CD"/>
    <w:rsid w:val="00695C64"/>
    <w:rsid w:val="006962AC"/>
    <w:rsid w:val="006A3141"/>
    <w:rsid w:val="006A5653"/>
    <w:rsid w:val="006A5E41"/>
    <w:rsid w:val="006B09E3"/>
    <w:rsid w:val="006B1F32"/>
    <w:rsid w:val="006B41EF"/>
    <w:rsid w:val="006B60DA"/>
    <w:rsid w:val="006C09C6"/>
    <w:rsid w:val="006C2BBE"/>
    <w:rsid w:val="006C4CE8"/>
    <w:rsid w:val="006C5750"/>
    <w:rsid w:val="006C63B4"/>
    <w:rsid w:val="006C66FF"/>
    <w:rsid w:val="006D2605"/>
    <w:rsid w:val="006D5168"/>
    <w:rsid w:val="006E0C2B"/>
    <w:rsid w:val="006E329F"/>
    <w:rsid w:val="006E6255"/>
    <w:rsid w:val="006E6900"/>
    <w:rsid w:val="006E6CAF"/>
    <w:rsid w:val="006E7844"/>
    <w:rsid w:val="006F1170"/>
    <w:rsid w:val="006F573E"/>
    <w:rsid w:val="00700A51"/>
    <w:rsid w:val="00702743"/>
    <w:rsid w:val="00704253"/>
    <w:rsid w:val="00706ACC"/>
    <w:rsid w:val="0071105A"/>
    <w:rsid w:val="007207DD"/>
    <w:rsid w:val="007222D8"/>
    <w:rsid w:val="00722AAD"/>
    <w:rsid w:val="00723CEC"/>
    <w:rsid w:val="00725291"/>
    <w:rsid w:val="007322AF"/>
    <w:rsid w:val="007410AD"/>
    <w:rsid w:val="00741181"/>
    <w:rsid w:val="00745942"/>
    <w:rsid w:val="00746905"/>
    <w:rsid w:val="00747BEB"/>
    <w:rsid w:val="00751496"/>
    <w:rsid w:val="0075209B"/>
    <w:rsid w:val="00752A32"/>
    <w:rsid w:val="00760190"/>
    <w:rsid w:val="007604E1"/>
    <w:rsid w:val="0076437D"/>
    <w:rsid w:val="00775A94"/>
    <w:rsid w:val="0077631E"/>
    <w:rsid w:val="007820C6"/>
    <w:rsid w:val="007825F7"/>
    <w:rsid w:val="00786950"/>
    <w:rsid w:val="0079257E"/>
    <w:rsid w:val="00793726"/>
    <w:rsid w:val="00793BE0"/>
    <w:rsid w:val="00796350"/>
    <w:rsid w:val="007972E4"/>
    <w:rsid w:val="0079779D"/>
    <w:rsid w:val="007A1944"/>
    <w:rsid w:val="007A4AC7"/>
    <w:rsid w:val="007A6C98"/>
    <w:rsid w:val="007A6F62"/>
    <w:rsid w:val="007A7553"/>
    <w:rsid w:val="007B000F"/>
    <w:rsid w:val="007B1A28"/>
    <w:rsid w:val="007B2C79"/>
    <w:rsid w:val="007B338D"/>
    <w:rsid w:val="007C57F2"/>
    <w:rsid w:val="007C6399"/>
    <w:rsid w:val="007C7275"/>
    <w:rsid w:val="007D0C7E"/>
    <w:rsid w:val="007D2761"/>
    <w:rsid w:val="007D2F77"/>
    <w:rsid w:val="007E3460"/>
    <w:rsid w:val="007E622E"/>
    <w:rsid w:val="008005DA"/>
    <w:rsid w:val="00802763"/>
    <w:rsid w:val="008050A0"/>
    <w:rsid w:val="00805E41"/>
    <w:rsid w:val="00810559"/>
    <w:rsid w:val="00814829"/>
    <w:rsid w:val="00815672"/>
    <w:rsid w:val="00816A50"/>
    <w:rsid w:val="00816D3F"/>
    <w:rsid w:val="00821DBE"/>
    <w:rsid w:val="0082637B"/>
    <w:rsid w:val="00831C6A"/>
    <w:rsid w:val="00833091"/>
    <w:rsid w:val="00836495"/>
    <w:rsid w:val="0084060B"/>
    <w:rsid w:val="00840C9B"/>
    <w:rsid w:val="0084248D"/>
    <w:rsid w:val="00844631"/>
    <w:rsid w:val="00844F6D"/>
    <w:rsid w:val="00846507"/>
    <w:rsid w:val="008470D8"/>
    <w:rsid w:val="00853138"/>
    <w:rsid w:val="008535A7"/>
    <w:rsid w:val="008628EA"/>
    <w:rsid w:val="00863E01"/>
    <w:rsid w:val="00863E7F"/>
    <w:rsid w:val="00864478"/>
    <w:rsid w:val="00875597"/>
    <w:rsid w:val="00881B82"/>
    <w:rsid w:val="00883DA2"/>
    <w:rsid w:val="00883E8F"/>
    <w:rsid w:val="00884BC9"/>
    <w:rsid w:val="00884C07"/>
    <w:rsid w:val="0089170D"/>
    <w:rsid w:val="00891B47"/>
    <w:rsid w:val="008959D4"/>
    <w:rsid w:val="00895EFC"/>
    <w:rsid w:val="008A1A25"/>
    <w:rsid w:val="008A447D"/>
    <w:rsid w:val="008A4EDB"/>
    <w:rsid w:val="008A6C79"/>
    <w:rsid w:val="008A7367"/>
    <w:rsid w:val="008A7794"/>
    <w:rsid w:val="008B411D"/>
    <w:rsid w:val="008B5634"/>
    <w:rsid w:val="008B67E1"/>
    <w:rsid w:val="008C05D8"/>
    <w:rsid w:val="008C09DD"/>
    <w:rsid w:val="008C1985"/>
    <w:rsid w:val="008C2D35"/>
    <w:rsid w:val="008D0BB3"/>
    <w:rsid w:val="008D1C9A"/>
    <w:rsid w:val="008D1E1A"/>
    <w:rsid w:val="008D1FEF"/>
    <w:rsid w:val="008D3B84"/>
    <w:rsid w:val="008D3D68"/>
    <w:rsid w:val="008D7306"/>
    <w:rsid w:val="008E12D8"/>
    <w:rsid w:val="008F4AC3"/>
    <w:rsid w:val="0090195D"/>
    <w:rsid w:val="0090199F"/>
    <w:rsid w:val="00904D8A"/>
    <w:rsid w:val="00913AD9"/>
    <w:rsid w:val="00913FA9"/>
    <w:rsid w:val="00914028"/>
    <w:rsid w:val="00914F7A"/>
    <w:rsid w:val="00922142"/>
    <w:rsid w:val="00925B3E"/>
    <w:rsid w:val="0093090C"/>
    <w:rsid w:val="009325B1"/>
    <w:rsid w:val="00934D31"/>
    <w:rsid w:val="00937402"/>
    <w:rsid w:val="00940FEF"/>
    <w:rsid w:val="009431FB"/>
    <w:rsid w:val="009435A7"/>
    <w:rsid w:val="00943A27"/>
    <w:rsid w:val="0094550C"/>
    <w:rsid w:val="00946193"/>
    <w:rsid w:val="0094622E"/>
    <w:rsid w:val="009466B1"/>
    <w:rsid w:val="009513F6"/>
    <w:rsid w:val="00951F77"/>
    <w:rsid w:val="00951F91"/>
    <w:rsid w:val="00953B33"/>
    <w:rsid w:val="0096090C"/>
    <w:rsid w:val="00962C31"/>
    <w:rsid w:val="00963B9C"/>
    <w:rsid w:val="00970971"/>
    <w:rsid w:val="009720CB"/>
    <w:rsid w:val="00973018"/>
    <w:rsid w:val="00974741"/>
    <w:rsid w:val="009769C5"/>
    <w:rsid w:val="00977EAC"/>
    <w:rsid w:val="0098605C"/>
    <w:rsid w:val="00986E1D"/>
    <w:rsid w:val="00987AA3"/>
    <w:rsid w:val="00991AF9"/>
    <w:rsid w:val="00991BA9"/>
    <w:rsid w:val="0099565D"/>
    <w:rsid w:val="009B3A04"/>
    <w:rsid w:val="009B4488"/>
    <w:rsid w:val="009B4CBA"/>
    <w:rsid w:val="009B5390"/>
    <w:rsid w:val="009C5431"/>
    <w:rsid w:val="009C7547"/>
    <w:rsid w:val="009D1547"/>
    <w:rsid w:val="009D17D8"/>
    <w:rsid w:val="009D7923"/>
    <w:rsid w:val="009E399C"/>
    <w:rsid w:val="009E3AFB"/>
    <w:rsid w:val="009F1E58"/>
    <w:rsid w:val="009F5851"/>
    <w:rsid w:val="00A02561"/>
    <w:rsid w:val="00A027BA"/>
    <w:rsid w:val="00A04412"/>
    <w:rsid w:val="00A05548"/>
    <w:rsid w:val="00A064FE"/>
    <w:rsid w:val="00A07B27"/>
    <w:rsid w:val="00A14091"/>
    <w:rsid w:val="00A16146"/>
    <w:rsid w:val="00A1663B"/>
    <w:rsid w:val="00A22E4C"/>
    <w:rsid w:val="00A23173"/>
    <w:rsid w:val="00A26180"/>
    <w:rsid w:val="00A2660B"/>
    <w:rsid w:val="00A32397"/>
    <w:rsid w:val="00A336EB"/>
    <w:rsid w:val="00A34A05"/>
    <w:rsid w:val="00A35E37"/>
    <w:rsid w:val="00A370F0"/>
    <w:rsid w:val="00A37B9D"/>
    <w:rsid w:val="00A46C49"/>
    <w:rsid w:val="00A470F8"/>
    <w:rsid w:val="00A53CCE"/>
    <w:rsid w:val="00A6350A"/>
    <w:rsid w:val="00A7008D"/>
    <w:rsid w:val="00A7036D"/>
    <w:rsid w:val="00A70715"/>
    <w:rsid w:val="00A70A02"/>
    <w:rsid w:val="00A75C02"/>
    <w:rsid w:val="00A76C3A"/>
    <w:rsid w:val="00A80A71"/>
    <w:rsid w:val="00A81F36"/>
    <w:rsid w:val="00A82502"/>
    <w:rsid w:val="00A91A91"/>
    <w:rsid w:val="00A95ED4"/>
    <w:rsid w:val="00A969E7"/>
    <w:rsid w:val="00AA714B"/>
    <w:rsid w:val="00AA79FC"/>
    <w:rsid w:val="00AB0A13"/>
    <w:rsid w:val="00AB1CAC"/>
    <w:rsid w:val="00AB581F"/>
    <w:rsid w:val="00AB6107"/>
    <w:rsid w:val="00AC0331"/>
    <w:rsid w:val="00AC1EB8"/>
    <w:rsid w:val="00AC2686"/>
    <w:rsid w:val="00AD69E4"/>
    <w:rsid w:val="00AD77DE"/>
    <w:rsid w:val="00AE2140"/>
    <w:rsid w:val="00AE2D50"/>
    <w:rsid w:val="00AE4525"/>
    <w:rsid w:val="00AE4DA9"/>
    <w:rsid w:val="00AF0059"/>
    <w:rsid w:val="00AF0C3F"/>
    <w:rsid w:val="00AF0F71"/>
    <w:rsid w:val="00AF53DC"/>
    <w:rsid w:val="00AF571F"/>
    <w:rsid w:val="00AF66E7"/>
    <w:rsid w:val="00AF6747"/>
    <w:rsid w:val="00AF76AC"/>
    <w:rsid w:val="00B01463"/>
    <w:rsid w:val="00B03AC9"/>
    <w:rsid w:val="00B04379"/>
    <w:rsid w:val="00B05D2B"/>
    <w:rsid w:val="00B12A36"/>
    <w:rsid w:val="00B13ECF"/>
    <w:rsid w:val="00B17B66"/>
    <w:rsid w:val="00B20514"/>
    <w:rsid w:val="00B21B72"/>
    <w:rsid w:val="00B21EEA"/>
    <w:rsid w:val="00B22DDA"/>
    <w:rsid w:val="00B2409E"/>
    <w:rsid w:val="00B24C5D"/>
    <w:rsid w:val="00B24F58"/>
    <w:rsid w:val="00B2543F"/>
    <w:rsid w:val="00B25561"/>
    <w:rsid w:val="00B27CD5"/>
    <w:rsid w:val="00B30F09"/>
    <w:rsid w:val="00B31308"/>
    <w:rsid w:val="00B31FD4"/>
    <w:rsid w:val="00B3488B"/>
    <w:rsid w:val="00B41AA0"/>
    <w:rsid w:val="00B41E76"/>
    <w:rsid w:val="00B42238"/>
    <w:rsid w:val="00B4308C"/>
    <w:rsid w:val="00B4347C"/>
    <w:rsid w:val="00B458C4"/>
    <w:rsid w:val="00B463AD"/>
    <w:rsid w:val="00B504F4"/>
    <w:rsid w:val="00B50D81"/>
    <w:rsid w:val="00B530D1"/>
    <w:rsid w:val="00B54239"/>
    <w:rsid w:val="00B552DC"/>
    <w:rsid w:val="00B6088F"/>
    <w:rsid w:val="00B61C76"/>
    <w:rsid w:val="00B6420C"/>
    <w:rsid w:val="00B64BE7"/>
    <w:rsid w:val="00B81B65"/>
    <w:rsid w:val="00B82058"/>
    <w:rsid w:val="00B828F5"/>
    <w:rsid w:val="00B82C48"/>
    <w:rsid w:val="00B917A4"/>
    <w:rsid w:val="00B92061"/>
    <w:rsid w:val="00B9454F"/>
    <w:rsid w:val="00B9456C"/>
    <w:rsid w:val="00B971AA"/>
    <w:rsid w:val="00B97DA6"/>
    <w:rsid w:val="00BA0AB2"/>
    <w:rsid w:val="00BA19BA"/>
    <w:rsid w:val="00BA2769"/>
    <w:rsid w:val="00BA2991"/>
    <w:rsid w:val="00BA3615"/>
    <w:rsid w:val="00BA7280"/>
    <w:rsid w:val="00BB45EF"/>
    <w:rsid w:val="00BC2AB7"/>
    <w:rsid w:val="00BC494A"/>
    <w:rsid w:val="00BC741C"/>
    <w:rsid w:val="00BC7728"/>
    <w:rsid w:val="00BD0960"/>
    <w:rsid w:val="00BD6471"/>
    <w:rsid w:val="00BD7764"/>
    <w:rsid w:val="00BE0245"/>
    <w:rsid w:val="00BE1BA6"/>
    <w:rsid w:val="00BE2B96"/>
    <w:rsid w:val="00BE2CAD"/>
    <w:rsid w:val="00BE3CD9"/>
    <w:rsid w:val="00BE5F27"/>
    <w:rsid w:val="00BE6780"/>
    <w:rsid w:val="00BF290D"/>
    <w:rsid w:val="00BF43E1"/>
    <w:rsid w:val="00BF4AE2"/>
    <w:rsid w:val="00BF5ED8"/>
    <w:rsid w:val="00BF6857"/>
    <w:rsid w:val="00BF74EB"/>
    <w:rsid w:val="00BF76B3"/>
    <w:rsid w:val="00C01824"/>
    <w:rsid w:val="00C034F5"/>
    <w:rsid w:val="00C06479"/>
    <w:rsid w:val="00C11D30"/>
    <w:rsid w:val="00C120A1"/>
    <w:rsid w:val="00C12614"/>
    <w:rsid w:val="00C17E25"/>
    <w:rsid w:val="00C2166F"/>
    <w:rsid w:val="00C26E30"/>
    <w:rsid w:val="00C3472A"/>
    <w:rsid w:val="00C37CDC"/>
    <w:rsid w:val="00C42CF7"/>
    <w:rsid w:val="00C478B7"/>
    <w:rsid w:val="00C47CAA"/>
    <w:rsid w:val="00C50CF3"/>
    <w:rsid w:val="00C52653"/>
    <w:rsid w:val="00C52760"/>
    <w:rsid w:val="00C53374"/>
    <w:rsid w:val="00C54BBE"/>
    <w:rsid w:val="00C60793"/>
    <w:rsid w:val="00C63AD0"/>
    <w:rsid w:val="00C63E53"/>
    <w:rsid w:val="00C66554"/>
    <w:rsid w:val="00C73043"/>
    <w:rsid w:val="00C7468C"/>
    <w:rsid w:val="00C74F0E"/>
    <w:rsid w:val="00C83DF1"/>
    <w:rsid w:val="00C84225"/>
    <w:rsid w:val="00C8667A"/>
    <w:rsid w:val="00C9171D"/>
    <w:rsid w:val="00C927DF"/>
    <w:rsid w:val="00C94FC0"/>
    <w:rsid w:val="00C962D4"/>
    <w:rsid w:val="00C97C19"/>
    <w:rsid w:val="00CA018E"/>
    <w:rsid w:val="00CA202C"/>
    <w:rsid w:val="00CA2834"/>
    <w:rsid w:val="00CA3FAD"/>
    <w:rsid w:val="00CA5FFC"/>
    <w:rsid w:val="00CB1339"/>
    <w:rsid w:val="00CB22A2"/>
    <w:rsid w:val="00CB702D"/>
    <w:rsid w:val="00CB7369"/>
    <w:rsid w:val="00CC0E33"/>
    <w:rsid w:val="00CD35C9"/>
    <w:rsid w:val="00CD3D38"/>
    <w:rsid w:val="00CE2147"/>
    <w:rsid w:val="00CE49DD"/>
    <w:rsid w:val="00CE5A25"/>
    <w:rsid w:val="00CE5ED0"/>
    <w:rsid w:val="00CF1D24"/>
    <w:rsid w:val="00D018D3"/>
    <w:rsid w:val="00D024B9"/>
    <w:rsid w:val="00D02C34"/>
    <w:rsid w:val="00D03B41"/>
    <w:rsid w:val="00D048C8"/>
    <w:rsid w:val="00D11186"/>
    <w:rsid w:val="00D123B2"/>
    <w:rsid w:val="00D13D99"/>
    <w:rsid w:val="00D201A1"/>
    <w:rsid w:val="00D21224"/>
    <w:rsid w:val="00D21FD9"/>
    <w:rsid w:val="00D24015"/>
    <w:rsid w:val="00D24576"/>
    <w:rsid w:val="00D2577C"/>
    <w:rsid w:val="00D2714A"/>
    <w:rsid w:val="00D3116D"/>
    <w:rsid w:val="00D34134"/>
    <w:rsid w:val="00D37C00"/>
    <w:rsid w:val="00D43E43"/>
    <w:rsid w:val="00D4497D"/>
    <w:rsid w:val="00D44A46"/>
    <w:rsid w:val="00D44A93"/>
    <w:rsid w:val="00D44E83"/>
    <w:rsid w:val="00D45459"/>
    <w:rsid w:val="00D50489"/>
    <w:rsid w:val="00D535FB"/>
    <w:rsid w:val="00D53E6A"/>
    <w:rsid w:val="00D5467D"/>
    <w:rsid w:val="00D64B5D"/>
    <w:rsid w:val="00D64F4F"/>
    <w:rsid w:val="00D655B0"/>
    <w:rsid w:val="00D67147"/>
    <w:rsid w:val="00D70306"/>
    <w:rsid w:val="00D72915"/>
    <w:rsid w:val="00D72B8E"/>
    <w:rsid w:val="00D74239"/>
    <w:rsid w:val="00D74BBE"/>
    <w:rsid w:val="00D758C2"/>
    <w:rsid w:val="00D76BA5"/>
    <w:rsid w:val="00D8002E"/>
    <w:rsid w:val="00D8185A"/>
    <w:rsid w:val="00D82B1C"/>
    <w:rsid w:val="00D8417E"/>
    <w:rsid w:val="00D915E4"/>
    <w:rsid w:val="00D94300"/>
    <w:rsid w:val="00D95492"/>
    <w:rsid w:val="00D95D70"/>
    <w:rsid w:val="00D97FCF"/>
    <w:rsid w:val="00DA0490"/>
    <w:rsid w:val="00DA0D64"/>
    <w:rsid w:val="00DA4508"/>
    <w:rsid w:val="00DA787D"/>
    <w:rsid w:val="00DA7D55"/>
    <w:rsid w:val="00DB1BC0"/>
    <w:rsid w:val="00DB288D"/>
    <w:rsid w:val="00DB5DD4"/>
    <w:rsid w:val="00DB628A"/>
    <w:rsid w:val="00DC1586"/>
    <w:rsid w:val="00DC2CE6"/>
    <w:rsid w:val="00DC45A8"/>
    <w:rsid w:val="00DC55C4"/>
    <w:rsid w:val="00DC6067"/>
    <w:rsid w:val="00DD26B8"/>
    <w:rsid w:val="00DD3450"/>
    <w:rsid w:val="00DD4919"/>
    <w:rsid w:val="00DD52B9"/>
    <w:rsid w:val="00DD5DC5"/>
    <w:rsid w:val="00DD7ADD"/>
    <w:rsid w:val="00DF376D"/>
    <w:rsid w:val="00DF3A0A"/>
    <w:rsid w:val="00DF7056"/>
    <w:rsid w:val="00DF7400"/>
    <w:rsid w:val="00E009A7"/>
    <w:rsid w:val="00E00B34"/>
    <w:rsid w:val="00E011AB"/>
    <w:rsid w:val="00E03F10"/>
    <w:rsid w:val="00E03F83"/>
    <w:rsid w:val="00E04C28"/>
    <w:rsid w:val="00E0712C"/>
    <w:rsid w:val="00E07856"/>
    <w:rsid w:val="00E1003D"/>
    <w:rsid w:val="00E12230"/>
    <w:rsid w:val="00E12B87"/>
    <w:rsid w:val="00E13A16"/>
    <w:rsid w:val="00E203F3"/>
    <w:rsid w:val="00E23D3E"/>
    <w:rsid w:val="00E24C28"/>
    <w:rsid w:val="00E250B1"/>
    <w:rsid w:val="00E266A4"/>
    <w:rsid w:val="00E26B73"/>
    <w:rsid w:val="00E27694"/>
    <w:rsid w:val="00E30A69"/>
    <w:rsid w:val="00E31061"/>
    <w:rsid w:val="00E3456A"/>
    <w:rsid w:val="00E347D9"/>
    <w:rsid w:val="00E348BE"/>
    <w:rsid w:val="00E469E2"/>
    <w:rsid w:val="00E47BB4"/>
    <w:rsid w:val="00E53C3B"/>
    <w:rsid w:val="00E5515D"/>
    <w:rsid w:val="00E6114C"/>
    <w:rsid w:val="00E667D2"/>
    <w:rsid w:val="00E7107B"/>
    <w:rsid w:val="00E71D54"/>
    <w:rsid w:val="00E76B7F"/>
    <w:rsid w:val="00E77AB5"/>
    <w:rsid w:val="00E81B8B"/>
    <w:rsid w:val="00E84EF2"/>
    <w:rsid w:val="00E857C9"/>
    <w:rsid w:val="00E8791A"/>
    <w:rsid w:val="00E902D0"/>
    <w:rsid w:val="00E947C9"/>
    <w:rsid w:val="00E95160"/>
    <w:rsid w:val="00E97EDD"/>
    <w:rsid w:val="00EA1DF1"/>
    <w:rsid w:val="00EA3217"/>
    <w:rsid w:val="00EA335F"/>
    <w:rsid w:val="00EA56F8"/>
    <w:rsid w:val="00EA6047"/>
    <w:rsid w:val="00EB0DF2"/>
    <w:rsid w:val="00EB6858"/>
    <w:rsid w:val="00EC0571"/>
    <w:rsid w:val="00EC05D7"/>
    <w:rsid w:val="00EC2DDB"/>
    <w:rsid w:val="00EC3D75"/>
    <w:rsid w:val="00EC4498"/>
    <w:rsid w:val="00EC7E05"/>
    <w:rsid w:val="00ED08E1"/>
    <w:rsid w:val="00ED119A"/>
    <w:rsid w:val="00EE799C"/>
    <w:rsid w:val="00EF027C"/>
    <w:rsid w:val="00EF78F1"/>
    <w:rsid w:val="00F034BA"/>
    <w:rsid w:val="00F045B8"/>
    <w:rsid w:val="00F06E78"/>
    <w:rsid w:val="00F10862"/>
    <w:rsid w:val="00F12188"/>
    <w:rsid w:val="00F1696E"/>
    <w:rsid w:val="00F20A9D"/>
    <w:rsid w:val="00F2167D"/>
    <w:rsid w:val="00F343F5"/>
    <w:rsid w:val="00F34838"/>
    <w:rsid w:val="00F36062"/>
    <w:rsid w:val="00F40245"/>
    <w:rsid w:val="00F41A4A"/>
    <w:rsid w:val="00F42618"/>
    <w:rsid w:val="00F44DA2"/>
    <w:rsid w:val="00F47042"/>
    <w:rsid w:val="00F47977"/>
    <w:rsid w:val="00F500A9"/>
    <w:rsid w:val="00F51A23"/>
    <w:rsid w:val="00F54B5F"/>
    <w:rsid w:val="00F55700"/>
    <w:rsid w:val="00F64366"/>
    <w:rsid w:val="00F65C9D"/>
    <w:rsid w:val="00F67A7C"/>
    <w:rsid w:val="00F71857"/>
    <w:rsid w:val="00F72520"/>
    <w:rsid w:val="00F7588C"/>
    <w:rsid w:val="00F7728F"/>
    <w:rsid w:val="00F82ACB"/>
    <w:rsid w:val="00F83224"/>
    <w:rsid w:val="00F84DC9"/>
    <w:rsid w:val="00F84E82"/>
    <w:rsid w:val="00F8510E"/>
    <w:rsid w:val="00F87696"/>
    <w:rsid w:val="00F9480E"/>
    <w:rsid w:val="00F95161"/>
    <w:rsid w:val="00F954BF"/>
    <w:rsid w:val="00F967E2"/>
    <w:rsid w:val="00F970BB"/>
    <w:rsid w:val="00FA21A1"/>
    <w:rsid w:val="00FA3D62"/>
    <w:rsid w:val="00FA4098"/>
    <w:rsid w:val="00FA532D"/>
    <w:rsid w:val="00FB1C48"/>
    <w:rsid w:val="00FB24AA"/>
    <w:rsid w:val="00FB32AB"/>
    <w:rsid w:val="00FB3E59"/>
    <w:rsid w:val="00FB5F04"/>
    <w:rsid w:val="00FB65DA"/>
    <w:rsid w:val="00FB7AF7"/>
    <w:rsid w:val="00FC103F"/>
    <w:rsid w:val="00FC20DC"/>
    <w:rsid w:val="00FC2148"/>
    <w:rsid w:val="00FC49C4"/>
    <w:rsid w:val="00FC502E"/>
    <w:rsid w:val="00FC52DC"/>
    <w:rsid w:val="00FC640A"/>
    <w:rsid w:val="00FD113E"/>
    <w:rsid w:val="00FD3459"/>
    <w:rsid w:val="00FD42CE"/>
    <w:rsid w:val="00FD6CF4"/>
    <w:rsid w:val="00FE665F"/>
    <w:rsid w:val="00FE7FB3"/>
    <w:rsid w:val="00FF0079"/>
    <w:rsid w:val="00FF0409"/>
    <w:rsid w:val="00FF334A"/>
    <w:rsid w:val="00FF3D8C"/>
    <w:rsid w:val="00FF41B4"/>
    <w:rsid w:val="00FF4D50"/>
    <w:rsid w:val="00FF5ADA"/>
    <w:rsid w:val="00FF7A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EB54"/>
  <w15:chartTrackingRefBased/>
  <w15:docId w15:val="{F3231092-3939-4CBD-A654-AED8194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F1E58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62070C"/>
    <w:pPr>
      <w:keepNext/>
      <w:keepLines/>
      <w:pageBreakBefore/>
      <w:spacing w:after="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next w:val="a3"/>
    <w:link w:val="20"/>
    <w:uiPriority w:val="9"/>
    <w:unhideWhenUsed/>
    <w:qFormat/>
    <w:rsid w:val="0062070C"/>
    <w:pPr>
      <w:spacing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AF571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DB62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62070C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7">
    <w:name w:val="TOC Heading"/>
    <w:basedOn w:val="1"/>
    <w:next w:val="a3"/>
    <w:uiPriority w:val="39"/>
    <w:unhideWhenUsed/>
    <w:qFormat/>
    <w:rsid w:val="00D76BA5"/>
    <w:pPr>
      <w:spacing w:before="480"/>
      <w:outlineLvl w:val="9"/>
    </w:pPr>
    <w:rPr>
      <w:b w:val="0"/>
      <w:bCs/>
      <w:szCs w:val="28"/>
      <w:lang w:eastAsia="ru-RU"/>
    </w:rPr>
  </w:style>
  <w:style w:type="paragraph" w:styleId="11">
    <w:name w:val="toc 1"/>
    <w:basedOn w:val="a3"/>
    <w:next w:val="a3"/>
    <w:autoRedefine/>
    <w:uiPriority w:val="39"/>
    <w:unhideWhenUsed/>
    <w:rsid w:val="00D76BA5"/>
    <w:pPr>
      <w:spacing w:after="100"/>
    </w:pPr>
  </w:style>
  <w:style w:type="character" w:styleId="a8">
    <w:name w:val="Hyperlink"/>
    <w:basedOn w:val="a4"/>
    <w:uiPriority w:val="99"/>
    <w:unhideWhenUsed/>
    <w:rsid w:val="00D76BA5"/>
    <w:rPr>
      <w:color w:val="0563C1" w:themeColor="hyperlink"/>
      <w:u w:val="single"/>
    </w:rPr>
  </w:style>
  <w:style w:type="paragraph" w:styleId="21">
    <w:name w:val="toc 2"/>
    <w:basedOn w:val="a3"/>
    <w:next w:val="a3"/>
    <w:autoRedefine/>
    <w:uiPriority w:val="39"/>
    <w:unhideWhenUsed/>
    <w:rsid w:val="00D76BA5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D76BA5"/>
    <w:pPr>
      <w:spacing w:after="100"/>
      <w:ind w:left="440"/>
    </w:pPr>
  </w:style>
  <w:style w:type="paragraph" w:styleId="a9">
    <w:name w:val="List Paragraph"/>
    <w:basedOn w:val="a3"/>
    <w:uiPriority w:val="34"/>
    <w:qFormat/>
    <w:rsid w:val="007B000F"/>
    <w:pPr>
      <w:spacing w:after="0"/>
      <w:ind w:left="720" w:firstLine="709"/>
      <w:contextualSpacing/>
    </w:pPr>
  </w:style>
  <w:style w:type="paragraph" w:styleId="aa">
    <w:name w:val="footnote text"/>
    <w:basedOn w:val="a3"/>
    <w:link w:val="ab"/>
    <w:uiPriority w:val="99"/>
    <w:semiHidden/>
    <w:unhideWhenUsed/>
    <w:rsid w:val="00A231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A23173"/>
    <w:rPr>
      <w:rFonts w:ascii="Times New Roman" w:hAnsi="Times New Roman"/>
      <w:sz w:val="20"/>
      <w:szCs w:val="20"/>
    </w:rPr>
  </w:style>
  <w:style w:type="character" w:styleId="ac">
    <w:name w:val="footnote reference"/>
    <w:basedOn w:val="a4"/>
    <w:uiPriority w:val="99"/>
    <w:semiHidden/>
    <w:unhideWhenUsed/>
    <w:rsid w:val="00A23173"/>
    <w:rPr>
      <w:vertAlign w:val="superscript"/>
    </w:rPr>
  </w:style>
  <w:style w:type="character" w:styleId="ad">
    <w:name w:val="FollowedHyperlink"/>
    <w:basedOn w:val="a4"/>
    <w:uiPriority w:val="99"/>
    <w:semiHidden/>
    <w:unhideWhenUsed/>
    <w:rsid w:val="00F36062"/>
    <w:rPr>
      <w:color w:val="954F72" w:themeColor="followedHyperlink"/>
      <w:u w:val="single"/>
    </w:rPr>
  </w:style>
  <w:style w:type="paragraph" w:styleId="ae">
    <w:name w:val="header"/>
    <w:basedOn w:val="a3"/>
    <w:link w:val="af"/>
    <w:uiPriority w:val="99"/>
    <w:unhideWhenUsed/>
    <w:rsid w:val="00FF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4"/>
    <w:link w:val="ae"/>
    <w:uiPriority w:val="99"/>
    <w:rsid w:val="00FF334A"/>
    <w:rPr>
      <w:rFonts w:ascii="Times New Roman" w:hAnsi="Times New Roman"/>
      <w:sz w:val="24"/>
    </w:rPr>
  </w:style>
  <w:style w:type="paragraph" w:styleId="af0">
    <w:name w:val="footer"/>
    <w:basedOn w:val="a3"/>
    <w:link w:val="af1"/>
    <w:uiPriority w:val="99"/>
    <w:unhideWhenUsed/>
    <w:rsid w:val="00FF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4"/>
    <w:link w:val="af0"/>
    <w:uiPriority w:val="99"/>
    <w:rsid w:val="00FF334A"/>
    <w:rPr>
      <w:rFonts w:ascii="Times New Roman" w:hAnsi="Times New Roman"/>
      <w:sz w:val="24"/>
    </w:rPr>
  </w:style>
  <w:style w:type="character" w:styleId="af2">
    <w:name w:val="Unresolved Mention"/>
    <w:basedOn w:val="a4"/>
    <w:uiPriority w:val="99"/>
    <w:semiHidden/>
    <w:unhideWhenUsed/>
    <w:rsid w:val="002500A2"/>
    <w:rPr>
      <w:color w:val="605E5C"/>
      <w:shd w:val="clear" w:color="auto" w:fill="E1DFDD"/>
    </w:rPr>
  </w:style>
  <w:style w:type="character" w:styleId="af3">
    <w:name w:val="Placeholder Text"/>
    <w:basedOn w:val="a4"/>
    <w:uiPriority w:val="99"/>
    <w:semiHidden/>
    <w:rsid w:val="008C05D8"/>
    <w:rPr>
      <w:color w:val="808080"/>
    </w:rPr>
  </w:style>
  <w:style w:type="character" w:customStyle="1" w:styleId="20">
    <w:name w:val="Заголовок 2 Знак"/>
    <w:basedOn w:val="a4"/>
    <w:link w:val="2"/>
    <w:uiPriority w:val="9"/>
    <w:rsid w:val="0062070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rsid w:val="00AF571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0">
    <w:name w:val="Гипотеза"/>
    <w:basedOn w:val="a9"/>
    <w:qFormat/>
    <w:rsid w:val="0062070C"/>
    <w:pPr>
      <w:numPr>
        <w:numId w:val="4"/>
      </w:numPr>
      <w:ind w:left="357" w:hanging="357"/>
      <w:jc w:val="center"/>
    </w:pPr>
    <w:rPr>
      <w:i/>
      <w:iCs/>
    </w:rPr>
  </w:style>
  <w:style w:type="paragraph" w:styleId="HTML">
    <w:name w:val="HTML Preformatted"/>
    <w:basedOn w:val="a3"/>
    <w:link w:val="HTML0"/>
    <w:uiPriority w:val="99"/>
    <w:semiHidden/>
    <w:unhideWhenUsed/>
    <w:rsid w:val="00F84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F84E82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5"/>
    <w:uiPriority w:val="59"/>
    <w:rsid w:val="0072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подпись к рисунку"/>
    <w:basedOn w:val="a3"/>
    <w:qFormat/>
    <w:rsid w:val="00D53E6A"/>
    <w:pPr>
      <w:numPr>
        <w:numId w:val="8"/>
      </w:numPr>
      <w:spacing w:after="120"/>
      <w:ind w:left="714" w:hanging="357"/>
      <w:jc w:val="center"/>
    </w:pPr>
    <w:rPr>
      <w:i/>
      <w:color w:val="000000" w:themeColor="text1"/>
    </w:rPr>
  </w:style>
  <w:style w:type="table" w:styleId="af5">
    <w:name w:val="Grid Table Light"/>
    <w:basedOn w:val="a5"/>
    <w:uiPriority w:val="40"/>
    <w:rsid w:val="00A80A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annotation reference"/>
    <w:basedOn w:val="a4"/>
    <w:uiPriority w:val="99"/>
    <w:semiHidden/>
    <w:unhideWhenUsed/>
    <w:rsid w:val="001962B8"/>
    <w:rPr>
      <w:sz w:val="16"/>
      <w:szCs w:val="16"/>
    </w:rPr>
  </w:style>
  <w:style w:type="paragraph" w:styleId="af7">
    <w:name w:val="annotation text"/>
    <w:basedOn w:val="a3"/>
    <w:link w:val="af8"/>
    <w:uiPriority w:val="99"/>
    <w:semiHidden/>
    <w:unhideWhenUsed/>
    <w:rsid w:val="001962B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semiHidden/>
    <w:rsid w:val="001962B8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62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62B8"/>
    <w:rPr>
      <w:rFonts w:ascii="Times New Roman" w:hAnsi="Times New Roman"/>
      <w:b/>
      <w:bCs/>
      <w:sz w:val="20"/>
      <w:szCs w:val="20"/>
    </w:rPr>
  </w:style>
  <w:style w:type="paragraph" w:styleId="afb">
    <w:name w:val="endnote text"/>
    <w:basedOn w:val="a3"/>
    <w:link w:val="afc"/>
    <w:uiPriority w:val="99"/>
    <w:semiHidden/>
    <w:unhideWhenUsed/>
    <w:rsid w:val="00E04C2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4"/>
    <w:link w:val="afb"/>
    <w:uiPriority w:val="99"/>
    <w:semiHidden/>
    <w:rsid w:val="00E04C28"/>
    <w:rPr>
      <w:rFonts w:ascii="Times New Roman" w:hAnsi="Times New Roman"/>
      <w:sz w:val="20"/>
      <w:szCs w:val="20"/>
    </w:rPr>
  </w:style>
  <w:style w:type="character" w:styleId="afd">
    <w:name w:val="endnote reference"/>
    <w:basedOn w:val="a4"/>
    <w:uiPriority w:val="99"/>
    <w:semiHidden/>
    <w:unhideWhenUsed/>
    <w:rsid w:val="00E04C28"/>
    <w:rPr>
      <w:vertAlign w:val="superscript"/>
    </w:rPr>
  </w:style>
  <w:style w:type="paragraph" w:customStyle="1" w:styleId="a">
    <w:name w:val="Таблица_название"/>
    <w:basedOn w:val="a3"/>
    <w:qFormat/>
    <w:rsid w:val="00E04C28"/>
    <w:pPr>
      <w:numPr>
        <w:numId w:val="10"/>
      </w:numPr>
      <w:ind w:left="357" w:hanging="357"/>
      <w:jc w:val="right"/>
    </w:pPr>
  </w:style>
  <w:style w:type="character" w:styleId="afe">
    <w:name w:val="Emphasis"/>
    <w:basedOn w:val="a4"/>
    <w:uiPriority w:val="20"/>
    <w:qFormat/>
    <w:rsid w:val="007B338D"/>
    <w:rPr>
      <w:i/>
      <w:iCs/>
    </w:rPr>
  </w:style>
  <w:style w:type="paragraph" w:customStyle="1" w:styleId="a2">
    <w:name w:val="Приложения"/>
    <w:basedOn w:val="a3"/>
    <w:qFormat/>
    <w:rsid w:val="00B81B65"/>
    <w:pPr>
      <w:numPr>
        <w:numId w:val="11"/>
      </w:numPr>
      <w:jc w:val="right"/>
    </w:pPr>
  </w:style>
  <w:style w:type="character" w:customStyle="1" w:styleId="40">
    <w:name w:val="Заголовок 4 Знак"/>
    <w:basedOn w:val="a4"/>
    <w:link w:val="4"/>
    <w:uiPriority w:val="9"/>
    <w:semiHidden/>
    <w:rsid w:val="00DB628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aff">
    <w:name w:val="рисунок"/>
    <w:basedOn w:val="a3"/>
    <w:qFormat/>
    <w:rsid w:val="0062070C"/>
    <w:pPr>
      <w:keepNext/>
      <w:spacing w:before="240" w:after="120"/>
      <w:jc w:val="center"/>
    </w:pPr>
    <w:rPr>
      <w:noProof/>
    </w:rPr>
  </w:style>
  <w:style w:type="paragraph" w:customStyle="1" w:styleId="aff0">
    <w:name w:val="обычный_новый"/>
    <w:qFormat/>
    <w:rsid w:val="0062070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ff1">
    <w:name w:val="Уравнение"/>
    <w:basedOn w:val="a3"/>
    <w:qFormat/>
    <w:rsid w:val="00C42CF7"/>
    <w:pPr>
      <w:tabs>
        <w:tab w:val="center" w:pos="4678"/>
        <w:tab w:val="right" w:pos="9356"/>
      </w:tabs>
      <w:spacing w:before="240" w:after="240"/>
      <w:contextualSpacing/>
    </w:pPr>
    <w:rPr>
      <w:lang w:val="en-US"/>
    </w:rPr>
  </w:style>
  <w:style w:type="paragraph" w:styleId="aff2">
    <w:name w:val="caption"/>
    <w:basedOn w:val="a3"/>
    <w:next w:val="a3"/>
    <w:uiPriority w:val="35"/>
    <w:unhideWhenUsed/>
    <w:qFormat/>
    <w:rsid w:val="00C42CF7"/>
    <w:pPr>
      <w:spacing w:after="0"/>
      <w:contextualSpacing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6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hart" Target="charts/chart5.xm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ntonchase.com/wp-content/uploads/2021/09/BoD_Russia_Report_2021_RUS_v9.pdf" TargetMode="External"/><Relationship Id="rId2" Type="http://schemas.openxmlformats.org/officeDocument/2006/relationships/hyperlink" Target="https://www.stantonchase.com/wp-content/uploads/2021/09/BoD_Russia_Report_2021_RUS_v9.pdf" TargetMode="External"/><Relationship Id="rId1" Type="http://schemas.openxmlformats.org/officeDocument/2006/relationships/hyperlink" Target="https://www.stantonchase.com/wp-content/uploads/2021/09/BoD_Russia_Report_2021_RUS_v9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87;&#1083;&#1086;&#1084;\Data2017-20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Доходность индексов </a:t>
            </a:r>
            <a:r>
              <a:rPr lang="en-US" sz="1200" b="1" i="0" u="none" strike="noStrike" baseline="0">
                <a:effectLst/>
              </a:rPr>
              <a:t>IMOEX</a:t>
            </a:r>
            <a:r>
              <a:rPr lang="ru-RU" sz="1200" b="1" i="0" u="none" strike="noStrike" baseline="0">
                <a:effectLst/>
              </a:rPr>
              <a:t>, </a:t>
            </a:r>
            <a:r>
              <a:rPr lang="en-US" sz="1200" b="1" i="0" u="none" strike="noStrike" baseline="0">
                <a:effectLst/>
              </a:rPr>
              <a:t>MOEX SCI</a:t>
            </a:r>
            <a:r>
              <a:rPr lang="ru-RU" sz="1200" b="1" i="0" u="none" strike="noStrike" baseline="0">
                <a:effectLst/>
              </a:rPr>
              <a:t>, </a:t>
            </a:r>
            <a:r>
              <a:rPr lang="en-US" sz="1200" b="1" i="0" u="none" strike="noStrike" baseline="0">
                <a:effectLst/>
              </a:rPr>
              <a:t>MOEX RCI </a:t>
            </a:r>
            <a:r>
              <a:rPr lang="ru-RU" sz="1200" b="1" i="0" u="none" strike="noStrike" baseline="0">
                <a:effectLst/>
              </a:rPr>
              <a:t>к 2011 году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MOEX SCI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Sheet1!$A$3:$A$13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Sheet1!$J$3:$J$13</c:f>
              <c:numCache>
                <c:formatCode>0%</c:formatCode>
                <c:ptCount val="11"/>
                <c:pt idx="0">
                  <c:v>3.351999999999998E-2</c:v>
                </c:pt>
                <c:pt idx="1">
                  <c:v>3.5619999999999888E-2</c:v>
                </c:pt>
                <c:pt idx="2">
                  <c:v>-6.8240000000000009E-2</c:v>
                </c:pt>
                <c:pt idx="3">
                  <c:v>0.22169000000000005</c:v>
                </c:pt>
                <c:pt idx="4">
                  <c:v>0.80752000000000002</c:v>
                </c:pt>
                <c:pt idx="5">
                  <c:v>0.77365000000000006</c:v>
                </c:pt>
                <c:pt idx="6">
                  <c:v>1.1257900000000001</c:v>
                </c:pt>
                <c:pt idx="7">
                  <c:v>1.90734</c:v>
                </c:pt>
                <c:pt idx="8">
                  <c:v>1.85117</c:v>
                </c:pt>
                <c:pt idx="9">
                  <c:v>2.8567800000000001</c:v>
                </c:pt>
                <c:pt idx="10">
                  <c:v>1.4994299999999998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95-47D2-9668-DF0AC3495C50}"/>
            </c:ext>
          </c:extLst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MOEX RCI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Sheet1!$L$3:$L$13</c:f>
              <c:numCache>
                <c:formatCode>0%</c:formatCode>
                <c:ptCount val="11"/>
                <c:pt idx="0">
                  <c:v>-0.13827999999999999</c:v>
                </c:pt>
                <c:pt idx="1">
                  <c:v>-0.31605999999999995</c:v>
                </c:pt>
                <c:pt idx="2">
                  <c:v>-0.38041999999999998</c:v>
                </c:pt>
                <c:pt idx="3">
                  <c:v>-0.19986000000000001</c:v>
                </c:pt>
                <c:pt idx="4">
                  <c:v>0.15454999999999997</c:v>
                </c:pt>
                <c:pt idx="5">
                  <c:v>0.14283999999999991</c:v>
                </c:pt>
                <c:pt idx="6">
                  <c:v>0.16142000000000006</c:v>
                </c:pt>
                <c:pt idx="7">
                  <c:v>0.50142000000000009</c:v>
                </c:pt>
                <c:pt idx="8">
                  <c:v>0.64240000000000008</c:v>
                </c:pt>
                <c:pt idx="9">
                  <c:v>0.59613000000000016</c:v>
                </c:pt>
                <c:pt idx="10">
                  <c:v>0.12559999999999991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95-47D2-9668-DF0AC3495C50}"/>
            </c:ext>
          </c:extLst>
        </c:ser>
        <c:ser>
          <c:idx val="2"/>
          <c:order val="2"/>
          <c:tx>
            <c:strRef>
              <c:f>Sheet1!$G$1</c:f>
              <c:strCache>
                <c:ptCount val="1"/>
                <c:pt idx="0">
                  <c:v>IMOEX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Sheet1!$N$3:$N$13</c:f>
              <c:numCache>
                <c:formatCode>0%</c:formatCode>
                <c:ptCount val="11"/>
                <c:pt idx="0">
                  <c:v>5.1696226724574433E-2</c:v>
                </c:pt>
                <c:pt idx="1">
                  <c:v>7.2634303930168315E-2</c:v>
                </c:pt>
                <c:pt idx="2">
                  <c:v>-4.0079016994359826E-3</c:v>
                </c:pt>
                <c:pt idx="3">
                  <c:v>0.25611347639117682</c:v>
                </c:pt>
                <c:pt idx="4">
                  <c:v>0.59226375131041253</c:v>
                </c:pt>
                <c:pt idx="5">
                  <c:v>0.50456059277008747</c:v>
                </c:pt>
                <c:pt idx="6">
                  <c:v>0.68968714119652264</c:v>
                </c:pt>
                <c:pt idx="7">
                  <c:v>1.1721614856335978</c:v>
                </c:pt>
                <c:pt idx="8">
                  <c:v>1.3455638518645301</c:v>
                </c:pt>
                <c:pt idx="9">
                  <c:v>1.7008835925632744</c:v>
                </c:pt>
                <c:pt idx="10">
                  <c:v>0.53621017949979666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95-47D2-9668-DF0AC3495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3431376"/>
        <c:axId val="453430064"/>
      </c:lineChart>
      <c:catAx>
        <c:axId val="45343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30064"/>
        <c:crosses val="autoZero"/>
        <c:auto val="1"/>
        <c:lblAlgn val="ctr"/>
        <c:lblOffset val="100"/>
        <c:noMultiLvlLbl val="0"/>
      </c:catAx>
      <c:valAx>
        <c:axId val="4534300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3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[Data2017-2021.xlsx]диаграмма!Сводная таблица10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Изменение доли директоров, вовлеченных в экологическую и социальную деятельность, </a:t>
            </a:r>
          </a:p>
          <a:p>
            <a:pPr algn="ctr" rtl="0">
              <a:defRPr sz="1100" b="1"/>
            </a:pPr>
            <a:r>
              <a:rPr lang="ru-RU" sz="1100" b="1"/>
              <a:t>2014 - 2021 гг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диаграмма!$B$139</c:f>
              <c:strCache>
                <c:ptCount val="1"/>
                <c:pt idx="0">
                  <c:v>Итог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диаграмма!$A$140:$A$148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диаграмма!$B$140:$B$148</c:f>
              <c:numCache>
                <c:formatCode>General</c:formatCode>
                <c:ptCount val="8"/>
                <c:pt idx="0">
                  <c:v>3.6344881172467383E-2</c:v>
                </c:pt>
                <c:pt idx="1">
                  <c:v>3.185481185481185E-2</c:v>
                </c:pt>
                <c:pt idx="2">
                  <c:v>6.4866075282741964E-2</c:v>
                </c:pt>
                <c:pt idx="3">
                  <c:v>5.4930783502212067E-2</c:v>
                </c:pt>
                <c:pt idx="4">
                  <c:v>8.6134579706008269E-2</c:v>
                </c:pt>
                <c:pt idx="5">
                  <c:v>9.4201671344528462E-2</c:v>
                </c:pt>
                <c:pt idx="6">
                  <c:v>0.10225464770919315</c:v>
                </c:pt>
                <c:pt idx="7">
                  <c:v>7.6958129589708532E-2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8C-4123-9CF3-3BA761248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505424"/>
        <c:axId val="835496688"/>
      </c:lineChart>
      <c:catAx>
        <c:axId val="83550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5496688"/>
        <c:crosses val="autoZero"/>
        <c:auto val="1"/>
        <c:lblAlgn val="ctr"/>
        <c:lblOffset val="100"/>
        <c:noMultiLvlLbl val="0"/>
      </c:catAx>
      <c:valAx>
        <c:axId val="83549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550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[Data2017-2021.xlsx]диаграмма!Сводная таблица1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Количество наблюдений в исследовании, </a:t>
            </a:r>
            <a:endParaRPr lang="en-US" sz="1200" b="1"/>
          </a:p>
          <a:p>
            <a:pPr>
              <a:defRPr/>
            </a:pPr>
            <a:r>
              <a:rPr lang="ru-RU" sz="1200" b="1"/>
              <a:t>2014-2021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bg2">
              <a:lumMod val="75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bg2">
              <a:lumMod val="75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bg2">
              <a:lumMod val="75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диаграмма!$B$1</c:f>
              <c:strCache>
                <c:ptCount val="1"/>
                <c:pt idx="0">
                  <c:v>Итог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диаграмма!$A$2:$A$10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диаграмма!$B$2:$B$10</c:f>
              <c:numCache>
                <c:formatCode>General</c:formatCode>
                <c:ptCount val="8"/>
                <c:pt idx="0">
                  <c:v>29</c:v>
                </c:pt>
                <c:pt idx="1">
                  <c:v>35</c:v>
                </c:pt>
                <c:pt idx="2">
                  <c:v>36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33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7-4E6A-BDDF-9346D6C7E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overlap val="-27"/>
        <c:axId val="1429791615"/>
        <c:axId val="1429788287"/>
      </c:barChart>
      <c:catAx>
        <c:axId val="1429791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9788287"/>
        <c:crosses val="autoZero"/>
        <c:auto val="1"/>
        <c:lblAlgn val="ctr"/>
        <c:lblOffset val="100"/>
        <c:noMultiLvlLbl val="0"/>
      </c:catAx>
      <c:valAx>
        <c:axId val="14297882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9791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Распределение компаний из выборки по отраслям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B1-4DED-811D-BED022B6B06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B1-4DED-811D-BED022B6B06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B1-4DED-811D-BED022B6B062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B1-4DED-811D-BED022B6B062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B1-4DED-811D-BED022B6B062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6B1-4DED-811D-BED022B6B0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Лист5!$S$3:$S$8</c:f>
              <c:strCache>
                <c:ptCount val="6"/>
                <c:pt idx="0">
                  <c:v>Электроэнергетика</c:v>
                </c:pt>
                <c:pt idx="1">
                  <c:v>Нефтегазодобыча и переработка</c:v>
                </c:pt>
                <c:pt idx="2">
                  <c:v>Телекоммуникации</c:v>
                </c:pt>
                <c:pt idx="3">
                  <c:v>Трансорт </c:v>
                </c:pt>
                <c:pt idx="4">
                  <c:v>Добыча драгоценных металлов</c:v>
                </c:pt>
                <c:pt idx="5">
                  <c:v>Машиностроение</c:v>
                </c:pt>
              </c:strCache>
            </c:strRef>
          </c:cat>
          <c:val>
            <c:numRef>
              <c:f>Лист5!$U$3:$U$8</c:f>
              <c:numCache>
                <c:formatCode>0%</c:formatCode>
                <c:ptCount val="6"/>
                <c:pt idx="0">
                  <c:v>0.60355029585798814</c:v>
                </c:pt>
                <c:pt idx="1">
                  <c:v>0.17751479289940827</c:v>
                </c:pt>
                <c:pt idx="2">
                  <c:v>7.6923076923076927E-2</c:v>
                </c:pt>
                <c:pt idx="3">
                  <c:v>8.2840236686390539E-2</c:v>
                </c:pt>
                <c:pt idx="4">
                  <c:v>2.3668639053254437E-2</c:v>
                </c:pt>
                <c:pt idx="5">
                  <c:v>2.3668639053254437E-2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6B1-4DED-811D-BED022B6B06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[Data2017-2021.xlsx]диаграмма!Сводная таблица4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Динамика средних бухгалтерских показателей, </a:t>
            </a:r>
            <a:endParaRPr lang="en-US" sz="1200" b="1"/>
          </a:p>
          <a:p>
            <a:pPr>
              <a:defRPr sz="1200" b="1"/>
            </a:pPr>
            <a:r>
              <a:rPr lang="ru-RU" sz="1200" b="1"/>
              <a:t>2014 - 2021 гг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диаграмма!$B$49</c:f>
              <c:strCache>
                <c:ptCount val="1"/>
                <c:pt idx="0">
                  <c:v>Средний показатель ROA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диаграмма!$A$50:$A$58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диаграмма!$B$50:$B$58</c:f>
              <c:numCache>
                <c:formatCode>General</c:formatCode>
                <c:ptCount val="8"/>
                <c:pt idx="0">
                  <c:v>2.9892918742885511E-2</c:v>
                </c:pt>
                <c:pt idx="1">
                  <c:v>2.4247571709772129E-2</c:v>
                </c:pt>
                <c:pt idx="2">
                  <c:v>4.8766922178325484E-2</c:v>
                </c:pt>
                <c:pt idx="3">
                  <c:v>4.8287287422736226E-2</c:v>
                </c:pt>
                <c:pt idx="4">
                  <c:v>4.3441948175936579E-2</c:v>
                </c:pt>
                <c:pt idx="5">
                  <c:v>4.10610316533081E-2</c:v>
                </c:pt>
                <c:pt idx="6">
                  <c:v>2.2005466537693051E-2</c:v>
                </c:pt>
                <c:pt idx="7">
                  <c:v>4.4491762101454391E-2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3F-4DEF-964F-B50E9F380686}"/>
            </c:ext>
          </c:extLst>
        </c:ser>
        <c:ser>
          <c:idx val="1"/>
          <c:order val="1"/>
          <c:tx>
            <c:strRef>
              <c:f>диаграмма!$C$49</c:f>
              <c:strCache>
                <c:ptCount val="1"/>
                <c:pt idx="0">
                  <c:v>Средний показатель ROE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диаграмма!$A$50:$A$58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диаграмма!$C$50:$C$58</c:f>
              <c:numCache>
                <c:formatCode>General</c:formatCode>
                <c:ptCount val="8"/>
                <c:pt idx="0">
                  <c:v>6.6976756022021411E-2</c:v>
                </c:pt>
                <c:pt idx="1">
                  <c:v>3.5059275444271495E-2</c:v>
                </c:pt>
                <c:pt idx="2">
                  <c:v>8.0461092244224042E-2</c:v>
                </c:pt>
                <c:pt idx="3">
                  <c:v>0.1028799248696739</c:v>
                </c:pt>
                <c:pt idx="4">
                  <c:v>8.3862284397425116E-2</c:v>
                </c:pt>
                <c:pt idx="5">
                  <c:v>8.2429742720126598E-2</c:v>
                </c:pt>
                <c:pt idx="6">
                  <c:v>5.0134236655840068E-2</c:v>
                </c:pt>
                <c:pt idx="7">
                  <c:v>8.7036612885318151E-2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3F-4DEF-964F-B50E9F380686}"/>
            </c:ext>
          </c:extLst>
        </c:ser>
        <c:ser>
          <c:idx val="2"/>
          <c:order val="2"/>
          <c:tx>
            <c:strRef>
              <c:f>диаграмма!$D$49</c:f>
              <c:strCache>
                <c:ptCount val="1"/>
                <c:pt idx="0">
                  <c:v>Средний показатель ROIC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диаграмма!$A$50:$A$58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диаграмма!$D$50:$D$58</c:f>
              <c:numCache>
                <c:formatCode>General</c:formatCode>
                <c:ptCount val="8"/>
                <c:pt idx="0">
                  <c:v>4.4841004819694753E-2</c:v>
                </c:pt>
                <c:pt idx="1">
                  <c:v>3.1638627915020298E-2</c:v>
                </c:pt>
                <c:pt idx="2">
                  <c:v>6.8855620946097221E-2</c:v>
                </c:pt>
                <c:pt idx="3">
                  <c:v>7.0619048242426929E-2</c:v>
                </c:pt>
                <c:pt idx="4">
                  <c:v>5.9050929644820525E-2</c:v>
                </c:pt>
                <c:pt idx="5">
                  <c:v>5.0183427738818079E-2</c:v>
                </c:pt>
                <c:pt idx="6">
                  <c:v>2.8381129411298778E-2</c:v>
                </c:pt>
                <c:pt idx="7">
                  <c:v>6.6885062258760938E-2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3F-4DEF-964F-B50E9F380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774528"/>
        <c:axId val="502777440"/>
      </c:lineChart>
      <c:catAx>
        <c:axId val="5027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777440"/>
        <c:crosses val="autoZero"/>
        <c:auto val="1"/>
        <c:lblAlgn val="ctr"/>
        <c:lblOffset val="100"/>
        <c:noMultiLvlLbl val="0"/>
      </c:catAx>
      <c:valAx>
        <c:axId val="50277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77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[Data2017-2021.xlsx]диаграмма!Сводная таблица5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Динамика средних рыночных показателей,</a:t>
            </a:r>
          </a:p>
          <a:p>
            <a:pPr>
              <a:defRPr sz="1200" b="1"/>
            </a:pPr>
            <a:r>
              <a:rPr lang="ru-RU" sz="1200" b="1"/>
              <a:t>2014-2021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диаграмма!$B$64</c:f>
              <c:strCache>
                <c:ptCount val="1"/>
                <c:pt idx="0">
                  <c:v>Средний коэффициент Tobin's Q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диаграмма!$A$65:$A$73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диаграмма!$B$65:$B$73</c:f>
              <c:numCache>
                <c:formatCode>General</c:formatCode>
                <c:ptCount val="8"/>
                <c:pt idx="0">
                  <c:v>0.46373519148318276</c:v>
                </c:pt>
                <c:pt idx="1">
                  <c:v>0.50279177803912956</c:v>
                </c:pt>
                <c:pt idx="2">
                  <c:v>0.57836695355805146</c:v>
                </c:pt>
                <c:pt idx="3">
                  <c:v>0.57618598794144171</c:v>
                </c:pt>
                <c:pt idx="4">
                  <c:v>0.5624225284500215</c:v>
                </c:pt>
                <c:pt idx="5">
                  <c:v>0.61959301663945265</c:v>
                </c:pt>
                <c:pt idx="6">
                  <c:v>0.61696426198856058</c:v>
                </c:pt>
                <c:pt idx="7">
                  <c:v>0.5378231311765832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DE-462C-8CCF-0A17997BB627}"/>
            </c:ext>
          </c:extLst>
        </c:ser>
        <c:ser>
          <c:idx val="1"/>
          <c:order val="1"/>
          <c:tx>
            <c:strRef>
              <c:f>диаграмма!$C$64</c:f>
              <c:strCache>
                <c:ptCount val="1"/>
                <c:pt idx="0">
                  <c:v>Среднее значение M/B Ratio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диаграмма!$A$65:$A$73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диаграмма!$C$65:$C$73</c:f>
              <c:numCache>
                <c:formatCode>General</c:formatCode>
                <c:ptCount val="8"/>
                <c:pt idx="0">
                  <c:v>0.56707374516835718</c:v>
                </c:pt>
                <c:pt idx="1">
                  <c:v>0.61571065433375272</c:v>
                </c:pt>
                <c:pt idx="2">
                  <c:v>0.82771949355007823</c:v>
                </c:pt>
                <c:pt idx="3">
                  <c:v>0.81371295264975363</c:v>
                </c:pt>
                <c:pt idx="4">
                  <c:v>0.84045203390772327</c:v>
                </c:pt>
                <c:pt idx="5">
                  <c:v>0.88186969389543712</c:v>
                </c:pt>
                <c:pt idx="6">
                  <c:v>0.85006885616950945</c:v>
                </c:pt>
                <c:pt idx="7">
                  <c:v>0.65241063883007466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DE-462C-8CCF-0A17997BB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780768"/>
        <c:axId val="502765792"/>
      </c:lineChart>
      <c:catAx>
        <c:axId val="50278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765792"/>
        <c:crosses val="autoZero"/>
        <c:auto val="1"/>
        <c:lblAlgn val="ctr"/>
        <c:lblOffset val="100"/>
        <c:noMultiLvlLbl val="0"/>
      </c:catAx>
      <c:valAx>
        <c:axId val="50276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78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[Data2017-2021.xlsx]диаграмма!Сводная таблица6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Средний размер совета директоров компаний, </a:t>
            </a:r>
          </a:p>
          <a:p>
            <a:pPr>
              <a:defRPr sz="1100" b="1"/>
            </a:pPr>
            <a:r>
              <a:rPr lang="ru-RU" sz="1100" b="1"/>
              <a:t>2014 - 2021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bg2">
                <a:lumMod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bg2">
                <a:lumMod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bg2">
                <a:lumMod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диаграмма!$B$78</c:f>
              <c:strCache>
                <c:ptCount val="1"/>
                <c:pt idx="0">
                  <c:v>Итог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диаграмма!$A$79:$A$87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диаграмма!$B$79:$B$87</c:f>
              <c:numCache>
                <c:formatCode>General</c:formatCode>
                <c:ptCount val="8"/>
                <c:pt idx="0">
                  <c:v>11.172413793103448</c:v>
                </c:pt>
                <c:pt idx="1">
                  <c:v>10.828571428571429</c:v>
                </c:pt>
                <c:pt idx="2">
                  <c:v>10.777777777777779</c:v>
                </c:pt>
                <c:pt idx="3">
                  <c:v>10.714285714285714</c:v>
                </c:pt>
                <c:pt idx="4">
                  <c:v>10.885714285714286</c:v>
                </c:pt>
                <c:pt idx="5">
                  <c:v>10.742857142857142</c:v>
                </c:pt>
                <c:pt idx="6">
                  <c:v>10.818181818181818</c:v>
                </c:pt>
                <c:pt idx="7">
                  <c:v>10.684210526315789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27-4225-B758-16313A144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88576"/>
        <c:axId val="438391488"/>
      </c:lineChart>
      <c:catAx>
        <c:axId val="43838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391488"/>
        <c:crosses val="autoZero"/>
        <c:auto val="1"/>
        <c:lblAlgn val="ctr"/>
        <c:lblOffset val="100"/>
        <c:noMultiLvlLbl val="0"/>
      </c:catAx>
      <c:valAx>
        <c:axId val="43839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38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[Data2017-2021.xlsx]диаграмма!Сводная таблица3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Динамика средних структурных характеристик совета директоров, 2014-2021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диаграмма!$B$34</c:f>
              <c:strCache>
                <c:ptCount val="1"/>
                <c:pt idx="0">
                  <c:v>Независимые директора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диаграмма!$A$35:$A$43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диаграмма!$B$35:$B$43</c:f>
              <c:numCache>
                <c:formatCode>General</c:formatCode>
                <c:ptCount val="8"/>
                <c:pt idx="0">
                  <c:v>0.12779672434844844</c:v>
                </c:pt>
                <c:pt idx="1">
                  <c:v>0.14632193203621774</c:v>
                </c:pt>
                <c:pt idx="2">
                  <c:v>0.17640561598894927</c:v>
                </c:pt>
                <c:pt idx="3">
                  <c:v>0.21301389404246543</c:v>
                </c:pt>
                <c:pt idx="4">
                  <c:v>0.18606853463996317</c:v>
                </c:pt>
                <c:pt idx="5">
                  <c:v>0.20022580594009159</c:v>
                </c:pt>
                <c:pt idx="6">
                  <c:v>0.19093869093869087</c:v>
                </c:pt>
                <c:pt idx="7">
                  <c:v>0.20562945826103715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F7-4BC5-84DD-EB40FBBC79B8}"/>
            </c:ext>
          </c:extLst>
        </c:ser>
        <c:ser>
          <c:idx val="1"/>
          <c:order val="1"/>
          <c:tx>
            <c:strRef>
              <c:f>диаграмма!$C$34</c:f>
              <c:strCache>
                <c:ptCount val="1"/>
                <c:pt idx="0">
                  <c:v>Исполнительные директора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диаграмма!$A$35:$A$43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диаграмма!$C$35:$C$43</c:f>
              <c:numCache>
                <c:formatCode>General</c:formatCode>
                <c:ptCount val="8"/>
                <c:pt idx="0">
                  <c:v>9.6219872081941049E-2</c:v>
                </c:pt>
                <c:pt idx="1">
                  <c:v>0.10600447171875743</c:v>
                </c:pt>
                <c:pt idx="2">
                  <c:v>0.1052133822967156</c:v>
                </c:pt>
                <c:pt idx="3">
                  <c:v>0.10813475413475412</c:v>
                </c:pt>
                <c:pt idx="4">
                  <c:v>9.5698666412952119E-2</c:v>
                </c:pt>
                <c:pt idx="5">
                  <c:v>0.10548530834245118</c:v>
                </c:pt>
                <c:pt idx="6">
                  <c:v>0.10709021618112526</c:v>
                </c:pt>
                <c:pt idx="7">
                  <c:v>0.1386975597501913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F7-4BC5-84DD-EB40FBBC79B8}"/>
            </c:ext>
          </c:extLst>
        </c:ser>
        <c:ser>
          <c:idx val="2"/>
          <c:order val="2"/>
          <c:tx>
            <c:strRef>
              <c:f>диаграмма!$D$34</c:f>
              <c:strCache>
                <c:ptCount val="1"/>
                <c:pt idx="0">
                  <c:v>Женщины-директора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диаграмма!$A$35:$A$43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диаграмма!$D$35:$D$43</c:f>
              <c:numCache>
                <c:formatCode>General</c:formatCode>
                <c:ptCount val="8"/>
                <c:pt idx="0">
                  <c:v>9.2120140396002442E-2</c:v>
                </c:pt>
                <c:pt idx="1">
                  <c:v>8.7761127761127739E-2</c:v>
                </c:pt>
                <c:pt idx="2">
                  <c:v>9.2158535908535899E-2</c:v>
                </c:pt>
                <c:pt idx="3">
                  <c:v>0.10457827886399314</c:v>
                </c:pt>
                <c:pt idx="4">
                  <c:v>0.118435532721247</c:v>
                </c:pt>
                <c:pt idx="5">
                  <c:v>0.10323866609580894</c:v>
                </c:pt>
                <c:pt idx="6">
                  <c:v>9.6591287500378403E-2</c:v>
                </c:pt>
                <c:pt idx="7">
                  <c:v>0.14329880645670118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F7-4BC5-84DD-EB40FBBC7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5455072"/>
        <c:axId val="1035450496"/>
      </c:lineChart>
      <c:catAx>
        <c:axId val="103545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5450496"/>
        <c:crosses val="autoZero"/>
        <c:auto val="1"/>
        <c:lblAlgn val="ctr"/>
        <c:lblOffset val="100"/>
        <c:noMultiLvlLbl val="0"/>
      </c:catAx>
      <c:valAx>
        <c:axId val="103545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545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[Data2017-2021.xlsx]диаграмма!Сводная таблица8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доли директоров с опытом работы в органах госвласти, 2014 - 2021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1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диаграмма!$B$106</c:f>
              <c:strCache>
                <c:ptCount val="1"/>
                <c:pt idx="0">
                  <c:v>Итог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диаграмма!$A$107:$A$115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диаграмма!$B$107:$B$115</c:f>
              <c:numCache>
                <c:formatCode>General</c:formatCode>
                <c:ptCount val="8"/>
                <c:pt idx="0">
                  <c:v>0.20217521941659869</c:v>
                </c:pt>
                <c:pt idx="1">
                  <c:v>0.23874474731617587</c:v>
                </c:pt>
                <c:pt idx="2">
                  <c:v>0.21796159087825751</c:v>
                </c:pt>
                <c:pt idx="3">
                  <c:v>0.22029874887017739</c:v>
                </c:pt>
                <c:pt idx="4">
                  <c:v>0.23708188636760061</c:v>
                </c:pt>
                <c:pt idx="5">
                  <c:v>0.2565317222460079</c:v>
                </c:pt>
                <c:pt idx="6">
                  <c:v>0.22535007080461625</c:v>
                </c:pt>
                <c:pt idx="7">
                  <c:v>0.16865356865356865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85-4A85-8F31-348B976C7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219440"/>
        <c:axId val="439207792"/>
      </c:lineChart>
      <c:catAx>
        <c:axId val="43921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207792"/>
        <c:crosses val="autoZero"/>
        <c:auto val="1"/>
        <c:lblAlgn val="ctr"/>
        <c:lblOffset val="100"/>
        <c:noMultiLvlLbl val="0"/>
      </c:catAx>
      <c:valAx>
        <c:axId val="439207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21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[Data2017-2021.xlsx]диаграмма!Сводная таблица9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Изменение доли «занятых»  директоров, </a:t>
            </a:r>
          </a:p>
          <a:p>
            <a:pPr>
              <a:defRPr sz="1100" b="1"/>
            </a:pPr>
            <a:r>
              <a:rPr lang="ru-RU" sz="1100" b="1"/>
              <a:t>2014 - 2021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dk1">
              <a:tint val="88500"/>
            </a:schemeClr>
          </a:solidFill>
          <a:ln w="28575" cap="rnd">
            <a:solidFill>
              <a:schemeClr val="dk1">
                <a:tint val="885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диаграмма!$B$125</c:f>
              <c:strCache>
                <c:ptCount val="1"/>
                <c:pt idx="0">
                  <c:v>Итог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диаграмма!$A$126:$A$134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strCache>
            </c:strRef>
          </c:cat>
          <c:val>
            <c:numRef>
              <c:f>диаграмма!$B$126:$B$134</c:f>
              <c:numCache>
                <c:formatCode>General</c:formatCode>
                <c:ptCount val="8"/>
                <c:pt idx="0">
                  <c:v>0.50011597597804491</c:v>
                </c:pt>
                <c:pt idx="1">
                  <c:v>0.5410950002378575</c:v>
                </c:pt>
                <c:pt idx="2">
                  <c:v>0.56536520578187255</c:v>
                </c:pt>
                <c:pt idx="3">
                  <c:v>0.67455148026576606</c:v>
                </c:pt>
                <c:pt idx="4">
                  <c:v>0.66907195978624556</c:v>
                </c:pt>
                <c:pt idx="5">
                  <c:v>0.67953031095888217</c:v>
                </c:pt>
                <c:pt idx="6">
                  <c:v>0.66290140835595368</c:v>
                </c:pt>
                <c:pt idx="7">
                  <c:v>0.69778408725777152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0B-40B4-8C17-3BA95A72A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50720"/>
        <c:axId val="438341152"/>
      </c:lineChart>
      <c:catAx>
        <c:axId val="4383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341152"/>
        <c:crosses val="autoZero"/>
        <c:auto val="1"/>
        <c:lblAlgn val="ctr"/>
        <c:lblOffset val="100"/>
        <c:noMultiLvlLbl val="0"/>
      </c:catAx>
      <c:valAx>
        <c:axId val="43834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35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74D05D911CE54B90ADBEF707341C92" ma:contentTypeVersion="14" ma:contentTypeDescription="Создание документа." ma:contentTypeScope="" ma:versionID="a79458b2dff4afef9e0ddb190c928501">
  <xsd:schema xmlns:xsd="http://www.w3.org/2001/XMLSchema" xmlns:xs="http://www.w3.org/2001/XMLSchema" xmlns:p="http://schemas.microsoft.com/office/2006/metadata/properties" xmlns:ns3="cd58f188-3489-45da-8288-49f93b50f610" xmlns:ns4="76fda7a1-17ef-42ff-a47e-c1ead09824e5" targetNamespace="http://schemas.microsoft.com/office/2006/metadata/properties" ma:root="true" ma:fieldsID="be8e5ec90fe65ec001eb3c19ca201c05" ns3:_="" ns4:_="">
    <xsd:import namespace="cd58f188-3489-45da-8288-49f93b50f610"/>
    <xsd:import namespace="76fda7a1-17ef-42ff-a47e-c1ead0982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188-3489-45da-8288-49f93b50f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a7a1-17ef-42ff-a47e-c1ead0982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fda7a1-17ef-42ff-a47e-c1ead09824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3451-30AD-4BE1-B44F-F289E851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188-3489-45da-8288-49f93b50f610"/>
    <ds:schemaRef ds:uri="76fda7a1-17ef-42ff-a47e-c1ead0982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6D8B4-03C1-471C-840D-F910294AA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3EDF8-F6D3-499D-A3D0-B82E19552470}">
  <ds:schemaRefs>
    <ds:schemaRef ds:uri="http://schemas.microsoft.com/office/2006/metadata/properties"/>
    <ds:schemaRef ds:uri="http://schemas.microsoft.com/office/infopath/2007/PartnerControls"/>
    <ds:schemaRef ds:uri="76fda7a1-17ef-42ff-a47e-c1ead09824e5"/>
  </ds:schemaRefs>
</ds:datastoreItem>
</file>

<file path=customXml/itemProps4.xml><?xml version="1.0" encoding="utf-8"?>
<ds:datastoreItem xmlns:ds="http://schemas.openxmlformats.org/officeDocument/2006/customXml" ds:itemID="{078EEEEA-07B1-4F47-AFD4-7E90BF05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74</Pages>
  <Words>23507</Words>
  <Characters>133993</Characters>
  <Application>Microsoft Office Word</Application>
  <DocSecurity>0</DocSecurity>
  <Lines>1116</Lines>
  <Paragraphs>314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Диана Дмитриевна</dc:creator>
  <cp:keywords/>
  <dc:description/>
  <cp:lastModifiedBy>Diana Utkina</cp:lastModifiedBy>
  <cp:revision>29</cp:revision>
  <dcterms:created xsi:type="dcterms:W3CDTF">2023-05-21T13:57:00Z</dcterms:created>
  <dcterms:modified xsi:type="dcterms:W3CDTF">2023-05-26T18:56:00Z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0x0101000274D05D911CE54B90ADBEF707341C92</vt:lpwstr>
  </property>
</Properties>
</file>