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51" w:rsidRDefault="00330651" w:rsidP="00330651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Отзыв</w:t>
      </w:r>
    </w:p>
    <w:p w:rsidR="00330651" w:rsidRDefault="00330651" w:rsidP="00330651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 выпускную квалификационную работу</w:t>
      </w:r>
    </w:p>
    <w:p w:rsidR="00330651" w:rsidRDefault="00330651" w:rsidP="00330651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студентки магистратуры</w:t>
      </w:r>
      <w:r>
        <w:rPr>
          <w:sz w:val="24"/>
          <w:szCs w:val="24"/>
        </w:rPr>
        <w:t xml:space="preserve"> </w:t>
      </w:r>
    </w:p>
    <w:p w:rsidR="00330651" w:rsidRDefault="00330651" w:rsidP="00330651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направления подготовки 41.04.04 «Политология»</w:t>
      </w:r>
    </w:p>
    <w:p w:rsidR="00330651" w:rsidRDefault="00330651" w:rsidP="00330651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</w:p>
    <w:p w:rsidR="00330651" w:rsidRDefault="00330651" w:rsidP="00330651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Москвичевой Елены Александровны</w:t>
      </w:r>
    </w:p>
    <w:p w:rsidR="00330651" w:rsidRDefault="00330651" w:rsidP="00330651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Тема выпускной квалификационной работы:</w:t>
      </w:r>
    </w:p>
    <w:p w:rsidR="00330651" w:rsidRDefault="005B4D26" w:rsidP="00330651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«ВЛИЯНИЕ РОССИЙСКИХ ГАЗОВЫХ КОРПОРАЦИЙ НА ЭНЕРГЕТИЧЕСКУЮ ПОЛИТИКУ ЕВРОПЕЙСКОГО СОЮЗА И СТРАН БЛИЖНЕГО ВОСТОКА: ПЕРСПЕКТИВЫ СОТРУДНИЧЕСТВА И ТРАНСФОРМАЦИЯ ПОВЕСТКИ»</w:t>
      </w:r>
    </w:p>
    <w:p w:rsidR="00330651" w:rsidRPr="007B06D6" w:rsidRDefault="00330651" w:rsidP="00330651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330651" w:rsidRPr="00330651" w:rsidRDefault="00330651" w:rsidP="00330651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Работа Москвичевой Е.А. посвящена, пожалуй, одной из важнейших тем современной российской и международной политической повестки – энергетической политике. Обстоятельства, вызвавшие интерес автора к данной теме, вероятно, связаны с усилением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санкционного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давления США и стран Европейского Союза в 2022 году на российский энергетический сектор, ввиду чего Россия объявила об усилении интеграции с азиатскими странами и странами Ближнего Востока. </w:t>
      </w:r>
      <w:r w:rsidR="00B74A75">
        <w:rPr>
          <w:rFonts w:eastAsia="Times New Roman"/>
          <w:bCs/>
          <w:sz w:val="24"/>
          <w:szCs w:val="24"/>
          <w:lang w:eastAsia="ru-RU"/>
        </w:rPr>
        <w:t>В основе проблемы, которая вытекает из этих рассуждений, лежит сомнение автора в громких заявлениях политиков и желание разобраться с тем, как на самом деле обстоят дела.</w:t>
      </w:r>
    </w:p>
    <w:p w:rsidR="00527BD7" w:rsidRDefault="00B74A75" w:rsidP="00527BD7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 </w:t>
      </w:r>
      <w:r w:rsidR="00B60123">
        <w:rPr>
          <w:rFonts w:eastAsia="Times New Roman"/>
          <w:bCs/>
          <w:sz w:val="24"/>
          <w:szCs w:val="24"/>
          <w:lang w:eastAsia="ru-RU"/>
        </w:rPr>
        <w:t>работе Москвичевой Е.А. исследуются т</w:t>
      </w:r>
      <w:r w:rsidR="00B60123" w:rsidRPr="00B60123">
        <w:rPr>
          <w:rFonts w:eastAsia="Times New Roman"/>
          <w:bCs/>
          <w:sz w:val="24"/>
          <w:szCs w:val="24"/>
          <w:lang w:eastAsia="ru-RU"/>
        </w:rPr>
        <w:t>еоретические аспекты исследования роли и места российских газовых корпораций в энергетической политике стран Европейс</w:t>
      </w:r>
      <w:r w:rsidR="00B60123">
        <w:rPr>
          <w:rFonts w:eastAsia="Times New Roman"/>
          <w:bCs/>
          <w:sz w:val="24"/>
          <w:szCs w:val="24"/>
          <w:lang w:eastAsia="ru-RU"/>
        </w:rPr>
        <w:t>кого Союза и Ближнего Востока, проводится а</w:t>
      </w:r>
      <w:r w:rsidR="00B60123" w:rsidRPr="00B60123">
        <w:rPr>
          <w:rFonts w:eastAsia="Times New Roman"/>
          <w:bCs/>
          <w:sz w:val="24"/>
          <w:szCs w:val="24"/>
          <w:lang w:eastAsia="ru-RU"/>
        </w:rPr>
        <w:t>нализ влияния р</w:t>
      </w:r>
      <w:r w:rsidR="00B60123">
        <w:rPr>
          <w:rFonts w:eastAsia="Times New Roman"/>
          <w:bCs/>
          <w:sz w:val="24"/>
          <w:szCs w:val="24"/>
          <w:lang w:eastAsia="ru-RU"/>
        </w:rPr>
        <w:t xml:space="preserve">оссийских газовых корпораций на </w:t>
      </w:r>
      <w:r w:rsidR="00B60123" w:rsidRPr="00B60123">
        <w:rPr>
          <w:rFonts w:eastAsia="Times New Roman"/>
          <w:bCs/>
          <w:sz w:val="24"/>
          <w:szCs w:val="24"/>
          <w:lang w:eastAsia="ru-RU"/>
        </w:rPr>
        <w:t xml:space="preserve">энергетическую повестку </w:t>
      </w:r>
      <w:r w:rsidR="00B60123">
        <w:rPr>
          <w:rFonts w:eastAsia="Times New Roman"/>
          <w:bCs/>
          <w:sz w:val="24"/>
          <w:szCs w:val="24"/>
          <w:lang w:eastAsia="ru-RU"/>
        </w:rPr>
        <w:t xml:space="preserve">этих стран. </w:t>
      </w:r>
      <w:r w:rsidR="00A63B8F">
        <w:rPr>
          <w:rFonts w:eastAsia="Times New Roman"/>
          <w:bCs/>
          <w:sz w:val="24"/>
          <w:szCs w:val="24"/>
          <w:lang w:eastAsia="ru-RU"/>
        </w:rPr>
        <w:t>Автор подробно исследует т</w:t>
      </w:r>
      <w:r w:rsidR="00A63B8F" w:rsidRPr="00A63B8F">
        <w:rPr>
          <w:rFonts w:eastAsia="Times New Roman"/>
          <w:bCs/>
          <w:sz w:val="24"/>
          <w:szCs w:val="24"/>
          <w:lang w:eastAsia="ru-RU"/>
        </w:rPr>
        <w:t>еоретические подходы к изучению газовых корпор</w:t>
      </w:r>
      <w:r w:rsidR="00A63B8F">
        <w:rPr>
          <w:rFonts w:eastAsia="Times New Roman"/>
          <w:bCs/>
          <w:sz w:val="24"/>
          <w:szCs w:val="24"/>
          <w:lang w:eastAsia="ru-RU"/>
        </w:rPr>
        <w:t xml:space="preserve">аций как политических </w:t>
      </w:r>
      <w:proofErr w:type="spellStart"/>
      <w:r w:rsidR="00A63B8F">
        <w:rPr>
          <w:rFonts w:eastAsia="Times New Roman"/>
          <w:bCs/>
          <w:sz w:val="24"/>
          <w:szCs w:val="24"/>
          <w:lang w:eastAsia="ru-RU"/>
        </w:rPr>
        <w:t>акторов</w:t>
      </w:r>
      <w:proofErr w:type="spellEnd"/>
      <w:r w:rsidR="00A63B8F">
        <w:rPr>
          <w:rFonts w:eastAsia="Times New Roman"/>
          <w:bCs/>
          <w:sz w:val="24"/>
          <w:szCs w:val="24"/>
          <w:lang w:eastAsia="ru-RU"/>
        </w:rPr>
        <w:t>, о</w:t>
      </w:r>
      <w:r w:rsidR="00A63B8F" w:rsidRPr="00A63B8F">
        <w:rPr>
          <w:rFonts w:eastAsia="Times New Roman"/>
          <w:bCs/>
          <w:sz w:val="24"/>
          <w:szCs w:val="24"/>
          <w:lang w:eastAsia="ru-RU"/>
        </w:rPr>
        <w:t xml:space="preserve">собенности энергетической политики Европейского Союза </w:t>
      </w:r>
      <w:r w:rsidR="00A63B8F">
        <w:rPr>
          <w:rFonts w:eastAsia="Times New Roman"/>
          <w:bCs/>
          <w:sz w:val="24"/>
          <w:szCs w:val="24"/>
          <w:lang w:eastAsia="ru-RU"/>
        </w:rPr>
        <w:t>и государств Ближнего Востока, з</w:t>
      </w:r>
      <w:r w:rsidR="00A63B8F" w:rsidRPr="00A63B8F">
        <w:rPr>
          <w:rFonts w:eastAsia="Times New Roman"/>
          <w:bCs/>
          <w:sz w:val="24"/>
          <w:szCs w:val="24"/>
          <w:lang w:eastAsia="ru-RU"/>
        </w:rPr>
        <w:t xml:space="preserve">начение российских газовых корпораций в </w:t>
      </w:r>
      <w:proofErr w:type="spellStart"/>
      <w:r w:rsidR="00A63B8F" w:rsidRPr="00A63B8F">
        <w:rPr>
          <w:rFonts w:eastAsia="Times New Roman"/>
          <w:bCs/>
          <w:sz w:val="24"/>
          <w:szCs w:val="24"/>
          <w:lang w:eastAsia="ru-RU"/>
        </w:rPr>
        <w:t>энергоструктуре</w:t>
      </w:r>
      <w:proofErr w:type="spellEnd"/>
      <w:r w:rsidR="00A63B8F" w:rsidRPr="00A63B8F">
        <w:rPr>
          <w:rFonts w:eastAsia="Times New Roman"/>
          <w:bCs/>
          <w:sz w:val="24"/>
          <w:szCs w:val="24"/>
          <w:lang w:eastAsia="ru-RU"/>
        </w:rPr>
        <w:t xml:space="preserve"> стран Европейс</w:t>
      </w:r>
      <w:r w:rsidR="00A63B8F">
        <w:rPr>
          <w:rFonts w:eastAsia="Times New Roman"/>
          <w:bCs/>
          <w:sz w:val="24"/>
          <w:szCs w:val="24"/>
          <w:lang w:eastAsia="ru-RU"/>
        </w:rPr>
        <w:t>кого Союза и Ближнего Восток, трансформацию</w:t>
      </w:r>
      <w:r w:rsidR="00A63B8F" w:rsidRPr="00A63B8F">
        <w:rPr>
          <w:rFonts w:eastAsia="Times New Roman"/>
          <w:bCs/>
          <w:sz w:val="24"/>
          <w:szCs w:val="24"/>
          <w:lang w:eastAsia="ru-RU"/>
        </w:rPr>
        <w:t xml:space="preserve"> энергетической повест</w:t>
      </w:r>
      <w:r w:rsidR="00A63B8F">
        <w:rPr>
          <w:rFonts w:eastAsia="Times New Roman"/>
          <w:bCs/>
          <w:sz w:val="24"/>
          <w:szCs w:val="24"/>
          <w:lang w:eastAsia="ru-RU"/>
        </w:rPr>
        <w:t>ки стран Европейского Союза, п</w:t>
      </w:r>
      <w:r w:rsidR="00A63B8F" w:rsidRPr="00A63B8F">
        <w:rPr>
          <w:rFonts w:eastAsia="Times New Roman"/>
          <w:bCs/>
          <w:sz w:val="24"/>
          <w:szCs w:val="24"/>
          <w:lang w:eastAsia="ru-RU"/>
        </w:rPr>
        <w:t>ерспективы сотрудничества российских газовых корпораций</w:t>
      </w:r>
      <w:r w:rsidR="00A63B8F">
        <w:rPr>
          <w:rFonts w:eastAsia="Times New Roman"/>
          <w:bCs/>
          <w:sz w:val="24"/>
          <w:szCs w:val="24"/>
          <w:lang w:eastAsia="ru-RU"/>
        </w:rPr>
        <w:t xml:space="preserve"> в странах Ближнего Востока, п</w:t>
      </w:r>
      <w:r w:rsidR="00A63B8F" w:rsidRPr="00A63B8F">
        <w:rPr>
          <w:rFonts w:eastAsia="Times New Roman"/>
          <w:bCs/>
          <w:sz w:val="24"/>
          <w:szCs w:val="24"/>
          <w:lang w:eastAsia="ru-RU"/>
        </w:rPr>
        <w:t>роблемы и перспективы развития и международного влияния российских газовых корпораций в условиях изменения глобал</w:t>
      </w:r>
      <w:r w:rsidR="00A63B8F">
        <w:rPr>
          <w:rFonts w:eastAsia="Times New Roman"/>
          <w:bCs/>
          <w:sz w:val="24"/>
          <w:szCs w:val="24"/>
          <w:lang w:eastAsia="ru-RU"/>
        </w:rPr>
        <w:t>ьной энергетической повестки.</w:t>
      </w:r>
      <w:r w:rsidR="00527BD7">
        <w:rPr>
          <w:rFonts w:eastAsia="Times New Roman"/>
          <w:bCs/>
          <w:sz w:val="24"/>
          <w:szCs w:val="24"/>
          <w:lang w:eastAsia="ru-RU"/>
        </w:rPr>
        <w:t xml:space="preserve"> Анализируя теоретические аспекты деятельности транснациональных корпораций, автор ссылается на труды таких ученых, как Дж. </w:t>
      </w:r>
      <w:proofErr w:type="spellStart"/>
      <w:r w:rsidR="00527BD7">
        <w:rPr>
          <w:rFonts w:eastAsia="Times New Roman"/>
          <w:bCs/>
          <w:sz w:val="24"/>
          <w:szCs w:val="24"/>
          <w:lang w:eastAsia="ru-RU"/>
        </w:rPr>
        <w:t>Най</w:t>
      </w:r>
      <w:proofErr w:type="spellEnd"/>
      <w:r w:rsidR="00527BD7">
        <w:rPr>
          <w:rFonts w:eastAsia="Times New Roman"/>
          <w:bCs/>
          <w:sz w:val="24"/>
          <w:szCs w:val="24"/>
          <w:lang w:eastAsia="ru-RU"/>
        </w:rPr>
        <w:t xml:space="preserve">, Р. </w:t>
      </w:r>
      <w:proofErr w:type="spellStart"/>
      <w:r w:rsidR="00527BD7">
        <w:rPr>
          <w:rFonts w:eastAsia="Times New Roman"/>
          <w:bCs/>
          <w:sz w:val="24"/>
          <w:szCs w:val="24"/>
          <w:lang w:eastAsia="ru-RU"/>
        </w:rPr>
        <w:t>Кеохейн</w:t>
      </w:r>
      <w:proofErr w:type="spellEnd"/>
      <w:r w:rsidR="00527BD7">
        <w:rPr>
          <w:rFonts w:eastAsia="Times New Roman"/>
          <w:bCs/>
          <w:sz w:val="24"/>
          <w:szCs w:val="24"/>
          <w:lang w:eastAsia="ru-RU"/>
        </w:rPr>
        <w:t xml:space="preserve">, А.И. Швед, Е.М. Чуку, С. </w:t>
      </w:r>
      <w:proofErr w:type="spellStart"/>
      <w:r w:rsidR="00527BD7" w:rsidRPr="00527BD7">
        <w:rPr>
          <w:rFonts w:eastAsia="Times New Roman"/>
          <w:bCs/>
          <w:sz w:val="24"/>
          <w:szCs w:val="24"/>
          <w:lang w:eastAsia="ru-RU"/>
        </w:rPr>
        <w:t>О'Салливан</w:t>
      </w:r>
      <w:proofErr w:type="spellEnd"/>
      <w:r w:rsidR="00527BD7">
        <w:rPr>
          <w:rFonts w:eastAsia="Times New Roman"/>
          <w:bCs/>
          <w:sz w:val="24"/>
          <w:szCs w:val="24"/>
          <w:lang w:eastAsia="ru-RU"/>
        </w:rPr>
        <w:t>. Исследуя проблему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 xml:space="preserve"> необходимости стабильного энергообеспечения Европейского Союза</w:t>
      </w:r>
      <w:r w:rsidR="00527BD7">
        <w:rPr>
          <w:rFonts w:eastAsia="Times New Roman"/>
          <w:bCs/>
          <w:sz w:val="24"/>
          <w:szCs w:val="24"/>
          <w:lang w:eastAsia="ru-RU"/>
        </w:rPr>
        <w:t>, автор отмечает, что т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>олько у 12 из 27 государств имеются</w:t>
      </w:r>
      <w:r w:rsidR="00527BD7">
        <w:rPr>
          <w:rFonts w:eastAsia="Times New Roman"/>
          <w:bCs/>
          <w:sz w:val="24"/>
          <w:szCs w:val="24"/>
          <w:lang w:eastAsia="ru-RU"/>
        </w:rPr>
        <w:t xml:space="preserve"> незначительные залежи каменного угля, 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>п</w:t>
      </w:r>
      <w:r w:rsidR="00527BD7">
        <w:rPr>
          <w:rFonts w:eastAsia="Times New Roman"/>
          <w:bCs/>
          <w:sz w:val="24"/>
          <w:szCs w:val="24"/>
          <w:lang w:eastAsia="ru-RU"/>
        </w:rPr>
        <w:t xml:space="preserve">риродного газа 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>и нефти</w:t>
      </w:r>
      <w:r w:rsidR="00527BD7">
        <w:rPr>
          <w:rFonts w:eastAsia="Times New Roman"/>
          <w:bCs/>
          <w:sz w:val="24"/>
          <w:szCs w:val="24"/>
          <w:lang w:eastAsia="ru-RU"/>
        </w:rPr>
        <w:t xml:space="preserve">. Авторской анализ 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>деятельнос</w:t>
      </w:r>
      <w:r w:rsidR="00527BD7">
        <w:rPr>
          <w:rFonts w:eastAsia="Times New Roman"/>
          <w:bCs/>
          <w:sz w:val="24"/>
          <w:szCs w:val="24"/>
          <w:lang w:eastAsia="ru-RU"/>
        </w:rPr>
        <w:t xml:space="preserve">ти ближневосточных государств в сфере энергетики 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 xml:space="preserve">демонстрирует, что фокус Ближнего Востока постепенно смещается в сторону реализации газовых проектов. </w:t>
      </w:r>
      <w:r w:rsidR="00527BD7">
        <w:rPr>
          <w:rFonts w:eastAsia="Times New Roman"/>
          <w:bCs/>
          <w:sz w:val="24"/>
          <w:szCs w:val="24"/>
          <w:lang w:eastAsia="ru-RU"/>
        </w:rPr>
        <w:t>Автор предполагает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 xml:space="preserve">, что у «Газпрома» имеются большие планы на газовые возможности Ближнего Востока. </w:t>
      </w:r>
      <w:r w:rsidR="00527BD7">
        <w:rPr>
          <w:rFonts w:eastAsia="Times New Roman"/>
          <w:bCs/>
          <w:sz w:val="24"/>
          <w:szCs w:val="24"/>
          <w:lang w:eastAsia="ru-RU"/>
        </w:rPr>
        <w:t>«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 xml:space="preserve">Мы можем наблюдать крайне многоаспектное сотрудничество, которое затрагивает различные области работы – это и трубопроводные поставки, и СПГ-проекты, и </w:t>
      </w:r>
      <w:proofErr w:type="spellStart"/>
      <w:r w:rsidR="00527BD7" w:rsidRPr="00527BD7">
        <w:rPr>
          <w:rFonts w:eastAsia="Times New Roman"/>
          <w:bCs/>
          <w:sz w:val="24"/>
          <w:szCs w:val="24"/>
          <w:lang w:eastAsia="ru-RU"/>
        </w:rPr>
        <w:t>общерегиональное</w:t>
      </w:r>
      <w:proofErr w:type="spellEnd"/>
      <w:r w:rsidR="00527BD7" w:rsidRPr="00527BD7">
        <w:rPr>
          <w:rFonts w:eastAsia="Times New Roman"/>
          <w:bCs/>
          <w:sz w:val="24"/>
          <w:szCs w:val="24"/>
          <w:lang w:eastAsia="ru-RU"/>
        </w:rPr>
        <w:t xml:space="preserve"> партнёрство в рамках ФСЭГ. Такая работа полностью соответствует принципам диверсификац</w:t>
      </w:r>
      <w:r w:rsidR="005B4D26">
        <w:rPr>
          <w:rFonts w:eastAsia="Times New Roman"/>
          <w:bCs/>
          <w:sz w:val="24"/>
          <w:szCs w:val="24"/>
          <w:lang w:eastAsia="ru-RU"/>
        </w:rPr>
        <w:t>ии газового портфеля «Газпрома», – делает выводы автор.</w:t>
      </w:r>
      <w:r w:rsidR="00527BD7">
        <w:rPr>
          <w:rFonts w:eastAsia="Times New Roman"/>
          <w:bCs/>
          <w:sz w:val="24"/>
          <w:szCs w:val="24"/>
          <w:lang w:eastAsia="ru-RU"/>
        </w:rPr>
        <w:t xml:space="preserve"> Автор также делает совершенно справедливый вывод о том, что «</w:t>
      </w:r>
      <w:r w:rsidR="00527BD7" w:rsidRPr="00527BD7">
        <w:rPr>
          <w:rFonts w:eastAsia="Times New Roman"/>
          <w:bCs/>
          <w:sz w:val="24"/>
          <w:szCs w:val="24"/>
          <w:lang w:eastAsia="ru-RU"/>
        </w:rPr>
        <w:t>российский газ в современных реалиях является не только товаром и источником топлива, а важным политическим инструментом</w:t>
      </w:r>
      <w:r w:rsidR="00527BD7">
        <w:rPr>
          <w:rFonts w:eastAsia="Times New Roman"/>
          <w:bCs/>
          <w:sz w:val="24"/>
          <w:szCs w:val="24"/>
          <w:lang w:eastAsia="ru-RU"/>
        </w:rPr>
        <w:t>».</w:t>
      </w:r>
    </w:p>
    <w:p w:rsidR="005B4D26" w:rsidRDefault="005B4D26" w:rsidP="005B4D26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Во второй главе автор исследует перспективы сотрудничества российских газовых корпораций со странами ЕС и Ближнего Востока. Автор полагает, что </w:t>
      </w:r>
      <w:r w:rsidRPr="00527BD7">
        <w:rPr>
          <w:rFonts w:eastAsia="Times New Roman"/>
          <w:bCs/>
          <w:sz w:val="24"/>
          <w:szCs w:val="24"/>
          <w:lang w:eastAsia="ru-RU"/>
        </w:rPr>
        <w:t>у «Газпрома» есть «запас прочности», который позволит ему успешно с</w:t>
      </w:r>
      <w:r>
        <w:rPr>
          <w:rFonts w:eastAsia="Times New Roman"/>
          <w:bCs/>
          <w:sz w:val="24"/>
          <w:szCs w:val="24"/>
          <w:lang w:eastAsia="ru-RU"/>
        </w:rPr>
        <w:t>правиться со всеми проблемами</w:t>
      </w:r>
      <w:r w:rsidRPr="00527BD7">
        <w:rPr>
          <w:rFonts w:eastAsia="Times New Roman"/>
          <w:bCs/>
          <w:sz w:val="24"/>
          <w:szCs w:val="24"/>
          <w:lang w:eastAsia="ru-RU"/>
        </w:rPr>
        <w:t>. В к</w:t>
      </w:r>
      <w:r>
        <w:rPr>
          <w:rFonts w:eastAsia="Times New Roman"/>
          <w:bCs/>
          <w:sz w:val="24"/>
          <w:szCs w:val="24"/>
          <w:lang w:eastAsia="ru-RU"/>
        </w:rPr>
        <w:t>ачестве факторов устойчивости автор выделяет следующие: п</w:t>
      </w:r>
      <w:r w:rsidRPr="00527BD7">
        <w:rPr>
          <w:rFonts w:eastAsia="Times New Roman"/>
          <w:bCs/>
          <w:sz w:val="24"/>
          <w:szCs w:val="24"/>
          <w:lang w:eastAsia="ru-RU"/>
        </w:rPr>
        <w:t>риоритет внутреннего рынка в структ</w:t>
      </w:r>
      <w:r>
        <w:rPr>
          <w:rFonts w:eastAsia="Times New Roman"/>
          <w:bCs/>
          <w:sz w:val="24"/>
          <w:szCs w:val="24"/>
          <w:lang w:eastAsia="ru-RU"/>
        </w:rPr>
        <w:t>уре спроса; н</w:t>
      </w:r>
      <w:r w:rsidRPr="00527BD7">
        <w:rPr>
          <w:rFonts w:eastAsia="Times New Roman"/>
          <w:bCs/>
          <w:sz w:val="24"/>
          <w:szCs w:val="24"/>
          <w:lang w:eastAsia="ru-RU"/>
        </w:rPr>
        <w:t>аличие развитой г</w:t>
      </w:r>
      <w:r>
        <w:rPr>
          <w:rFonts w:eastAsia="Times New Roman"/>
          <w:bCs/>
          <w:sz w:val="24"/>
          <w:szCs w:val="24"/>
          <w:lang w:eastAsia="ru-RU"/>
        </w:rPr>
        <w:t>азотранспортной инфраструктуры; слабую</w:t>
      </w:r>
      <w:r w:rsidRPr="00527BD7">
        <w:rPr>
          <w:rFonts w:eastAsia="Times New Roman"/>
          <w:bCs/>
          <w:sz w:val="24"/>
          <w:szCs w:val="24"/>
          <w:lang w:eastAsia="ru-RU"/>
        </w:rPr>
        <w:t xml:space="preserve"> зависи</w:t>
      </w:r>
      <w:r>
        <w:rPr>
          <w:rFonts w:eastAsia="Times New Roman"/>
          <w:bCs/>
          <w:sz w:val="24"/>
          <w:szCs w:val="24"/>
          <w:lang w:eastAsia="ru-RU"/>
        </w:rPr>
        <w:t>мость от иностранного капитала; н</w:t>
      </w:r>
      <w:r w:rsidRPr="00527BD7">
        <w:rPr>
          <w:rFonts w:eastAsia="Times New Roman"/>
          <w:bCs/>
          <w:sz w:val="24"/>
          <w:szCs w:val="24"/>
          <w:lang w:eastAsia="ru-RU"/>
        </w:rPr>
        <w:t>аличие большого пула собственных компаний, которые могут в кратчайшие сроки предложить технологическое оборудование для замещения западных технологий;</w:t>
      </w:r>
      <w:r>
        <w:rPr>
          <w:rFonts w:eastAsia="Times New Roman"/>
          <w:bCs/>
          <w:sz w:val="24"/>
          <w:szCs w:val="24"/>
          <w:lang w:eastAsia="ru-RU"/>
        </w:rPr>
        <w:t xml:space="preserve"> собственную систему</w:t>
      </w:r>
      <w:r w:rsidRPr="00527BD7">
        <w:rPr>
          <w:rFonts w:eastAsia="Times New Roman"/>
          <w:bCs/>
          <w:sz w:val="24"/>
          <w:szCs w:val="24"/>
          <w:lang w:eastAsia="ru-RU"/>
        </w:rPr>
        <w:t xml:space="preserve"> формирования стоимости </w:t>
      </w:r>
      <w:r w:rsidRPr="00527BD7">
        <w:rPr>
          <w:rFonts w:eastAsia="Times New Roman"/>
          <w:bCs/>
          <w:sz w:val="24"/>
          <w:szCs w:val="24"/>
          <w:lang w:eastAsia="ru-RU"/>
        </w:rPr>
        <w:lastRenderedPageBreak/>
        <w:t>продукта.</w:t>
      </w:r>
      <w:r>
        <w:rPr>
          <w:rFonts w:eastAsia="Times New Roman"/>
          <w:bCs/>
          <w:sz w:val="24"/>
          <w:szCs w:val="24"/>
          <w:lang w:eastAsia="ru-RU"/>
        </w:rPr>
        <w:t xml:space="preserve"> Автор полагает, что </w:t>
      </w:r>
      <w:r w:rsidRPr="00527BD7">
        <w:rPr>
          <w:rFonts w:eastAsia="Times New Roman"/>
          <w:bCs/>
          <w:sz w:val="24"/>
          <w:szCs w:val="24"/>
          <w:lang w:eastAsia="ru-RU"/>
        </w:rPr>
        <w:t xml:space="preserve">перед «Газпромом», как никогда ранее, сейчас стоит необходимость адаптации к новым политическим и экономическим реалиям, формирования собственной взвешенной оценки существующих рисков. В </w:t>
      </w:r>
      <w:r>
        <w:rPr>
          <w:rFonts w:eastAsia="Times New Roman"/>
          <w:bCs/>
          <w:sz w:val="24"/>
          <w:szCs w:val="24"/>
          <w:lang w:eastAsia="ru-RU"/>
        </w:rPr>
        <w:t xml:space="preserve">качестве рекомендаций автор указывает, что, в </w:t>
      </w:r>
      <w:r w:rsidRPr="00527BD7">
        <w:rPr>
          <w:rFonts w:eastAsia="Times New Roman"/>
          <w:bCs/>
          <w:sz w:val="24"/>
          <w:szCs w:val="24"/>
          <w:lang w:eastAsia="ru-RU"/>
        </w:rPr>
        <w:t xml:space="preserve">первую очередь, «Газпрому» следует активизировать работы по производству собственного СПГ, чтобы достичь лидирующих позиций в данном энергетическом сегменте. Для достижения такого показателя необходима интенсификация работ по производству отечественных технологий крупно и </w:t>
      </w:r>
      <w:proofErr w:type="spellStart"/>
      <w:r w:rsidRPr="00527BD7">
        <w:rPr>
          <w:rFonts w:eastAsia="Times New Roman"/>
          <w:bCs/>
          <w:sz w:val="24"/>
          <w:szCs w:val="24"/>
          <w:lang w:eastAsia="ru-RU"/>
        </w:rPr>
        <w:t>среднетоннажного</w:t>
      </w:r>
      <w:proofErr w:type="spellEnd"/>
      <w:r w:rsidRPr="00527BD7">
        <w:rPr>
          <w:rFonts w:eastAsia="Times New Roman"/>
          <w:bCs/>
          <w:sz w:val="24"/>
          <w:szCs w:val="24"/>
          <w:lang w:eastAsia="ru-RU"/>
        </w:rPr>
        <w:t xml:space="preserve"> сжижения, что станет</w:t>
      </w:r>
      <w:bookmarkStart w:id="0" w:name="_GoBack"/>
      <w:bookmarkEnd w:id="0"/>
      <w:r w:rsidRPr="00527BD7">
        <w:rPr>
          <w:rFonts w:eastAsia="Times New Roman"/>
          <w:bCs/>
          <w:sz w:val="24"/>
          <w:szCs w:val="24"/>
          <w:lang w:eastAsia="ru-RU"/>
        </w:rPr>
        <w:t xml:space="preserve"> возможным только в случае плотной работы концерна с органами государственной власти. Такое партнёрство</w:t>
      </w:r>
      <w:r>
        <w:rPr>
          <w:rFonts w:eastAsia="Times New Roman"/>
          <w:bCs/>
          <w:sz w:val="24"/>
          <w:szCs w:val="24"/>
          <w:lang w:eastAsia="ru-RU"/>
        </w:rPr>
        <w:t>, полагает автор,</w:t>
      </w:r>
      <w:r w:rsidRPr="00527BD7">
        <w:rPr>
          <w:rFonts w:eastAsia="Times New Roman"/>
          <w:bCs/>
          <w:sz w:val="24"/>
          <w:szCs w:val="24"/>
          <w:lang w:eastAsia="ru-RU"/>
        </w:rPr>
        <w:t xml:space="preserve"> поможет создать усл</w:t>
      </w:r>
      <w:r>
        <w:rPr>
          <w:rFonts w:eastAsia="Times New Roman"/>
          <w:bCs/>
          <w:sz w:val="24"/>
          <w:szCs w:val="24"/>
          <w:lang w:eastAsia="ru-RU"/>
        </w:rPr>
        <w:t xml:space="preserve">овия для развития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инновационно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-</w:t>
      </w:r>
      <w:r w:rsidRPr="00527BD7">
        <w:rPr>
          <w:rFonts w:eastAsia="Times New Roman"/>
          <w:bCs/>
          <w:sz w:val="24"/>
          <w:szCs w:val="24"/>
          <w:lang w:eastAsia="ru-RU"/>
        </w:rPr>
        <w:t xml:space="preserve">инвестиционных проектов и ускорит качественную трансформацию российского ТЭК. </w:t>
      </w:r>
      <w:r>
        <w:rPr>
          <w:rFonts w:eastAsia="Times New Roman"/>
          <w:bCs/>
          <w:sz w:val="24"/>
          <w:szCs w:val="24"/>
          <w:lang w:eastAsia="ru-RU"/>
        </w:rPr>
        <w:t xml:space="preserve">Наиболее перспективными для реализации этих целей автор считает </w:t>
      </w:r>
      <w:r w:rsidRPr="00527BD7">
        <w:rPr>
          <w:rFonts w:eastAsia="Times New Roman"/>
          <w:bCs/>
          <w:sz w:val="24"/>
          <w:szCs w:val="24"/>
          <w:lang w:eastAsia="ru-RU"/>
        </w:rPr>
        <w:t>новые регионы – Ближний Восток как центр сотрудничества в области технологий и разработок нефтяных и газовых месторождений региона, АТР и ЮВА – как потенциальные рынки сбыта СПГ и трубопроводных поставок.</w:t>
      </w:r>
    </w:p>
    <w:p w:rsidR="009E3655" w:rsidRDefault="005B4D26" w:rsidP="005B4D26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Хотелось бы отметить интерес автора к данной теме. Москвичева Е.А. проделала серьезную работу – если говорить хотя бы о количественных показателях (б</w:t>
      </w:r>
      <w:r w:rsidRPr="005B4D26">
        <w:rPr>
          <w:rFonts w:eastAsia="Times New Roman"/>
          <w:bCs/>
          <w:sz w:val="24"/>
          <w:szCs w:val="24"/>
          <w:lang w:eastAsia="ru-RU"/>
        </w:rPr>
        <w:t>олее 200 источнико</w:t>
      </w:r>
      <w:r>
        <w:rPr>
          <w:rFonts w:eastAsia="Times New Roman"/>
          <w:bCs/>
          <w:sz w:val="24"/>
          <w:szCs w:val="24"/>
          <w:lang w:eastAsia="ru-RU"/>
        </w:rPr>
        <w:t>в и использованной литературы, о</w:t>
      </w:r>
      <w:r w:rsidRPr="005B4D26">
        <w:rPr>
          <w:rFonts w:eastAsia="Times New Roman"/>
          <w:bCs/>
          <w:sz w:val="24"/>
          <w:szCs w:val="24"/>
          <w:lang w:eastAsia="ru-RU"/>
        </w:rPr>
        <w:t xml:space="preserve">бщий объем работы </w:t>
      </w:r>
      <w:r>
        <w:rPr>
          <w:rFonts w:eastAsia="Times New Roman"/>
          <w:bCs/>
          <w:sz w:val="24"/>
          <w:szCs w:val="24"/>
          <w:lang w:eastAsia="ru-RU"/>
        </w:rPr>
        <w:t>–</w:t>
      </w:r>
      <w:r w:rsidRPr="005B4D26">
        <w:rPr>
          <w:rFonts w:eastAsia="Times New Roman"/>
          <w:bCs/>
          <w:sz w:val="24"/>
          <w:szCs w:val="24"/>
          <w:lang w:eastAsia="ru-RU"/>
        </w:rPr>
        <w:t xml:space="preserve"> 162 страницы</w:t>
      </w:r>
      <w:r>
        <w:rPr>
          <w:rFonts w:eastAsia="Times New Roman"/>
          <w:bCs/>
          <w:sz w:val="24"/>
          <w:szCs w:val="24"/>
          <w:lang w:eastAsia="ru-RU"/>
        </w:rPr>
        <w:t>)</w:t>
      </w:r>
      <w:r w:rsidRPr="005B4D26">
        <w:rPr>
          <w:rFonts w:eastAsia="Times New Roman"/>
          <w:bCs/>
          <w:sz w:val="24"/>
          <w:szCs w:val="24"/>
          <w:lang w:eastAsia="ru-RU"/>
        </w:rPr>
        <w:t>.</w:t>
      </w:r>
      <w:r>
        <w:rPr>
          <w:rFonts w:eastAsia="Times New Roman"/>
          <w:bCs/>
          <w:sz w:val="24"/>
          <w:szCs w:val="24"/>
          <w:lang w:eastAsia="ru-RU"/>
        </w:rPr>
        <w:t xml:space="preserve"> Работа написана ясным и понятным языком, проблема проанализирована глубоко и всесторонне, р</w:t>
      </w:r>
      <w:r w:rsidR="00330651">
        <w:rPr>
          <w:rFonts w:eastAsia="Times New Roman"/>
          <w:bCs/>
          <w:sz w:val="24"/>
          <w:szCs w:val="24"/>
          <w:lang w:eastAsia="ru-RU"/>
        </w:rPr>
        <w:t xml:space="preserve">абота выполнена на высоком уровне. Содержание работы соответствует заявленной теме. Тема раскрыта. Основные требования к оформлению работы соблюдены. Текст изложен грамотно. </w:t>
      </w:r>
      <w:r>
        <w:rPr>
          <w:rFonts w:eastAsia="Times New Roman"/>
          <w:bCs/>
          <w:sz w:val="24"/>
          <w:szCs w:val="24"/>
          <w:lang w:eastAsia="ru-RU"/>
        </w:rPr>
        <w:t>Елена Александровна</w:t>
      </w:r>
      <w:r w:rsidR="00330651">
        <w:rPr>
          <w:rFonts w:eastAsia="Times New Roman"/>
          <w:bCs/>
          <w:sz w:val="24"/>
          <w:szCs w:val="24"/>
          <w:lang w:eastAsia="ru-RU"/>
        </w:rPr>
        <w:t xml:space="preserve"> показала себя очень ответственной, добросовестной, активной и интересующейся студенткой. Оперативно вносила коррективы в соответствии со всеми замечаниями научного руководителя. </w:t>
      </w:r>
    </w:p>
    <w:p w:rsidR="00330651" w:rsidRDefault="00330651" w:rsidP="005B4D26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Выпускная квалификационная работа </w:t>
      </w:r>
      <w:r w:rsidR="005B4D26">
        <w:rPr>
          <w:rFonts w:eastAsia="Times New Roman"/>
          <w:bCs/>
          <w:sz w:val="24"/>
          <w:szCs w:val="24"/>
          <w:lang w:eastAsia="ru-RU"/>
        </w:rPr>
        <w:t>Москвичевой Е.А.</w:t>
      </w:r>
      <w:r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5B4D26">
        <w:rPr>
          <w:rFonts w:eastAsia="Times New Roman"/>
          <w:bCs/>
          <w:sz w:val="24"/>
          <w:szCs w:val="24"/>
          <w:lang w:eastAsia="ru-RU"/>
        </w:rPr>
        <w:t>Влияние российских газовых корпораций на энергетическую политику Европейского Союза и стран Ближнего Востока: перспективы сотрудничества и трансформация повестки</w:t>
      </w:r>
      <w:r>
        <w:rPr>
          <w:rFonts w:eastAsia="Times New Roman"/>
          <w:bCs/>
          <w:sz w:val="24"/>
          <w:szCs w:val="24"/>
          <w:lang w:eastAsia="ru-RU"/>
        </w:rPr>
        <w:t xml:space="preserve">» может быть рекомендована к защите в настоящем виде и заслуживает </w:t>
      </w:r>
      <w:r w:rsidR="005E6380">
        <w:rPr>
          <w:rFonts w:eastAsia="Times New Roman"/>
          <w:bCs/>
          <w:sz w:val="24"/>
          <w:szCs w:val="24"/>
          <w:lang w:eastAsia="ru-RU"/>
        </w:rPr>
        <w:t xml:space="preserve">высокой </w:t>
      </w:r>
      <w:r>
        <w:rPr>
          <w:rFonts w:eastAsia="Times New Roman"/>
          <w:bCs/>
          <w:sz w:val="24"/>
          <w:szCs w:val="24"/>
          <w:lang w:eastAsia="ru-RU"/>
        </w:rPr>
        <w:t xml:space="preserve">положительной оценки. </w:t>
      </w:r>
    </w:p>
    <w:p w:rsidR="00330651" w:rsidRPr="003778AF" w:rsidRDefault="00330651" w:rsidP="0033065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30651" w:rsidRDefault="00330651" w:rsidP="00330651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Научный руководитель</w:t>
      </w:r>
    </w:p>
    <w:p w:rsidR="00330651" w:rsidRDefault="00330651" w:rsidP="0033065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758E55" wp14:editId="6FE2060D">
            <wp:simplePos x="0" y="0"/>
            <wp:positionH relativeFrom="margin">
              <wp:posOffset>4540885</wp:posOffset>
            </wp:positionH>
            <wp:positionV relativeFrom="paragraph">
              <wp:posOffset>152400</wp:posOffset>
            </wp:positionV>
            <wp:extent cx="542290" cy="532765"/>
            <wp:effectExtent l="0" t="0" r="0" b="635"/>
            <wp:wrapNone/>
            <wp:docPr id="1" name="Рисунок 1" descr="ntAh7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tAh7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auto"/>
          <w:sz w:val="24"/>
          <w:szCs w:val="24"/>
          <w:lang w:eastAsia="ru-RU"/>
        </w:rPr>
        <w:t>Доцент, кандидат философских наук,</w:t>
      </w:r>
    </w:p>
    <w:p w:rsidR="00330651" w:rsidRDefault="00330651" w:rsidP="0033065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доцент кафедры политического управления </w:t>
      </w:r>
    </w:p>
    <w:p w:rsidR="00330651" w:rsidRDefault="00330651" w:rsidP="00330651">
      <w:pPr>
        <w:tabs>
          <w:tab w:val="left" w:pos="7501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330651" w:rsidRPr="00B87016" w:rsidRDefault="00330651" w:rsidP="0033065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Кондратенко</w:t>
      </w:r>
      <w:r w:rsidRPr="007B0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Константин</w:t>
      </w:r>
      <w:r w:rsidRPr="007B0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Сергеевич                                          </w:t>
      </w: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_______________________________ </w:t>
      </w:r>
    </w:p>
    <w:p w:rsidR="00330651" w:rsidRDefault="00330651" w:rsidP="0033065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                  </w:t>
      </w: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(подпись) </w:t>
      </w:r>
    </w:p>
    <w:p w:rsidR="00330651" w:rsidRDefault="005B4D26" w:rsidP="00330651">
      <w:pPr>
        <w:spacing w:after="0" w:line="240" w:lineRule="auto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«22» мая 2023</w:t>
      </w:r>
      <w:r w:rsidR="00330651">
        <w:rPr>
          <w:rFonts w:eastAsia="Times New Roman"/>
          <w:color w:val="auto"/>
          <w:sz w:val="24"/>
          <w:szCs w:val="24"/>
          <w:lang w:eastAsia="ru-RU"/>
        </w:rPr>
        <w:t xml:space="preserve"> г.</w:t>
      </w:r>
    </w:p>
    <w:p w:rsidR="00330651" w:rsidRDefault="00330651" w:rsidP="00330651">
      <w:pPr>
        <w:rPr>
          <w:sz w:val="24"/>
          <w:szCs w:val="24"/>
        </w:rPr>
      </w:pPr>
    </w:p>
    <w:p w:rsidR="00330651" w:rsidRDefault="00330651" w:rsidP="00330651"/>
    <w:p w:rsidR="00330651" w:rsidRDefault="00330651" w:rsidP="00330651"/>
    <w:p w:rsidR="00330651" w:rsidRDefault="00330651" w:rsidP="00330651"/>
    <w:p w:rsidR="00330651" w:rsidRDefault="00330651" w:rsidP="00330651"/>
    <w:p w:rsidR="00330651" w:rsidRDefault="00330651" w:rsidP="00330651"/>
    <w:p w:rsidR="00330651" w:rsidRDefault="00330651" w:rsidP="00330651"/>
    <w:p w:rsidR="00330651" w:rsidRDefault="00330651" w:rsidP="00330651"/>
    <w:p w:rsidR="007B7A83" w:rsidRDefault="007B7A83"/>
    <w:sectPr w:rsidR="007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E4"/>
    <w:rsid w:val="00033D8D"/>
    <w:rsid w:val="000C0B6E"/>
    <w:rsid w:val="00330651"/>
    <w:rsid w:val="004E55E4"/>
    <w:rsid w:val="00527BD7"/>
    <w:rsid w:val="005B4D26"/>
    <w:rsid w:val="005E6380"/>
    <w:rsid w:val="007B7A83"/>
    <w:rsid w:val="009E3655"/>
    <w:rsid w:val="00A63B8F"/>
    <w:rsid w:val="00B60123"/>
    <w:rsid w:val="00B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E8C6-F050-46F9-A88B-CBAFD0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2023-05-21T17:31:00Z</dcterms:created>
  <dcterms:modified xsi:type="dcterms:W3CDTF">2023-05-22T23:17:00Z</dcterms:modified>
</cp:coreProperties>
</file>